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92E32">
      <w:pPr>
        <w:spacing w:after="280"/>
        <w:jc w:val="center"/>
      </w:pPr>
      <w:r>
        <w:rPr>
          <w:rFonts w:ascii="Times New Roman" w:hAnsi="Times New Roman"/>
          <w:b/>
          <w:i w:val="0"/>
          <w:color w:val="1A365D"/>
          <w:sz w:val="36"/>
        </w:rPr>
        <w:t>AI BlogNest API: Comprehen</w:t>
      </w:r>
      <w:bookmarkStart w:id="0" w:name="_GoBack"/>
      <w:bookmarkEnd w:id="0"/>
      <w:r>
        <w:rPr>
          <w:rFonts w:ascii="Times New Roman" w:hAnsi="Times New Roman"/>
          <w:b/>
          <w:i w:val="0"/>
          <w:color w:val="1A365D"/>
          <w:sz w:val="36"/>
        </w:rPr>
        <w:t>sive Technical Project Report &amp; Architecture</w:t>
      </w:r>
    </w:p>
    <w:p w14:paraId="028EE916">
      <w:pPr>
        <w:spacing w:before="280" w:after="120"/>
      </w:pPr>
      <w:r>
        <w:rPr>
          <w:rFonts w:ascii="Times New Roman" w:hAnsi="Times New Roman"/>
          <w:b/>
          <w:i w:val="0"/>
          <w:color w:val="1A365D"/>
          <w:sz w:val="30"/>
        </w:rPr>
        <w:t>1. Executive Summary</w:t>
      </w:r>
    </w:p>
    <w:p w14:paraId="0094A334">
      <w:pPr>
        <w:spacing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The AI BlogNest API project represents a robust, scalable backend solution engineered to power modern content creation platforms. By blending traditional layered server architecture with cutting-edge artificial intelligence microservices, BlogNest automates the entire lifecycle of blog management—from initial drafting and approval workflows to publishing and real-time summarization. This document outlines the comprehensive technical architecture, component breakdown, data routing schemas, and integration pipelines designed to ensure enterprise-grade security, fault tolerance, and high performance.</w:t>
      </w:r>
    </w:p>
    <w:p w14:paraId="2CFE8482">
      <w:pPr>
        <w:spacing w:before="280" w:after="120"/>
      </w:pPr>
      <w:r>
        <w:rPr>
          <w:rFonts w:ascii="Times New Roman" w:hAnsi="Times New Roman"/>
          <w:b/>
          <w:i w:val="0"/>
          <w:color w:val="1A365D"/>
          <w:sz w:val="30"/>
        </w:rPr>
        <w:t>2. Project Architecture Overview</w:t>
      </w:r>
    </w:p>
    <w:p w14:paraId="59EA1FA0">
      <w:pPr>
        <w:spacing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The AI BlogNest application exposes highly structured endpoints handled by a sophisticated layered server architecture model [cite: 1]. Incoming requests undergo strict filter processing and middleware validation before securely interacting with core data services and persistence layers [cite: 1].</w:t>
      </w:r>
    </w:p>
    <w:p w14:paraId="128F3DC9">
      <w:pPr>
        <w:spacing w:before="200" w:after="80"/>
      </w:pPr>
      <w:r>
        <w:rPr>
          <w:rFonts w:ascii="Times New Roman" w:hAnsi="Times New Roman"/>
          <w:b/>
          <w:i w:val="0"/>
          <w:color w:val="2B6CB0"/>
          <w:sz w:val="24"/>
        </w:rPr>
        <w:t>Architecture Diagram Representation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9BB3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D6E4F0"/>
          </w:tcPr>
          <w:p w14:paraId="3C94A289"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3366"/>
                <w:sz w:val="18"/>
              </w:rPr>
              <w:t>Client / Postman</w:t>
            </w:r>
            <w:r>
              <w:rPr>
                <w:rFonts w:ascii="Times New Roman" w:hAnsi="Times New Roman"/>
                <w:b/>
                <w:i w:val="0"/>
                <w:color w:val="003366"/>
                <w:sz w:val="18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color w:val="003366"/>
                <w:sz w:val="18"/>
              </w:rPr>
              <w:t>(Entry Point)</w:t>
            </w:r>
          </w:p>
        </w:tc>
        <w:tc>
          <w:tcPr>
            <w:tcW w:w="2340" w:type="dxa"/>
            <w:shd w:val="clear" w:color="auto" w:fill="E8F5E9"/>
          </w:tcPr>
          <w:p w14:paraId="52309261"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B5E20"/>
                <w:sz w:val="18"/>
              </w:rPr>
              <w:t>Express Gateway</w:t>
            </w:r>
            <w:r>
              <w:rPr>
                <w:rFonts w:ascii="Times New Roman" w:hAnsi="Times New Roman"/>
                <w:b/>
                <w:i w:val="0"/>
                <w:color w:val="1B5E20"/>
                <w:sz w:val="18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color w:val="1B5E20"/>
                <w:sz w:val="18"/>
              </w:rPr>
              <w:t>(Routing &amp; Ports)</w:t>
            </w:r>
          </w:p>
        </w:tc>
        <w:tc>
          <w:tcPr>
            <w:tcW w:w="2340" w:type="dxa"/>
            <w:shd w:val="clear" w:color="auto" w:fill="FFF3E0"/>
          </w:tcPr>
          <w:p w14:paraId="728BDF71"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E65100"/>
                <w:sz w:val="18"/>
              </w:rPr>
              <w:t>Auth Middleware</w:t>
            </w:r>
            <w:r>
              <w:rPr>
                <w:rFonts w:ascii="Times New Roman" w:hAnsi="Times New Roman"/>
                <w:b/>
                <w:i w:val="0"/>
                <w:color w:val="E65100"/>
                <w:sz w:val="18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color w:val="E65100"/>
                <w:sz w:val="18"/>
              </w:rPr>
              <w:t>(Token &amp; Roles)</w:t>
            </w:r>
          </w:p>
        </w:tc>
        <w:tc>
          <w:tcPr>
            <w:tcW w:w="2340" w:type="dxa"/>
            <w:shd w:val="clear" w:color="auto" w:fill="F3E5F5"/>
          </w:tcPr>
          <w:p w14:paraId="4A8F3683"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4A148C"/>
                <w:sz w:val="18"/>
              </w:rPr>
              <w:t>Granular Services</w:t>
            </w:r>
            <w:r>
              <w:rPr>
                <w:rFonts w:ascii="Times New Roman" w:hAnsi="Times New Roman"/>
                <w:b/>
                <w:i w:val="0"/>
                <w:color w:val="4A148C"/>
                <w:sz w:val="18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color w:val="4A148C"/>
                <w:sz w:val="18"/>
              </w:rPr>
              <w:t>(Domain Logic)</w:t>
            </w:r>
          </w:p>
        </w:tc>
      </w:tr>
      <w:tr w14:paraId="61AA5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FFFFF"/>
          </w:tcPr>
          <w:p w14:paraId="7D461573"/>
        </w:tc>
        <w:tc>
          <w:tcPr>
            <w:tcW w:w="2340" w:type="dxa"/>
            <w:shd w:val="clear" w:color="auto" w:fill="FFFFFF"/>
          </w:tcPr>
          <w:p w14:paraId="005AA3FF"/>
        </w:tc>
        <w:tc>
          <w:tcPr>
            <w:tcW w:w="2340" w:type="dxa"/>
            <w:shd w:val="clear" w:color="auto" w:fill="FFFFFF"/>
          </w:tcPr>
          <w:p w14:paraId="5C39D163"/>
        </w:tc>
        <w:tc>
          <w:tcPr>
            <w:tcW w:w="2340" w:type="dxa"/>
            <w:shd w:val="clear" w:color="auto" w:fill="E0F7FA"/>
          </w:tcPr>
          <w:p w14:paraId="43D58B13"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6064"/>
                <w:sz w:val="18"/>
              </w:rPr>
              <w:t>Database Layer</w:t>
            </w:r>
            <w:r>
              <w:rPr>
                <w:rFonts w:ascii="Times New Roman" w:hAnsi="Times New Roman"/>
                <w:b/>
                <w:i w:val="0"/>
                <w:color w:val="006064"/>
                <w:sz w:val="18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color w:val="006064"/>
                <w:sz w:val="18"/>
              </w:rPr>
              <w:t>(Mongoose / MongoDB)</w:t>
            </w:r>
          </w:p>
        </w:tc>
      </w:tr>
      <w:tr w14:paraId="3F2F2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CE4EC"/>
          </w:tcPr>
          <w:p w14:paraId="2B9BE71A"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880E4F"/>
                <w:sz w:val="18"/>
              </w:rPr>
              <w:t>BlogGenerator w/AI</w:t>
            </w:r>
            <w:r>
              <w:rPr>
                <w:rFonts w:ascii="Times New Roman" w:hAnsi="Times New Roman"/>
                <w:b/>
                <w:i w:val="0"/>
                <w:color w:val="880E4F"/>
                <w:sz w:val="18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color w:val="880E4F"/>
                <w:sz w:val="18"/>
              </w:rPr>
              <w:t>(Content Automation)</w:t>
            </w:r>
          </w:p>
        </w:tc>
        <w:tc>
          <w:tcPr>
            <w:tcW w:w="2340" w:type="dxa"/>
            <w:shd w:val="clear" w:color="auto" w:fill="FFFDE7"/>
          </w:tcPr>
          <w:p w14:paraId="76E5BA56"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57F17"/>
                <w:sz w:val="18"/>
              </w:rPr>
              <w:t>AI Flow</w:t>
            </w:r>
            <w:r>
              <w:rPr>
                <w:rFonts w:ascii="Times New Roman" w:hAnsi="Times New Roman"/>
                <w:b/>
                <w:i w:val="0"/>
                <w:color w:val="F57F17"/>
                <w:sz w:val="18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color w:val="F57F17"/>
                <w:sz w:val="18"/>
              </w:rPr>
              <w:t>(Service Integration)</w:t>
            </w:r>
          </w:p>
        </w:tc>
        <w:tc>
          <w:tcPr>
            <w:tcW w:w="2340" w:type="dxa"/>
            <w:shd w:val="clear" w:color="auto" w:fill="FFFFFF"/>
          </w:tcPr>
          <w:p w14:paraId="62C6027E"/>
        </w:tc>
        <w:tc>
          <w:tcPr>
            <w:tcW w:w="2340" w:type="dxa"/>
            <w:shd w:val="clear" w:color="auto" w:fill="FFFFFF"/>
          </w:tcPr>
          <w:p w14:paraId="48B0208B"/>
        </w:tc>
      </w:tr>
    </w:tbl>
    <w:p w14:paraId="58411F45">
      <w:pPr>
        <w:spacing w:after="120"/>
      </w:pPr>
    </w:p>
    <w:p w14:paraId="3C9EE702">
      <w:pP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3. Detailed Component Definitions &amp; Specifications</w:t>
      </w:r>
    </w:p>
    <w:p w14:paraId="40D2D6F2">
      <w:pPr>
        <w:spacing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Every component within the AI BlogNest API ecosystem plays a specialized role in maintaining separation of concerns and optimal processing efficiency:</w:t>
      </w:r>
    </w:p>
    <w:p w14:paraId="13FCDF2D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Interface Layer: </w:t>
      </w:r>
      <w:r>
        <w:rPr>
          <w:rFonts w:ascii="Times New Roman" w:hAnsi="Times New Roman"/>
          <w:b w:val="0"/>
          <w:i w:val="0"/>
          <w:color w:val="000000"/>
          <w:sz w:val="22"/>
        </w:rPr>
        <w:t>API tools like Postman query distinct route paths to extract JSON entities [cite: 1], ensuring consistent client-server payload formatting.</w:t>
      </w:r>
    </w:p>
    <w:p w14:paraId="43965FF3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Express Server Gateway: </w:t>
      </w:r>
      <w:r>
        <w:rPr>
          <w:rFonts w:ascii="Times New Roman" w:hAnsi="Times New Roman"/>
          <w:b w:val="0"/>
          <w:i w:val="0"/>
          <w:color w:val="000000"/>
          <w:sz w:val="22"/>
        </w:rPr>
        <w:t>Monitors network ports, maps explicit HTTP methods (GET, POST, PUT, DELETE), parses incoming JSON payloads, and handles CORS security headers [cite: 1].</w:t>
      </w:r>
    </w:p>
    <w:p w14:paraId="4B57206B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Authentication &amp; Role Matrix Middleware: </w:t>
      </w:r>
      <w:r>
        <w:rPr>
          <w:rFonts w:ascii="Times New Roman" w:hAnsi="Times New Roman"/>
          <w:b w:val="0"/>
          <w:i w:val="0"/>
          <w:color w:val="000000"/>
          <w:sz w:val="22"/>
        </w:rPr>
        <w:t>Extracts security tokens from request headers, validates user context signatures, and evaluates if specific user roles satisfy authorization thresholds for guarded resource paths [cite: 1].</w:t>
      </w:r>
    </w:p>
    <w:p w14:paraId="349B796D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Granular Services (Logic Modules): </w:t>
      </w:r>
      <w:r>
        <w:rPr>
          <w:rFonts w:ascii="Times New Roman" w:hAnsi="Times New Roman"/>
          <w:b w:val="0"/>
          <w:i w:val="0"/>
          <w:color w:val="000000"/>
          <w:sz w:val="22"/>
        </w:rPr>
        <w:t>Enforces isolated domain rules for complex blog lifecycles (including Draft, Pending Approval, Scheduled, and Published states), manages comment queues, and generates system reporting indicators [cite: 1].</w:t>
      </w:r>
    </w:p>
    <w:p w14:paraId="5F394FA2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Database Interface Layer: </w:t>
      </w:r>
      <w:r>
        <w:rPr>
          <w:rFonts w:ascii="Times New Roman" w:hAnsi="Times New Roman"/>
          <w:b w:val="0"/>
          <w:i w:val="0"/>
          <w:color w:val="000000"/>
          <w:sz w:val="22"/>
        </w:rPr>
        <w:t>Utilizes Mongoose schemas and models to translate operational application logic into performant native MongoDB queries [cite: 1], guaranteeing data integrity and fast indexing.</w:t>
      </w:r>
    </w:p>
    <w:p w14:paraId="5545113B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AI Flow (Service Integration): </w:t>
      </w:r>
      <w:r>
        <w:rPr>
          <w:rFonts w:ascii="Times New Roman" w:hAnsi="Times New Roman"/>
          <w:b w:val="0"/>
          <w:i w:val="0"/>
          <w:color w:val="000000"/>
          <w:sz w:val="22"/>
        </w:rPr>
        <w:t>Provides intelligent content automation, including automated blog post generation and real-time content summarization [cite: 1]. This layer connects external AI models via specialized endpoints (/api/ai/generate-blog and /api/ai/summarize), allowing the controller layer to offload complex text processing tasks and enhance content creation workflows [cite: 1].</w:t>
      </w:r>
    </w:p>
    <w:p w14:paraId="6F4165A4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BlogGenerator with AI: </w:t>
      </w:r>
      <w:r>
        <w:rPr>
          <w:rFonts w:ascii="Times New Roman" w:hAnsi="Times New Roman"/>
          <w:b w:val="0"/>
          <w:i w:val="0"/>
          <w:color w:val="000000"/>
          <w:sz w:val="22"/>
        </w:rPr>
        <w:t>A specialized downstream microservice that automates the generation of blog content, integrating seamlessly with the AI Flow service to streamline automated drafting [cite: 1].</w:t>
      </w:r>
    </w:p>
    <w:p w14:paraId="3C794DF7">
      <w:pP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i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4. Workflow &amp; Execution Lifecycle</w:t>
      </w:r>
    </w:p>
    <w:p w14:paraId="0B5684EC">
      <w:pPr>
        <w:spacing w:after="120" w:line="276" w:lineRule="auto"/>
      </w:pPr>
      <w:r>
        <w:rPr>
          <w:rFonts w:ascii="Times New Roman" w:hAnsi="Times New Roman"/>
          <w:b w:val="0"/>
          <w:i w:val="0"/>
          <w:color w:val="000000"/>
          <w:sz w:val="22"/>
        </w:rPr>
        <w:t>The standard request execution lifecycle in AI BlogNest flows systematically through the defined architectural layers:</w:t>
      </w:r>
    </w:p>
    <w:p w14:paraId="3E79F60B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Request Initiation: </w:t>
      </w:r>
      <w:r>
        <w:rPr>
          <w:rFonts w:ascii="Times New Roman" w:hAnsi="Times New Roman"/>
          <w:b w:val="0"/>
          <w:i w:val="0"/>
          <w:color w:val="000000"/>
          <w:sz w:val="22"/>
        </w:rPr>
        <w:t>A client initiates an HTTP request targeting specific resource endpoints via API testing tools or front-end applications.</w:t>
      </w:r>
    </w:p>
    <w:p w14:paraId="246F4B98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Gateway Filtering: </w:t>
      </w:r>
      <w:r>
        <w:rPr>
          <w:rFonts w:ascii="Times New Roman" w:hAnsi="Times New Roman"/>
          <w:b w:val="0"/>
          <w:i w:val="0"/>
          <w:color w:val="000000"/>
          <w:sz w:val="22"/>
        </w:rPr>
        <w:t>The Express Server Gateway captures the packet, normalizes headers, applies Cross-Origin Resource Sharing rules, and routes the request to appropriate controllers.</w:t>
      </w:r>
    </w:p>
    <w:p w14:paraId="37362EFD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Security Inspection: </w:t>
      </w:r>
      <w:r>
        <w:rPr>
          <w:rFonts w:ascii="Times New Roman" w:hAnsi="Times New Roman"/>
          <w:b w:val="0"/>
          <w:i w:val="0"/>
          <w:color w:val="000000"/>
          <w:sz w:val="22"/>
        </w:rPr>
        <w:t>The Auth Middleware inspects bearer tokens, authenticates user credentials, and enforces role-based access control (RBAC).</w:t>
      </w:r>
    </w:p>
    <w:p w14:paraId="2AC620BD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Business Logic Execution: </w:t>
      </w:r>
      <w:r>
        <w:rPr>
          <w:rFonts w:ascii="Times New Roman" w:hAnsi="Times New Roman"/>
          <w:b w:val="0"/>
          <w:i w:val="0"/>
          <w:color w:val="000000"/>
          <w:sz w:val="22"/>
        </w:rPr>
        <w:t>Granular services process domain rules, interacting with Mongoose to query or mutate records in MongoDB.</w:t>
      </w:r>
    </w:p>
    <w:p w14:paraId="63BC2A60">
      <w:pPr>
        <w:pStyle w:val="23"/>
        <w:spacing w:after="80" w:line="276" w:lineRule="auto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AI Enhancement &amp; Response: </w:t>
      </w:r>
      <w:r>
        <w:rPr>
          <w:rFonts w:ascii="Times New Roman" w:hAnsi="Times New Roman"/>
          <w:b w:val="0"/>
          <w:i w:val="0"/>
          <w:color w:val="000000"/>
          <w:sz w:val="22"/>
        </w:rPr>
        <w:t>If content creation or summarization is triggered, the AI Flow service communicates with external language model endpoints before returning the compiled JSON response back to the client.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4E0C8E"/>
    <w:rsid w:val="40CE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VRuth Vijayan</cp:lastModifiedBy>
  <dcterms:modified xsi:type="dcterms:W3CDTF">2026-10-01T08:10:45Z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977A46ECE04B4006BD88DA6B25F0FD6C_13</vt:lpwstr>
  </property>
</Properties>
</file>