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0904D9">
      <w:pPr>
        <w:spacing w:before="0" w:after="40"/>
        <w:jc w:val="center"/>
        <w:rPr>
          <w:color w:val="000000" w:themeColor="text1"/>
          <w14:textFill>
            <w14:solidFill>
              <w14:schemeClr w14:val="tx1"/>
            </w14:solidFill>
          </w14:textFill>
        </w:rPr>
      </w:pPr>
      <w:bookmarkStart w:id="0" w:name="_GoBack"/>
      <w:bookmarkEnd w:id="0"/>
      <w:r>
        <w:rPr>
          <w:rFonts w:ascii="Times New Roman" w:hAnsi="Times New Roman"/>
          <w:b/>
          <w:i w:val="0"/>
          <w:color w:val="000000" w:themeColor="text1"/>
          <w:sz w:val="40"/>
          <w14:textFill>
            <w14:solidFill>
              <w14:schemeClr w14:val="tx1"/>
            </w14:solidFill>
          </w14:textFill>
        </w:rPr>
        <w:t>BlogNest Enterprise Project Specification &amp; Architecture</w:t>
      </w:r>
    </w:p>
    <w:p w14:paraId="2770DD56">
      <w:pPr>
        <w:spacing w:after="320"/>
        <w:jc w:val="center"/>
        <w:rPr>
          <w:color w:val="000000" w:themeColor="text1"/>
          <w14:textFill>
            <w14:solidFill>
              <w14:schemeClr w14:val="tx1"/>
            </w14:solidFill>
          </w14:textFill>
        </w:rPr>
      </w:pPr>
      <w:r>
        <w:rPr>
          <w:rFonts w:ascii="Times New Roman" w:hAnsi="Times New Roman"/>
          <w:b w:val="0"/>
          <w:i/>
          <w:color w:val="000000" w:themeColor="text1"/>
          <w:sz w:val="24"/>
          <w14:textFill>
            <w14:solidFill>
              <w14:schemeClr w14:val="tx1"/>
            </w14:solidFill>
          </w14:textFill>
        </w:rPr>
        <w:t>Detailed System Architecture, Complete Entity Specifications, API Workflow, and Database Schema Design</w:t>
      </w:r>
    </w:p>
    <w:p w14:paraId="01688EAC">
      <w:pPr>
        <w:pBdr>
          <w:bottom w:val="single" w:color="2B6CB0" w:sz="12" w:space="1"/>
        </w:pBdr>
        <w:spacing w:after="280"/>
        <w:rPr>
          <w:color w:val="000000" w:themeColor="text1"/>
          <w14:textFill>
            <w14:solidFill>
              <w14:schemeClr w14:val="tx1"/>
            </w14:solidFill>
          </w14:textFill>
        </w:rPr>
      </w:pPr>
    </w:p>
    <w:p w14:paraId="7DC50FC0">
      <w:pPr>
        <w:keepNext/>
        <w:spacing w:before="360" w:after="120"/>
        <w:rPr>
          <w:color w:val="000000" w:themeColor="text1"/>
          <w14:textFill>
            <w14:solidFill>
              <w14:schemeClr w14:val="tx1"/>
            </w14:solidFill>
          </w14:textFill>
        </w:rPr>
      </w:pPr>
      <w:r>
        <w:rPr>
          <w:rFonts w:ascii="Times New Roman" w:hAnsi="Times New Roman"/>
          <w:b/>
          <w:i w:val="0"/>
          <w:color w:val="000000" w:themeColor="text1"/>
          <w:sz w:val="30"/>
          <w14:textFill>
            <w14:solidFill>
              <w14:schemeClr w14:val="tx1"/>
            </w14:solidFill>
          </w14:textFill>
        </w:rPr>
        <w:t>1. Executive Summary &amp; System Architecture</w:t>
      </w:r>
    </w:p>
    <w:p w14:paraId="48777071">
      <w:pPr>
        <w:spacing w:after="120" w:line="276" w:lineRule="auto"/>
      </w:pPr>
      <w:r>
        <w:rPr>
          <w:rFonts w:ascii="Times New Roman" w:hAnsi="Times New Roman"/>
          <w:b w:val="0"/>
          <w:i w:val="0"/>
          <w:color w:val="333333"/>
          <w:sz w:val="22"/>
        </w:rPr>
        <w:t>BlogNest is an advanced, scalable content management and publishing ecosystem engineered to deliver seamless digital blogging experiences. The platform empowers multiple user personas—ranging from standard readers to credentialed authors and system administrators—to publish, categorize, discover, and interact with rich-media articles.</w:t>
      </w:r>
    </w:p>
    <w:p w14:paraId="27BDBFA3">
      <w:pPr>
        <w:spacing w:after="120" w:line="276" w:lineRule="auto"/>
      </w:pPr>
      <w:r>
        <w:rPr>
          <w:rFonts w:ascii="Times New Roman" w:hAnsi="Times New Roman"/>
          <w:b w:val="0"/>
          <w:i w:val="0"/>
          <w:color w:val="333333"/>
          <w:sz w:val="22"/>
        </w:rPr>
        <w:t>The architectural framework adopts a modular NoSQL database design (optimized for MongoDB collections), ensuring high performance under heavy read/write loads. Core functionalities include secure password hashing, dynamic content categorization, real-time comment threading, and robust author attribution pipelines.</w:t>
      </w:r>
    </w:p>
    <w:p w14:paraId="1F182D02">
      <w:pPr>
        <w:keepNext/>
        <w:spacing w:before="280" w:after="80"/>
        <w:rPr>
          <w:color w:val="000000" w:themeColor="text1"/>
          <w14:textFill>
            <w14:solidFill>
              <w14:schemeClr w14:val="tx1"/>
            </w14:solidFill>
          </w14:textFill>
        </w:rPr>
      </w:pPr>
      <w:r>
        <w:rPr>
          <w:rFonts w:ascii="Times New Roman" w:hAnsi="Times New Roman"/>
          <w:b/>
          <w:i w:val="0"/>
          <w:color w:val="000000" w:themeColor="text1"/>
          <w:sz w:val="24"/>
          <w14:textFill>
            <w14:solidFill>
              <w14:schemeClr w14:val="tx1"/>
            </w14:solidFill>
          </w14:textFill>
        </w:rPr>
        <w:t>Visual System Architecture &amp; ER Diagram</w:t>
      </w:r>
    </w:p>
    <w:p w14:paraId="0C596EEA">
      <w:pPr>
        <w:spacing w:after="120" w:line="276" w:lineRule="auto"/>
      </w:pPr>
      <w:r>
        <w:rPr>
          <w:rFonts w:ascii="Times New Roman" w:hAnsi="Times New Roman"/>
          <w:b w:val="0"/>
          <w:i w:val="0"/>
          <w:color w:val="333333"/>
          <w:sz w:val="22"/>
        </w:rPr>
        <w:t>The comprehensive ER diagram below maps out the core data entities, structural cardinalities, and relationship pathways across the entire BlogNest application stack.</w:t>
      </w:r>
    </w:p>
    <w:p w14:paraId="0D9EB547">
      <w:pPr>
        <w:jc w:val="center"/>
      </w:pPr>
      <w:r>
        <w:drawing>
          <wp:inline distT="0" distB="0" distL="114300" distR="114300">
            <wp:extent cx="5669280" cy="4085590"/>
            <wp:effectExtent l="0" t="0" r="762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4085991"/>
                    </a:xfrm>
                    <a:prstGeom prst="rect">
                      <a:avLst/>
                    </a:prstGeom>
                  </pic:spPr>
                </pic:pic>
              </a:graphicData>
            </a:graphic>
          </wp:inline>
        </w:drawing>
      </w:r>
    </w:p>
    <w:p w14:paraId="362B5DCE">
      <w:pPr>
        <w:keepNext/>
        <w:spacing w:before="360" w:after="120"/>
        <w:rPr>
          <w:color w:val="000000" w:themeColor="text1"/>
          <w14:textFill>
            <w14:solidFill>
              <w14:schemeClr w14:val="tx1"/>
            </w14:solidFill>
          </w14:textFill>
        </w:rPr>
      </w:pPr>
      <w:r>
        <w:rPr>
          <w:rFonts w:ascii="Times New Roman" w:hAnsi="Times New Roman"/>
          <w:b/>
          <w:i w:val="0"/>
          <w:color w:val="000000" w:themeColor="text1"/>
          <w:sz w:val="30"/>
          <w14:textFill>
            <w14:solidFill>
              <w14:schemeClr w14:val="tx1"/>
            </w14:solidFill>
          </w14:textFill>
        </w:rPr>
        <w:t>2. Comprehensive Entity Specifications &amp; Schema Design</w:t>
      </w:r>
    </w:p>
    <w:p w14:paraId="437C46B7">
      <w:pPr>
        <w:spacing w:after="120" w:line="276" w:lineRule="auto"/>
      </w:pPr>
      <w:r>
        <w:rPr>
          <w:rFonts w:ascii="Times New Roman" w:hAnsi="Times New Roman"/>
          <w:b w:val="0"/>
          <w:i w:val="0"/>
          <w:color w:val="333333"/>
          <w:sz w:val="22"/>
        </w:rPr>
        <w:t>The database schema comprises four foundational collections designed to maintain rigorous relational integrity while leveraging the flexibility of document databases.</w:t>
      </w:r>
    </w:p>
    <w:p w14:paraId="1D17DB6C">
      <w:pPr>
        <w:keepNext/>
        <w:spacing w:before="280" w:after="80"/>
        <w:rPr>
          <w:color w:val="000000" w:themeColor="text1"/>
          <w14:textFill>
            <w14:solidFill>
              <w14:schemeClr w14:val="tx1"/>
            </w14:solidFill>
          </w14:textFill>
        </w:rPr>
      </w:pPr>
      <w:r>
        <w:rPr>
          <w:rFonts w:ascii="Times New Roman" w:hAnsi="Times New Roman"/>
          <w:b/>
          <w:i w:val="0"/>
          <w:color w:val="000000" w:themeColor="text1"/>
          <w:sz w:val="24"/>
          <w14:textFill>
            <w14:solidFill>
              <w14:schemeClr w14:val="tx1"/>
            </w14:solidFill>
          </w14:textFill>
        </w:rPr>
        <w:t>User Entity Collection</w:t>
      </w:r>
    </w:p>
    <w:tbl>
      <w:tblPr>
        <w:tblStyle w:val="12"/>
        <w:tblW w:w="0" w:type="auto"/>
        <w:jc w:val="center"/>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45A42CD5">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2B6CB0"/>
          </w:tcPr>
          <w:p w14:paraId="35976D8B">
            <w:r>
              <w:rPr>
                <w:rFonts w:ascii="Times New Roman" w:hAnsi="Times New Roman"/>
                <w:b/>
                <w:i w:val="0"/>
                <w:color w:val="FFFFFF"/>
                <w:sz w:val="20"/>
              </w:rPr>
              <w:t>Field Name</w:t>
            </w:r>
          </w:p>
        </w:tc>
        <w:tc>
          <w:tcPr>
            <w:tcW w:w="2880" w:type="dxa"/>
            <w:shd w:val="clear" w:color="auto" w:fill="2B6CB0"/>
          </w:tcPr>
          <w:p w14:paraId="4ED754F5">
            <w:r>
              <w:rPr>
                <w:rFonts w:ascii="Times New Roman" w:hAnsi="Times New Roman"/>
                <w:b/>
                <w:i w:val="0"/>
                <w:color w:val="FFFFFF"/>
                <w:sz w:val="20"/>
              </w:rPr>
              <w:t>Data Type &amp; Constraints</w:t>
            </w:r>
          </w:p>
        </w:tc>
        <w:tc>
          <w:tcPr>
            <w:tcW w:w="3600" w:type="dxa"/>
            <w:shd w:val="clear" w:color="auto" w:fill="2B6CB0"/>
          </w:tcPr>
          <w:p w14:paraId="22C89CC6">
            <w:r>
              <w:rPr>
                <w:rFonts w:ascii="Times New Roman" w:hAnsi="Times New Roman"/>
                <w:b/>
                <w:i w:val="0"/>
                <w:color w:val="FFFFFF"/>
                <w:sz w:val="20"/>
              </w:rPr>
              <w:t>Detailed Specification</w:t>
            </w:r>
          </w:p>
        </w:tc>
      </w:tr>
      <w:tr w14:paraId="698A64F9">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1D54C912">
            <w:r>
              <w:rPr>
                <w:rFonts w:ascii="Times New Roman" w:hAnsi="Times New Roman"/>
                <w:b w:val="0"/>
                <w:i w:val="0"/>
                <w:color w:val="333333"/>
                <w:sz w:val="20"/>
              </w:rPr>
              <w:t>_id</w:t>
            </w:r>
          </w:p>
        </w:tc>
        <w:tc>
          <w:tcPr>
            <w:tcW w:w="2880" w:type="dxa"/>
            <w:shd w:val="clear" w:color="auto" w:fill="FFFFFF"/>
          </w:tcPr>
          <w:p w14:paraId="3624A4D8">
            <w:r>
              <w:rPr>
                <w:rFonts w:ascii="Times New Roman" w:hAnsi="Times New Roman"/>
                <w:b w:val="0"/>
                <w:i w:val="0"/>
                <w:color w:val="333333"/>
                <w:sz w:val="20"/>
              </w:rPr>
              <w:t>Primary Key (ObjectId)</w:t>
            </w:r>
          </w:p>
        </w:tc>
        <w:tc>
          <w:tcPr>
            <w:tcW w:w="3600" w:type="dxa"/>
            <w:shd w:val="clear" w:color="auto" w:fill="FFFFFF"/>
          </w:tcPr>
          <w:p w14:paraId="1132D26C">
            <w:r>
              <w:rPr>
                <w:rFonts w:ascii="Times New Roman" w:hAnsi="Times New Roman"/>
                <w:b w:val="0"/>
                <w:i w:val="0"/>
                <w:color w:val="333333"/>
                <w:sz w:val="20"/>
              </w:rPr>
              <w:t>Globally unique document identifier generated automatically by the database engine.</w:t>
            </w:r>
          </w:p>
        </w:tc>
      </w:tr>
      <w:tr w14:paraId="595CB62F">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7DC62E3B">
            <w:r>
              <w:rPr>
                <w:rFonts w:ascii="Times New Roman" w:hAnsi="Times New Roman"/>
                <w:b w:val="0"/>
                <w:i w:val="0"/>
                <w:color w:val="333333"/>
                <w:sz w:val="20"/>
              </w:rPr>
              <w:t>name</w:t>
            </w:r>
          </w:p>
        </w:tc>
        <w:tc>
          <w:tcPr>
            <w:tcW w:w="2880" w:type="dxa"/>
            <w:shd w:val="clear" w:color="auto" w:fill="F7FAFC"/>
          </w:tcPr>
          <w:p w14:paraId="22D957DC">
            <w:r>
              <w:rPr>
                <w:rFonts w:ascii="Times New Roman" w:hAnsi="Times New Roman"/>
                <w:b w:val="0"/>
                <w:i w:val="0"/>
                <w:color w:val="333333"/>
                <w:sz w:val="20"/>
              </w:rPr>
              <w:t>String (Required)</w:t>
            </w:r>
          </w:p>
        </w:tc>
        <w:tc>
          <w:tcPr>
            <w:tcW w:w="3600" w:type="dxa"/>
            <w:shd w:val="clear" w:color="auto" w:fill="F7FAFC"/>
          </w:tcPr>
          <w:p w14:paraId="4E34C4DC">
            <w:r>
              <w:rPr>
                <w:rFonts w:ascii="Times New Roman" w:hAnsi="Times New Roman"/>
                <w:b w:val="0"/>
                <w:i w:val="0"/>
                <w:color w:val="333333"/>
                <w:sz w:val="20"/>
              </w:rPr>
              <w:t>Full legal or display name of the registered user account.</w:t>
            </w:r>
          </w:p>
        </w:tc>
      </w:tr>
      <w:tr w14:paraId="1C556D09">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562E40C8">
            <w:r>
              <w:rPr>
                <w:rFonts w:ascii="Times New Roman" w:hAnsi="Times New Roman"/>
                <w:b w:val="0"/>
                <w:i w:val="0"/>
                <w:color w:val="333333"/>
                <w:sz w:val="20"/>
              </w:rPr>
              <w:t>email</w:t>
            </w:r>
          </w:p>
        </w:tc>
        <w:tc>
          <w:tcPr>
            <w:tcW w:w="2880" w:type="dxa"/>
            <w:shd w:val="clear" w:color="auto" w:fill="FFFFFF"/>
          </w:tcPr>
          <w:p w14:paraId="08F865A6">
            <w:r>
              <w:rPr>
                <w:rFonts w:ascii="Times New Roman" w:hAnsi="Times New Roman"/>
                <w:b w:val="0"/>
                <w:i w:val="0"/>
                <w:color w:val="333333"/>
                <w:sz w:val="20"/>
              </w:rPr>
              <w:t>String (Unique, Indexed)</w:t>
            </w:r>
          </w:p>
        </w:tc>
        <w:tc>
          <w:tcPr>
            <w:tcW w:w="3600" w:type="dxa"/>
            <w:shd w:val="clear" w:color="auto" w:fill="FFFFFF"/>
          </w:tcPr>
          <w:p w14:paraId="22E2A1FC">
            <w:r>
              <w:rPr>
                <w:rFonts w:ascii="Times New Roman" w:hAnsi="Times New Roman"/>
                <w:b w:val="0"/>
                <w:i w:val="0"/>
                <w:color w:val="333333"/>
                <w:sz w:val="20"/>
              </w:rPr>
              <w:t>Primary email address used for system authentication and account recovery.</w:t>
            </w:r>
          </w:p>
        </w:tc>
      </w:tr>
      <w:tr w14:paraId="435D42D2">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4A1160A1">
            <w:r>
              <w:rPr>
                <w:rFonts w:ascii="Times New Roman" w:hAnsi="Times New Roman"/>
                <w:b w:val="0"/>
                <w:i w:val="0"/>
                <w:color w:val="333333"/>
                <w:sz w:val="20"/>
              </w:rPr>
              <w:t>password</w:t>
            </w:r>
          </w:p>
        </w:tc>
        <w:tc>
          <w:tcPr>
            <w:tcW w:w="2880" w:type="dxa"/>
            <w:shd w:val="clear" w:color="auto" w:fill="F7FAFC"/>
          </w:tcPr>
          <w:p w14:paraId="090DD670">
            <w:r>
              <w:rPr>
                <w:rFonts w:ascii="Times New Roman" w:hAnsi="Times New Roman"/>
                <w:b w:val="0"/>
                <w:i w:val="0"/>
                <w:color w:val="333333"/>
                <w:sz w:val="20"/>
              </w:rPr>
              <w:t>String (Hashed, Encrypted)</w:t>
            </w:r>
          </w:p>
        </w:tc>
        <w:tc>
          <w:tcPr>
            <w:tcW w:w="3600" w:type="dxa"/>
            <w:shd w:val="clear" w:color="auto" w:fill="F7FAFC"/>
          </w:tcPr>
          <w:p w14:paraId="1CD0F6EC">
            <w:r>
              <w:rPr>
                <w:rFonts w:ascii="Times New Roman" w:hAnsi="Times New Roman"/>
                <w:b w:val="0"/>
                <w:i w:val="0"/>
                <w:color w:val="333333"/>
                <w:sz w:val="20"/>
              </w:rPr>
              <w:t>Bcrypt salted and hashed password string ensuring enterprise-grade credential security.</w:t>
            </w:r>
          </w:p>
        </w:tc>
      </w:tr>
      <w:tr w14:paraId="32E0B93A">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144F0967">
            <w:r>
              <w:rPr>
                <w:rFonts w:ascii="Times New Roman" w:hAnsi="Times New Roman"/>
                <w:b w:val="0"/>
                <w:i w:val="0"/>
                <w:color w:val="333333"/>
                <w:sz w:val="20"/>
              </w:rPr>
              <w:t>role</w:t>
            </w:r>
          </w:p>
        </w:tc>
        <w:tc>
          <w:tcPr>
            <w:tcW w:w="2880" w:type="dxa"/>
            <w:shd w:val="clear" w:color="auto" w:fill="FFFFFF"/>
          </w:tcPr>
          <w:p w14:paraId="2D6918F4">
            <w:r>
              <w:rPr>
                <w:rFonts w:ascii="Times New Roman" w:hAnsi="Times New Roman"/>
                <w:b w:val="0"/>
                <w:i w:val="0"/>
                <w:color w:val="333333"/>
                <w:sz w:val="20"/>
              </w:rPr>
              <w:t>String (Default: 'reader')</w:t>
            </w:r>
          </w:p>
        </w:tc>
        <w:tc>
          <w:tcPr>
            <w:tcW w:w="3600" w:type="dxa"/>
            <w:shd w:val="clear" w:color="auto" w:fill="FFFFFF"/>
          </w:tcPr>
          <w:p w14:paraId="03D3712B">
            <w:r>
              <w:rPr>
                <w:rFonts w:ascii="Times New Roman" w:hAnsi="Times New Roman"/>
                <w:b w:val="0"/>
                <w:i w:val="0"/>
                <w:color w:val="333333"/>
                <w:sz w:val="20"/>
              </w:rPr>
              <w:t>Authorization privilege level (e.g., 'reader', 'author', 'admin') governing access controls.</w:t>
            </w:r>
          </w:p>
        </w:tc>
      </w:tr>
    </w:tbl>
    <w:p w14:paraId="791AB515">
      <w:pPr>
        <w:spacing w:after="80"/>
        <w:rPr>
          <w:color w:val="000000" w:themeColor="text1"/>
          <w14:textFill>
            <w14:solidFill>
              <w14:schemeClr w14:val="tx1"/>
            </w14:solidFill>
          </w14:textFill>
        </w:rPr>
      </w:pPr>
    </w:p>
    <w:p w14:paraId="52BFF313">
      <w:pPr>
        <w:keepNext/>
        <w:spacing w:before="280" w:after="80"/>
        <w:rPr>
          <w:color w:val="000000" w:themeColor="text1"/>
          <w14:textFill>
            <w14:solidFill>
              <w14:schemeClr w14:val="tx1"/>
            </w14:solidFill>
          </w14:textFill>
        </w:rPr>
      </w:pPr>
      <w:r>
        <w:rPr>
          <w:rFonts w:ascii="Times New Roman" w:hAnsi="Times New Roman"/>
          <w:b/>
          <w:i w:val="0"/>
          <w:color w:val="000000" w:themeColor="text1"/>
          <w:sz w:val="24"/>
          <w14:textFill>
            <w14:solidFill>
              <w14:schemeClr w14:val="tx1"/>
            </w14:solidFill>
          </w14:textFill>
        </w:rPr>
        <w:t>Post Entity Collection</w:t>
      </w:r>
    </w:p>
    <w:tbl>
      <w:tblPr>
        <w:tblStyle w:val="12"/>
        <w:tblW w:w="0" w:type="auto"/>
        <w:jc w:val="center"/>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73BC3A1B">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2B6CB0"/>
          </w:tcPr>
          <w:p w14:paraId="71186669">
            <w:r>
              <w:rPr>
                <w:rFonts w:ascii="Times New Roman" w:hAnsi="Times New Roman"/>
                <w:b/>
                <w:i w:val="0"/>
                <w:color w:val="FFFFFF"/>
                <w:sz w:val="20"/>
              </w:rPr>
              <w:t>Field Name</w:t>
            </w:r>
          </w:p>
        </w:tc>
        <w:tc>
          <w:tcPr>
            <w:tcW w:w="2880" w:type="dxa"/>
            <w:shd w:val="clear" w:color="auto" w:fill="2B6CB0"/>
          </w:tcPr>
          <w:p w14:paraId="3D78C119">
            <w:r>
              <w:rPr>
                <w:rFonts w:ascii="Times New Roman" w:hAnsi="Times New Roman"/>
                <w:b/>
                <w:i w:val="0"/>
                <w:color w:val="FFFFFF"/>
                <w:sz w:val="20"/>
              </w:rPr>
              <w:t>Data Type &amp; Constraints</w:t>
            </w:r>
          </w:p>
        </w:tc>
        <w:tc>
          <w:tcPr>
            <w:tcW w:w="3600" w:type="dxa"/>
            <w:shd w:val="clear" w:color="auto" w:fill="2B6CB0"/>
          </w:tcPr>
          <w:p w14:paraId="3625E124">
            <w:r>
              <w:rPr>
                <w:rFonts w:ascii="Times New Roman" w:hAnsi="Times New Roman"/>
                <w:b/>
                <w:i w:val="0"/>
                <w:color w:val="FFFFFF"/>
                <w:sz w:val="20"/>
              </w:rPr>
              <w:t>Detailed Specification</w:t>
            </w:r>
          </w:p>
        </w:tc>
      </w:tr>
      <w:tr w14:paraId="2B130BBA">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31B7AEA0">
            <w:r>
              <w:rPr>
                <w:rFonts w:ascii="Times New Roman" w:hAnsi="Times New Roman"/>
                <w:b w:val="0"/>
                <w:i w:val="0"/>
                <w:color w:val="333333"/>
                <w:sz w:val="20"/>
              </w:rPr>
              <w:t>_id</w:t>
            </w:r>
          </w:p>
        </w:tc>
        <w:tc>
          <w:tcPr>
            <w:tcW w:w="2880" w:type="dxa"/>
            <w:shd w:val="clear" w:color="auto" w:fill="FFFFFF"/>
          </w:tcPr>
          <w:p w14:paraId="7324B7BC">
            <w:r>
              <w:rPr>
                <w:rFonts w:ascii="Times New Roman" w:hAnsi="Times New Roman"/>
                <w:b w:val="0"/>
                <w:i w:val="0"/>
                <w:color w:val="333333"/>
                <w:sz w:val="20"/>
              </w:rPr>
              <w:t>Primary Key (ObjectId)</w:t>
            </w:r>
          </w:p>
        </w:tc>
        <w:tc>
          <w:tcPr>
            <w:tcW w:w="3600" w:type="dxa"/>
            <w:shd w:val="clear" w:color="auto" w:fill="FFFFFF"/>
          </w:tcPr>
          <w:p w14:paraId="1C564AC2">
            <w:r>
              <w:rPr>
                <w:rFonts w:ascii="Times New Roman" w:hAnsi="Times New Roman"/>
                <w:b w:val="0"/>
                <w:i w:val="0"/>
                <w:color w:val="333333"/>
                <w:sz w:val="20"/>
              </w:rPr>
              <w:t>Unique identifier representing an individual published blog article.</w:t>
            </w:r>
          </w:p>
        </w:tc>
      </w:tr>
      <w:tr w14:paraId="15CA6DC3">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0E8A18F6">
            <w:r>
              <w:rPr>
                <w:rFonts w:ascii="Times New Roman" w:hAnsi="Times New Roman"/>
                <w:b w:val="0"/>
                <w:i w:val="0"/>
                <w:color w:val="333333"/>
                <w:sz w:val="20"/>
              </w:rPr>
              <w:t>userID</w:t>
            </w:r>
          </w:p>
        </w:tc>
        <w:tc>
          <w:tcPr>
            <w:tcW w:w="2880" w:type="dxa"/>
            <w:shd w:val="clear" w:color="auto" w:fill="F7FAFC"/>
          </w:tcPr>
          <w:p w14:paraId="106AA9F9">
            <w:r>
              <w:rPr>
                <w:rFonts w:ascii="Times New Roman" w:hAnsi="Times New Roman"/>
                <w:b w:val="0"/>
                <w:i w:val="0"/>
                <w:color w:val="333333"/>
                <w:sz w:val="20"/>
              </w:rPr>
              <w:t>Foreign Key (Ref: User)</w:t>
            </w:r>
          </w:p>
        </w:tc>
        <w:tc>
          <w:tcPr>
            <w:tcW w:w="3600" w:type="dxa"/>
            <w:shd w:val="clear" w:color="auto" w:fill="F7FAFC"/>
          </w:tcPr>
          <w:p w14:paraId="4F9E68B6">
            <w:r>
              <w:rPr>
                <w:rFonts w:ascii="Times New Roman" w:hAnsi="Times New Roman"/>
                <w:b w:val="0"/>
                <w:i w:val="0"/>
                <w:color w:val="333333"/>
                <w:sz w:val="20"/>
              </w:rPr>
              <w:t>Reference link mapping the article directly to its registered author.</w:t>
            </w:r>
          </w:p>
        </w:tc>
      </w:tr>
      <w:tr w14:paraId="06214518">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59586FE8">
            <w:r>
              <w:rPr>
                <w:rFonts w:ascii="Times New Roman" w:hAnsi="Times New Roman"/>
                <w:b w:val="0"/>
                <w:i w:val="0"/>
                <w:color w:val="333333"/>
                <w:sz w:val="20"/>
              </w:rPr>
              <w:t>name</w:t>
            </w:r>
          </w:p>
        </w:tc>
        <w:tc>
          <w:tcPr>
            <w:tcW w:w="2880" w:type="dxa"/>
            <w:shd w:val="clear" w:color="auto" w:fill="FFFFFF"/>
          </w:tcPr>
          <w:p w14:paraId="7934EB1F">
            <w:r>
              <w:rPr>
                <w:rFonts w:ascii="Times New Roman" w:hAnsi="Times New Roman"/>
                <w:b w:val="0"/>
                <w:i w:val="0"/>
                <w:color w:val="333333"/>
                <w:sz w:val="20"/>
              </w:rPr>
              <w:t>String (Required, Indexed)</w:t>
            </w:r>
          </w:p>
        </w:tc>
        <w:tc>
          <w:tcPr>
            <w:tcW w:w="3600" w:type="dxa"/>
            <w:shd w:val="clear" w:color="auto" w:fill="FFFFFF"/>
          </w:tcPr>
          <w:p w14:paraId="4C876DE3">
            <w:r>
              <w:rPr>
                <w:rFonts w:ascii="Times New Roman" w:hAnsi="Times New Roman"/>
                <w:b w:val="0"/>
                <w:i w:val="0"/>
                <w:color w:val="333333"/>
                <w:sz w:val="20"/>
              </w:rPr>
              <w:t>Compelling title or heading headline for the blog post.</w:t>
            </w:r>
          </w:p>
        </w:tc>
      </w:tr>
      <w:tr w14:paraId="4C407E9F">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1DE7B51B">
            <w:r>
              <w:rPr>
                <w:rFonts w:ascii="Times New Roman" w:hAnsi="Times New Roman"/>
                <w:b w:val="0"/>
                <w:i w:val="0"/>
                <w:color w:val="333333"/>
                <w:sz w:val="20"/>
              </w:rPr>
              <w:t>photo</w:t>
            </w:r>
          </w:p>
        </w:tc>
        <w:tc>
          <w:tcPr>
            <w:tcW w:w="2880" w:type="dxa"/>
            <w:shd w:val="clear" w:color="auto" w:fill="F7FAFC"/>
          </w:tcPr>
          <w:p w14:paraId="4E60534C">
            <w:r>
              <w:rPr>
                <w:rFonts w:ascii="Times New Roman" w:hAnsi="Times New Roman"/>
                <w:b w:val="0"/>
                <w:i w:val="0"/>
                <w:color w:val="333333"/>
                <w:sz w:val="20"/>
              </w:rPr>
              <w:t>String / URL Pathway</w:t>
            </w:r>
          </w:p>
        </w:tc>
        <w:tc>
          <w:tcPr>
            <w:tcW w:w="3600" w:type="dxa"/>
            <w:shd w:val="clear" w:color="auto" w:fill="F7FAFC"/>
          </w:tcPr>
          <w:p w14:paraId="5A8AD003">
            <w:r>
              <w:rPr>
                <w:rFonts w:ascii="Times New Roman" w:hAnsi="Times New Roman"/>
                <w:b w:val="0"/>
                <w:i w:val="0"/>
                <w:color w:val="333333"/>
                <w:sz w:val="20"/>
              </w:rPr>
              <w:t>External or hosted media pathway link pointing to the article's featured cover image.</w:t>
            </w:r>
          </w:p>
        </w:tc>
      </w:tr>
      <w:tr w14:paraId="567E04CB">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3C923FA1">
            <w:r>
              <w:rPr>
                <w:rFonts w:ascii="Times New Roman" w:hAnsi="Times New Roman"/>
                <w:b w:val="0"/>
                <w:i w:val="0"/>
                <w:color w:val="333333"/>
                <w:sz w:val="20"/>
              </w:rPr>
              <w:t>message</w:t>
            </w:r>
          </w:p>
        </w:tc>
        <w:tc>
          <w:tcPr>
            <w:tcW w:w="2880" w:type="dxa"/>
            <w:shd w:val="clear" w:color="auto" w:fill="FFFFFF"/>
          </w:tcPr>
          <w:p w14:paraId="3AD3B353">
            <w:r>
              <w:rPr>
                <w:rFonts w:ascii="Times New Roman" w:hAnsi="Times New Roman"/>
                <w:b w:val="0"/>
                <w:i w:val="0"/>
                <w:color w:val="333333"/>
                <w:sz w:val="20"/>
              </w:rPr>
              <w:t>String (Core Body Text)</w:t>
            </w:r>
          </w:p>
        </w:tc>
        <w:tc>
          <w:tcPr>
            <w:tcW w:w="3600" w:type="dxa"/>
            <w:shd w:val="clear" w:color="auto" w:fill="FFFFFF"/>
          </w:tcPr>
          <w:p w14:paraId="0FC8FCD6">
            <w:r>
              <w:rPr>
                <w:rFonts w:ascii="Times New Roman" w:hAnsi="Times New Roman"/>
                <w:b w:val="0"/>
                <w:i w:val="0"/>
                <w:color w:val="333333"/>
                <w:sz w:val="20"/>
              </w:rPr>
              <w:t>Full-text rich content body of the blog publication.</w:t>
            </w:r>
          </w:p>
        </w:tc>
      </w:tr>
      <w:tr w14:paraId="2E08545A">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013A8770">
            <w:r>
              <w:rPr>
                <w:rFonts w:ascii="Times New Roman" w:hAnsi="Times New Roman"/>
                <w:b w:val="0"/>
                <w:i w:val="0"/>
                <w:color w:val="333333"/>
                <w:sz w:val="20"/>
              </w:rPr>
              <w:t>likes</w:t>
            </w:r>
          </w:p>
        </w:tc>
        <w:tc>
          <w:tcPr>
            <w:tcW w:w="2880" w:type="dxa"/>
            <w:shd w:val="clear" w:color="auto" w:fill="F7FAFC"/>
          </w:tcPr>
          <w:p w14:paraId="10A117F4">
            <w:r>
              <w:rPr>
                <w:rFonts w:ascii="Times New Roman" w:hAnsi="Times New Roman"/>
                <w:b w:val="0"/>
                <w:i w:val="0"/>
                <w:color w:val="333333"/>
                <w:sz w:val="20"/>
              </w:rPr>
              <w:t>Number (Default: 0)</w:t>
            </w:r>
          </w:p>
        </w:tc>
        <w:tc>
          <w:tcPr>
            <w:tcW w:w="3600" w:type="dxa"/>
            <w:shd w:val="clear" w:color="auto" w:fill="F7FAFC"/>
          </w:tcPr>
          <w:p w14:paraId="28A1002A">
            <w:r>
              <w:rPr>
                <w:rFonts w:ascii="Times New Roman" w:hAnsi="Times New Roman"/>
                <w:b w:val="0"/>
                <w:i w:val="0"/>
                <w:color w:val="333333"/>
                <w:sz w:val="20"/>
              </w:rPr>
              <w:t>Accumulated counter tracking reader engagement and positive feedback votes.</w:t>
            </w:r>
          </w:p>
        </w:tc>
      </w:tr>
      <w:tr w14:paraId="0C6D820C">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44A78FD6">
            <w:r>
              <w:rPr>
                <w:rFonts w:ascii="Times New Roman" w:hAnsi="Times New Roman"/>
                <w:b w:val="0"/>
                <w:i w:val="0"/>
                <w:color w:val="333333"/>
                <w:sz w:val="20"/>
              </w:rPr>
              <w:t>timestamps</w:t>
            </w:r>
          </w:p>
        </w:tc>
        <w:tc>
          <w:tcPr>
            <w:tcW w:w="2880" w:type="dxa"/>
            <w:shd w:val="clear" w:color="auto" w:fill="FFFFFF"/>
          </w:tcPr>
          <w:p w14:paraId="36051983">
            <w:r>
              <w:rPr>
                <w:rFonts w:ascii="Times New Roman" w:hAnsi="Times New Roman"/>
                <w:b w:val="0"/>
                <w:i w:val="0"/>
                <w:color w:val="333333"/>
                <w:sz w:val="20"/>
              </w:rPr>
              <w:t>Boolean / ISODate</w:t>
            </w:r>
          </w:p>
        </w:tc>
        <w:tc>
          <w:tcPr>
            <w:tcW w:w="3600" w:type="dxa"/>
            <w:shd w:val="clear" w:color="auto" w:fill="FFFFFF"/>
          </w:tcPr>
          <w:p w14:paraId="4C91D732">
            <w:r>
              <w:rPr>
                <w:rFonts w:ascii="Times New Roman" w:hAnsi="Times New Roman"/>
                <w:b w:val="0"/>
                <w:i w:val="0"/>
                <w:color w:val="333333"/>
                <w:sz w:val="20"/>
              </w:rPr>
              <w:t>Automatic creation and update tracking timestamps (createdAt, updatedAt).</w:t>
            </w:r>
          </w:p>
        </w:tc>
      </w:tr>
    </w:tbl>
    <w:p w14:paraId="5FB03C55">
      <w:pPr>
        <w:spacing w:after="80"/>
      </w:pPr>
    </w:p>
    <w:p w14:paraId="41D3FC03">
      <w:pPr>
        <w:keepNext/>
        <w:spacing w:before="280" w:after="80"/>
      </w:pPr>
      <w:r>
        <w:rPr>
          <w:rFonts w:ascii="Times New Roman" w:hAnsi="Times New Roman"/>
          <w:b/>
          <w:i w:val="0"/>
          <w:color w:val="2B6CB0"/>
          <w:sz w:val="24"/>
        </w:rPr>
        <w:t>Category Entity Collection</w:t>
      </w:r>
    </w:p>
    <w:tbl>
      <w:tblPr>
        <w:tblStyle w:val="12"/>
        <w:tblW w:w="0" w:type="auto"/>
        <w:jc w:val="center"/>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1935BAC7">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2B6CB0"/>
          </w:tcPr>
          <w:p w14:paraId="4190BFB2">
            <w:r>
              <w:rPr>
                <w:rFonts w:ascii="Times New Roman" w:hAnsi="Times New Roman"/>
                <w:b/>
                <w:i w:val="0"/>
                <w:color w:val="FFFFFF"/>
                <w:sz w:val="20"/>
              </w:rPr>
              <w:t>Field Name</w:t>
            </w:r>
          </w:p>
        </w:tc>
        <w:tc>
          <w:tcPr>
            <w:tcW w:w="2880" w:type="dxa"/>
            <w:shd w:val="clear" w:color="auto" w:fill="2B6CB0"/>
          </w:tcPr>
          <w:p w14:paraId="55965B90">
            <w:r>
              <w:rPr>
                <w:rFonts w:ascii="Times New Roman" w:hAnsi="Times New Roman"/>
                <w:b/>
                <w:i w:val="0"/>
                <w:color w:val="FFFFFF"/>
                <w:sz w:val="20"/>
              </w:rPr>
              <w:t>Data Type &amp; Constraints</w:t>
            </w:r>
          </w:p>
        </w:tc>
        <w:tc>
          <w:tcPr>
            <w:tcW w:w="3600" w:type="dxa"/>
            <w:shd w:val="clear" w:color="auto" w:fill="2B6CB0"/>
          </w:tcPr>
          <w:p w14:paraId="698F288C">
            <w:r>
              <w:rPr>
                <w:rFonts w:ascii="Times New Roman" w:hAnsi="Times New Roman"/>
                <w:b/>
                <w:i w:val="0"/>
                <w:color w:val="FFFFFF"/>
                <w:sz w:val="20"/>
              </w:rPr>
              <w:t>Detailed Specification</w:t>
            </w:r>
          </w:p>
        </w:tc>
      </w:tr>
      <w:tr w14:paraId="37C125B9">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4FAB786B">
            <w:r>
              <w:rPr>
                <w:rFonts w:ascii="Times New Roman" w:hAnsi="Times New Roman"/>
                <w:b w:val="0"/>
                <w:i w:val="0"/>
                <w:color w:val="333333"/>
                <w:sz w:val="20"/>
              </w:rPr>
              <w:t>_id</w:t>
            </w:r>
          </w:p>
        </w:tc>
        <w:tc>
          <w:tcPr>
            <w:tcW w:w="2880" w:type="dxa"/>
            <w:shd w:val="clear" w:color="auto" w:fill="FFFFFF"/>
          </w:tcPr>
          <w:p w14:paraId="370C01D9">
            <w:r>
              <w:rPr>
                <w:rFonts w:ascii="Times New Roman" w:hAnsi="Times New Roman"/>
                <w:b w:val="0"/>
                <w:i w:val="0"/>
                <w:color w:val="333333"/>
                <w:sz w:val="20"/>
              </w:rPr>
              <w:t>Primary Key (ObjectId)</w:t>
            </w:r>
          </w:p>
        </w:tc>
        <w:tc>
          <w:tcPr>
            <w:tcW w:w="3600" w:type="dxa"/>
            <w:shd w:val="clear" w:color="auto" w:fill="FFFFFF"/>
          </w:tcPr>
          <w:p w14:paraId="41919980">
            <w:r>
              <w:rPr>
                <w:rFonts w:ascii="Times New Roman" w:hAnsi="Times New Roman"/>
                <w:b w:val="0"/>
                <w:i w:val="0"/>
                <w:color w:val="333333"/>
                <w:sz w:val="20"/>
              </w:rPr>
              <w:t>Unique identifier assigned to each topic category classification.</w:t>
            </w:r>
          </w:p>
        </w:tc>
      </w:tr>
      <w:tr w14:paraId="645312EA">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70DD6267">
            <w:r>
              <w:rPr>
                <w:rFonts w:ascii="Times New Roman" w:hAnsi="Times New Roman"/>
                <w:b w:val="0"/>
                <w:i w:val="0"/>
                <w:color w:val="333333"/>
                <w:sz w:val="20"/>
              </w:rPr>
              <w:t>name</w:t>
            </w:r>
          </w:p>
        </w:tc>
        <w:tc>
          <w:tcPr>
            <w:tcW w:w="2880" w:type="dxa"/>
            <w:shd w:val="clear" w:color="auto" w:fill="F7FAFC"/>
          </w:tcPr>
          <w:p w14:paraId="114A0210">
            <w:r>
              <w:rPr>
                <w:rFonts w:ascii="Times New Roman" w:hAnsi="Times New Roman"/>
                <w:b w:val="0"/>
                <w:i w:val="0"/>
                <w:color w:val="333333"/>
                <w:sz w:val="20"/>
              </w:rPr>
              <w:t>String (Required, Unique)</w:t>
            </w:r>
          </w:p>
        </w:tc>
        <w:tc>
          <w:tcPr>
            <w:tcW w:w="3600" w:type="dxa"/>
            <w:shd w:val="clear" w:color="auto" w:fill="F7FAFC"/>
          </w:tcPr>
          <w:p w14:paraId="79719092">
            <w:r>
              <w:rPr>
                <w:rFonts w:ascii="Times New Roman" w:hAnsi="Times New Roman"/>
                <w:b w:val="0"/>
                <w:i w:val="0"/>
                <w:color w:val="333333"/>
                <w:sz w:val="20"/>
              </w:rPr>
              <w:t>Title of the category (e.g., Technology, Software Engineering, Lifestyle).</w:t>
            </w:r>
          </w:p>
        </w:tc>
      </w:tr>
      <w:tr w14:paraId="3C91E4A0">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609FCC64">
            <w:r>
              <w:rPr>
                <w:rFonts w:ascii="Times New Roman" w:hAnsi="Times New Roman"/>
                <w:b w:val="0"/>
                <w:i w:val="0"/>
                <w:color w:val="333333"/>
                <w:sz w:val="20"/>
              </w:rPr>
              <w:t>description</w:t>
            </w:r>
          </w:p>
        </w:tc>
        <w:tc>
          <w:tcPr>
            <w:tcW w:w="2880" w:type="dxa"/>
            <w:shd w:val="clear" w:color="auto" w:fill="FFFFFF"/>
          </w:tcPr>
          <w:p w14:paraId="09927CF2">
            <w:r>
              <w:rPr>
                <w:rFonts w:ascii="Times New Roman" w:hAnsi="Times New Roman"/>
                <w:b w:val="0"/>
                <w:i w:val="0"/>
                <w:color w:val="333333"/>
                <w:sz w:val="20"/>
              </w:rPr>
              <w:t>String (Optional)</w:t>
            </w:r>
          </w:p>
        </w:tc>
        <w:tc>
          <w:tcPr>
            <w:tcW w:w="3600" w:type="dxa"/>
            <w:shd w:val="clear" w:color="auto" w:fill="FFFFFF"/>
          </w:tcPr>
          <w:p w14:paraId="390AB431">
            <w:r>
              <w:rPr>
                <w:rFonts w:ascii="Times New Roman" w:hAnsi="Times New Roman"/>
                <w:b w:val="0"/>
                <w:i w:val="0"/>
                <w:color w:val="333333"/>
                <w:sz w:val="20"/>
              </w:rPr>
              <w:t>Comprehensive summary explaining the scope and focus of articles within the category.</w:t>
            </w:r>
          </w:p>
        </w:tc>
      </w:tr>
    </w:tbl>
    <w:p w14:paraId="30085A08">
      <w:pPr>
        <w:spacing w:after="80"/>
      </w:pPr>
    </w:p>
    <w:p w14:paraId="7902E984">
      <w:pPr>
        <w:keepNext/>
        <w:spacing w:before="280" w:after="80"/>
        <w:rPr>
          <w:color w:val="000000" w:themeColor="text1"/>
          <w14:textFill>
            <w14:solidFill>
              <w14:schemeClr w14:val="tx1"/>
            </w14:solidFill>
          </w14:textFill>
        </w:rPr>
      </w:pPr>
      <w:r>
        <w:rPr>
          <w:rFonts w:ascii="Times New Roman" w:hAnsi="Times New Roman"/>
          <w:b/>
          <w:i w:val="0"/>
          <w:color w:val="000000" w:themeColor="text1"/>
          <w:sz w:val="24"/>
          <w14:textFill>
            <w14:solidFill>
              <w14:schemeClr w14:val="tx1"/>
            </w14:solidFill>
          </w14:textFill>
        </w:rPr>
        <w:t>Comment Entity Collection</w:t>
      </w:r>
    </w:p>
    <w:tbl>
      <w:tblPr>
        <w:tblStyle w:val="12"/>
        <w:tblW w:w="0" w:type="auto"/>
        <w:jc w:val="center"/>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Layout w:type="fixed"/>
        <w:tblCellMar>
          <w:top w:w="0" w:type="dxa"/>
          <w:left w:w="108" w:type="dxa"/>
          <w:bottom w:w="0" w:type="dxa"/>
          <w:right w:w="108" w:type="dxa"/>
        </w:tblCellMar>
      </w:tblPr>
      <w:tblGrid>
        <w:gridCol w:w="3120"/>
        <w:gridCol w:w="3120"/>
        <w:gridCol w:w="3120"/>
      </w:tblGrid>
      <w:tr w14:paraId="6CFA2D15">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2B6CB0"/>
          </w:tcPr>
          <w:p w14:paraId="7B99D1A9">
            <w:r>
              <w:rPr>
                <w:rFonts w:ascii="Times New Roman" w:hAnsi="Times New Roman"/>
                <w:b/>
                <w:i w:val="0"/>
                <w:color w:val="FFFFFF"/>
                <w:sz w:val="20"/>
              </w:rPr>
              <w:t>Field Name</w:t>
            </w:r>
          </w:p>
        </w:tc>
        <w:tc>
          <w:tcPr>
            <w:tcW w:w="2880" w:type="dxa"/>
            <w:shd w:val="clear" w:color="auto" w:fill="2B6CB0"/>
          </w:tcPr>
          <w:p w14:paraId="4840CE95">
            <w:r>
              <w:rPr>
                <w:rFonts w:ascii="Times New Roman" w:hAnsi="Times New Roman"/>
                <w:b/>
                <w:i w:val="0"/>
                <w:color w:val="FFFFFF"/>
                <w:sz w:val="20"/>
              </w:rPr>
              <w:t>Data Type &amp; Constraints</w:t>
            </w:r>
          </w:p>
        </w:tc>
        <w:tc>
          <w:tcPr>
            <w:tcW w:w="3600" w:type="dxa"/>
            <w:shd w:val="clear" w:color="auto" w:fill="2B6CB0"/>
          </w:tcPr>
          <w:p w14:paraId="44CF7BAB">
            <w:r>
              <w:rPr>
                <w:rFonts w:ascii="Times New Roman" w:hAnsi="Times New Roman"/>
                <w:b/>
                <w:i w:val="0"/>
                <w:color w:val="FFFFFF"/>
                <w:sz w:val="20"/>
              </w:rPr>
              <w:t>Detailed Specification</w:t>
            </w:r>
          </w:p>
        </w:tc>
      </w:tr>
      <w:tr w14:paraId="4802B3A7">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4D023F59">
            <w:r>
              <w:rPr>
                <w:rFonts w:ascii="Times New Roman" w:hAnsi="Times New Roman"/>
                <w:b w:val="0"/>
                <w:i w:val="0"/>
                <w:color w:val="333333"/>
                <w:sz w:val="20"/>
              </w:rPr>
              <w:t>_id</w:t>
            </w:r>
          </w:p>
        </w:tc>
        <w:tc>
          <w:tcPr>
            <w:tcW w:w="2880" w:type="dxa"/>
            <w:shd w:val="clear" w:color="auto" w:fill="FFFFFF"/>
          </w:tcPr>
          <w:p w14:paraId="44DEFA0E">
            <w:r>
              <w:rPr>
                <w:rFonts w:ascii="Times New Roman" w:hAnsi="Times New Roman"/>
                <w:b w:val="0"/>
                <w:i w:val="0"/>
                <w:color w:val="333333"/>
                <w:sz w:val="20"/>
              </w:rPr>
              <w:t>Primary Key (ObjectId)</w:t>
            </w:r>
          </w:p>
        </w:tc>
        <w:tc>
          <w:tcPr>
            <w:tcW w:w="3600" w:type="dxa"/>
            <w:shd w:val="clear" w:color="auto" w:fill="FFFFFF"/>
          </w:tcPr>
          <w:p w14:paraId="3CD0FF29">
            <w:r>
              <w:rPr>
                <w:rFonts w:ascii="Times New Roman" w:hAnsi="Times New Roman"/>
                <w:b w:val="0"/>
                <w:i w:val="0"/>
                <w:color w:val="333333"/>
                <w:sz w:val="20"/>
              </w:rPr>
              <w:t>Unique record identifier for reader response feedback.</w:t>
            </w:r>
          </w:p>
        </w:tc>
      </w:tr>
      <w:tr w14:paraId="61016B1D">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65D2EC52">
            <w:r>
              <w:rPr>
                <w:rFonts w:ascii="Times New Roman" w:hAnsi="Times New Roman"/>
                <w:b w:val="0"/>
                <w:i w:val="0"/>
                <w:color w:val="333333"/>
                <w:sz w:val="20"/>
              </w:rPr>
              <w:t>postId</w:t>
            </w:r>
          </w:p>
        </w:tc>
        <w:tc>
          <w:tcPr>
            <w:tcW w:w="2880" w:type="dxa"/>
            <w:shd w:val="clear" w:color="auto" w:fill="F7FAFC"/>
          </w:tcPr>
          <w:p w14:paraId="48A3C19F">
            <w:r>
              <w:rPr>
                <w:rFonts w:ascii="Times New Roman" w:hAnsi="Times New Roman"/>
                <w:b w:val="0"/>
                <w:i w:val="0"/>
                <w:color w:val="333333"/>
                <w:sz w:val="20"/>
              </w:rPr>
              <w:t>Foreign Key (Ref: Post)</w:t>
            </w:r>
          </w:p>
        </w:tc>
        <w:tc>
          <w:tcPr>
            <w:tcW w:w="3600" w:type="dxa"/>
            <w:shd w:val="clear" w:color="auto" w:fill="F7FAFC"/>
          </w:tcPr>
          <w:p w14:paraId="1546C993">
            <w:r>
              <w:rPr>
                <w:rFonts w:ascii="Times New Roman" w:hAnsi="Times New Roman"/>
                <w:b w:val="0"/>
                <w:i w:val="0"/>
                <w:color w:val="333333"/>
                <w:sz w:val="20"/>
              </w:rPr>
              <w:t>Target blog post association linking the comment to its parent article node.</w:t>
            </w:r>
          </w:p>
        </w:tc>
      </w:tr>
      <w:tr w14:paraId="3B782C9B">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45FB5DCE">
            <w:r>
              <w:rPr>
                <w:rFonts w:ascii="Times New Roman" w:hAnsi="Times New Roman"/>
                <w:b w:val="0"/>
                <w:i w:val="0"/>
                <w:color w:val="333333"/>
                <w:sz w:val="20"/>
              </w:rPr>
              <w:t>userID</w:t>
            </w:r>
          </w:p>
        </w:tc>
        <w:tc>
          <w:tcPr>
            <w:tcW w:w="2880" w:type="dxa"/>
            <w:shd w:val="clear" w:color="auto" w:fill="FFFFFF"/>
          </w:tcPr>
          <w:p w14:paraId="5012DC13">
            <w:r>
              <w:rPr>
                <w:rFonts w:ascii="Times New Roman" w:hAnsi="Times New Roman"/>
                <w:b w:val="0"/>
                <w:i w:val="0"/>
                <w:color w:val="333333"/>
                <w:sz w:val="20"/>
              </w:rPr>
              <w:t>Foreign Key (Ref: User)</w:t>
            </w:r>
          </w:p>
        </w:tc>
        <w:tc>
          <w:tcPr>
            <w:tcW w:w="3600" w:type="dxa"/>
            <w:shd w:val="clear" w:color="auto" w:fill="FFFFFF"/>
          </w:tcPr>
          <w:p w14:paraId="4C97C354">
            <w:r>
              <w:rPr>
                <w:rFonts w:ascii="Times New Roman" w:hAnsi="Times New Roman"/>
                <w:b w:val="0"/>
                <w:i w:val="0"/>
                <w:color w:val="333333"/>
                <w:sz w:val="20"/>
              </w:rPr>
              <w:t>Author reference identifying which user submitted the comment response.</w:t>
            </w:r>
          </w:p>
        </w:tc>
      </w:tr>
      <w:tr w14:paraId="00C83D22">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7FAFC"/>
          </w:tcPr>
          <w:p w14:paraId="1ED215A3">
            <w:r>
              <w:rPr>
                <w:rFonts w:ascii="Times New Roman" w:hAnsi="Times New Roman"/>
                <w:b w:val="0"/>
                <w:i w:val="0"/>
                <w:color w:val="333333"/>
                <w:sz w:val="20"/>
              </w:rPr>
              <w:t>message</w:t>
            </w:r>
          </w:p>
        </w:tc>
        <w:tc>
          <w:tcPr>
            <w:tcW w:w="2880" w:type="dxa"/>
            <w:shd w:val="clear" w:color="auto" w:fill="F7FAFC"/>
          </w:tcPr>
          <w:p w14:paraId="1E4E2FA4">
            <w:r>
              <w:rPr>
                <w:rFonts w:ascii="Times New Roman" w:hAnsi="Times New Roman"/>
                <w:b w:val="0"/>
                <w:i w:val="0"/>
                <w:color w:val="333333"/>
                <w:sz w:val="20"/>
              </w:rPr>
              <w:t>String (Required)</w:t>
            </w:r>
          </w:p>
        </w:tc>
        <w:tc>
          <w:tcPr>
            <w:tcW w:w="3600" w:type="dxa"/>
            <w:shd w:val="clear" w:color="auto" w:fill="F7FAFC"/>
          </w:tcPr>
          <w:p w14:paraId="010A96B6">
            <w:r>
              <w:rPr>
                <w:rFonts w:ascii="Times New Roman" w:hAnsi="Times New Roman"/>
                <w:b w:val="0"/>
                <w:i w:val="0"/>
                <w:color w:val="333333"/>
                <w:sz w:val="20"/>
              </w:rPr>
              <w:t>Text content body of the reader comment or discussion reply.</w:t>
            </w:r>
          </w:p>
        </w:tc>
      </w:tr>
      <w:tr w14:paraId="7B7EDBAE">
        <w:tblPrEx>
          <w:tblBorders>
            <w:top w:val="single" w:color="CBD5E0" w:sz="4" w:space="0"/>
            <w:left w:val="none" w:color="auto" w:sz="0" w:space="0"/>
            <w:bottom w:val="single" w:color="CBD5E0" w:sz="6"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Pr>
          <w:p w14:paraId="3487F287">
            <w:r>
              <w:rPr>
                <w:rFonts w:ascii="Times New Roman" w:hAnsi="Times New Roman"/>
                <w:b w:val="0"/>
                <w:i w:val="0"/>
                <w:color w:val="333333"/>
                <w:sz w:val="20"/>
              </w:rPr>
              <w:t>updatedAt</w:t>
            </w:r>
          </w:p>
        </w:tc>
        <w:tc>
          <w:tcPr>
            <w:tcW w:w="2880" w:type="dxa"/>
            <w:shd w:val="clear" w:color="auto" w:fill="FFFFFF"/>
          </w:tcPr>
          <w:p w14:paraId="6E76FF48">
            <w:r>
              <w:rPr>
                <w:rFonts w:ascii="Times New Roman" w:hAnsi="Times New Roman"/>
                <w:b w:val="0"/>
                <w:i w:val="0"/>
                <w:color w:val="333333"/>
                <w:sz w:val="20"/>
              </w:rPr>
              <w:t>Timestamp</w:t>
            </w:r>
          </w:p>
        </w:tc>
        <w:tc>
          <w:tcPr>
            <w:tcW w:w="3600" w:type="dxa"/>
            <w:shd w:val="clear" w:color="auto" w:fill="FFFFFF"/>
          </w:tcPr>
          <w:p w14:paraId="2BF88F0D">
            <w:r>
              <w:rPr>
                <w:rFonts w:ascii="Times New Roman" w:hAnsi="Times New Roman"/>
                <w:b w:val="0"/>
                <w:i w:val="0"/>
                <w:color w:val="333333"/>
                <w:sz w:val="20"/>
              </w:rPr>
              <w:t>Tracking date and time of the latest comment revision or submission.</w:t>
            </w:r>
          </w:p>
        </w:tc>
      </w:tr>
    </w:tbl>
    <w:p w14:paraId="586F7420">
      <w:pPr>
        <w:spacing w:after="80"/>
      </w:pPr>
    </w:p>
    <w:p w14:paraId="574B98D8">
      <w:pPr>
        <w:keepNext/>
        <w:spacing w:before="360" w:after="120"/>
        <w:rPr>
          <w:color w:val="000000" w:themeColor="text1"/>
          <w14:textFill>
            <w14:solidFill>
              <w14:schemeClr w14:val="tx1"/>
            </w14:solidFill>
          </w14:textFill>
        </w:rPr>
      </w:pPr>
      <w:r>
        <w:rPr>
          <w:rFonts w:ascii="Times New Roman" w:hAnsi="Times New Roman"/>
          <w:b/>
          <w:i w:val="0"/>
          <w:color w:val="000000" w:themeColor="text1"/>
          <w:sz w:val="30"/>
          <w14:textFill>
            <w14:solidFill>
              <w14:schemeClr w14:val="tx1"/>
            </w14:solidFill>
          </w14:textFill>
        </w:rPr>
        <w:t>3. Structural Mappings &amp; Business Logic Workflows</w:t>
      </w:r>
    </w:p>
    <w:p w14:paraId="78EADDD5">
      <w:pPr>
        <w:spacing w:after="120" w:line="276" w:lineRule="auto"/>
      </w:pPr>
      <w:r>
        <w:rPr>
          <w:rFonts w:ascii="Times New Roman" w:hAnsi="Times New Roman"/>
          <w:b w:val="0"/>
          <w:i w:val="0"/>
          <w:color w:val="333333"/>
          <w:sz w:val="22"/>
        </w:rPr>
        <w:t>The interactions between entities define the core operational logic of the BlogNest application ecosystem:</w:t>
      </w:r>
    </w:p>
    <w:p w14:paraId="1E7E9743">
      <w:pPr>
        <w:pStyle w:val="23"/>
        <w:spacing w:after="80"/>
      </w:pPr>
      <w:r>
        <w:rPr>
          <w:rFonts w:ascii="Times New Roman" w:hAnsi="Times New Roman"/>
          <w:b/>
          <w:i w:val="0"/>
          <w:color w:val="000000" w:themeColor="text1"/>
          <w:sz w:val="22"/>
          <w14:textFill>
            <w14:solidFill>
              <w14:schemeClr w14:val="tx1"/>
            </w14:solidFill>
          </w14:textFill>
        </w:rPr>
        <w:t>User to Post (One-to-Many):</w:t>
      </w:r>
      <w:r>
        <w:rPr>
          <w:rFonts w:ascii="Times New Roman" w:hAnsi="Times New Roman"/>
          <w:b w:val="0"/>
          <w:i w:val="0"/>
          <w:color w:val="000000" w:themeColor="text1"/>
          <w:sz w:val="22"/>
          <w14:textFill>
            <w14:solidFill>
              <w14:schemeClr w14:val="tx1"/>
            </w14:solidFill>
          </w14:textFill>
        </w:rPr>
        <w:t xml:space="preserve"> </w:t>
      </w:r>
      <w:r>
        <w:rPr>
          <w:rFonts w:ascii="Times New Roman" w:hAnsi="Times New Roman"/>
          <w:b w:val="0"/>
          <w:i w:val="0"/>
          <w:color w:val="333333"/>
          <w:sz w:val="22"/>
        </w:rPr>
        <w:t>An authorized author account can generate, edit, archive, and publish multiple blog documents. Each post retains a strict foreign key reference back to the originating user profile.</w:t>
      </w:r>
    </w:p>
    <w:p w14:paraId="12516DE6">
      <w:pPr>
        <w:pStyle w:val="23"/>
        <w:spacing w:after="80"/>
      </w:pPr>
      <w:r>
        <w:rPr>
          <w:rFonts w:ascii="Times New Roman" w:hAnsi="Times New Roman"/>
          <w:b/>
          <w:i w:val="0"/>
          <w:color w:val="000000" w:themeColor="text1"/>
          <w:sz w:val="22"/>
          <w14:textFill>
            <w14:solidFill>
              <w14:schemeClr w14:val="tx1"/>
            </w14:solidFill>
          </w14:textFill>
        </w:rPr>
        <w:t>User to Comment (One-to-Many):</w:t>
      </w:r>
      <w:r>
        <w:rPr>
          <w:rFonts w:ascii="Times New Roman" w:hAnsi="Times New Roman"/>
          <w:b w:val="0"/>
          <w:i w:val="0"/>
          <w:color w:val="333333"/>
          <w:sz w:val="22"/>
        </w:rPr>
        <w:t xml:space="preserve"> Registered readers and community participants can post multiple comments across different articles, fostering dynamic user engagement and discussions.</w:t>
      </w:r>
    </w:p>
    <w:p w14:paraId="4BED1EAE">
      <w:pPr>
        <w:pStyle w:val="23"/>
        <w:spacing w:after="80"/>
      </w:pPr>
      <w:r>
        <w:rPr>
          <w:rFonts w:ascii="Times New Roman" w:hAnsi="Times New Roman"/>
          <w:b/>
          <w:i w:val="0"/>
          <w:color w:val="000000" w:themeColor="text1"/>
          <w:sz w:val="22"/>
          <w14:textFill>
            <w14:solidFill>
              <w14:schemeClr w14:val="tx1"/>
            </w14:solidFill>
          </w14:textFill>
        </w:rPr>
        <w:t>Post to Comment (One-to-Many):</w:t>
      </w:r>
      <w:r>
        <w:rPr>
          <w:rFonts w:ascii="Times New Roman" w:hAnsi="Times New Roman"/>
          <w:b w:val="0"/>
          <w:i w:val="0"/>
          <w:color w:val="000000" w:themeColor="text1"/>
          <w:sz w:val="22"/>
          <w14:textFill>
            <w14:solidFill>
              <w14:schemeClr w14:val="tx1"/>
            </w14:solidFill>
          </w14:textFill>
        </w:rPr>
        <w:t xml:space="preserve"> </w:t>
      </w:r>
      <w:r>
        <w:rPr>
          <w:rFonts w:ascii="Times New Roman" w:hAnsi="Times New Roman"/>
          <w:b w:val="0"/>
          <w:i w:val="0"/>
          <w:color w:val="333333"/>
          <w:sz w:val="22"/>
        </w:rPr>
        <w:t>Every individual blog post functions as a container node storing multiple threaded reader comments, allowing structured retrieval of feedback associated with specific content.</w:t>
      </w:r>
    </w:p>
    <w:p w14:paraId="52EAEE36">
      <w:pPr>
        <w:pStyle w:val="23"/>
        <w:spacing w:after="80"/>
      </w:pPr>
      <w:r>
        <w:rPr>
          <w:rFonts w:ascii="Times New Roman" w:hAnsi="Times New Roman"/>
          <w:b/>
          <w:i w:val="0"/>
          <w:color w:val="000000" w:themeColor="text1"/>
          <w:sz w:val="22"/>
          <w14:textFill>
            <w14:solidFill>
              <w14:schemeClr w14:val="tx1"/>
            </w14:solidFill>
          </w14:textFill>
        </w:rPr>
        <w:t>Category to Post (One-to-Many):</w:t>
      </w:r>
      <w:r>
        <w:rPr>
          <w:rFonts w:ascii="Times New Roman" w:hAnsi="Times New Roman"/>
          <w:b w:val="0"/>
          <w:i w:val="0"/>
          <w:color w:val="000000" w:themeColor="text1"/>
          <w:sz w:val="22"/>
          <w14:textFill>
            <w14:solidFill>
              <w14:schemeClr w14:val="tx1"/>
            </w14:solidFill>
          </w14:textFill>
        </w:rPr>
        <w:t xml:space="preserve"> </w:t>
      </w:r>
      <w:r>
        <w:rPr>
          <w:rFonts w:ascii="Times New Roman" w:hAnsi="Times New Roman"/>
          <w:b w:val="0"/>
          <w:i w:val="0"/>
          <w:color w:val="333333"/>
          <w:sz w:val="22"/>
        </w:rPr>
        <w:t>Content categorization ensures that multiple blog articles are organized neatly under distinct topics, facilitating high-speed filtering and intuitive user navigation.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B75CF"/>
    <w:rsid w:val="06B005FE"/>
    <w:rsid w:val="168F2010"/>
    <w:rsid w:val="409B5872"/>
    <w:rsid w:val="61F762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2026-10-01T16:57:01Z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E8CA447B5CA94F1695D3FA3F4F44A32C_13</vt:lpwstr>
  </property>
</Properties>
</file>