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Split each table into separate tables containing only one theme.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new table definitions using the format with parentheses, underlining, and italics.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tables may have only one theme to begin with, so do not need to be split. Simply underline a primary key.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tables are numbered A through 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 ( SerialNumber, Description, AcquisitionDate, AcquisitionPrice 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data is an example:</w:t>
      </w:r>
    </w:p>
    <w:tbl>
      <w:tblPr>
        <w:tblStyle w:val="Table1"/>
        <w:tblW w:w="8625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6.25"/>
        <w:gridCol w:w="2156.25"/>
        <w:gridCol w:w="2156.25"/>
        <w:gridCol w:w="2156.25"/>
        <w:tblGridChange w:id="0">
          <w:tblGrid>
            <w:gridCol w:w="2156.25"/>
            <w:gridCol w:w="2156.25"/>
            <w:gridCol w:w="2156.25"/>
            <w:gridCol w:w="2156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SerialNumber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AcquisitionDate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AcquisitionPrice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$ 10,000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Drill 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1,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  2,000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Milling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1,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$ 10,000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( CompanyName, IndustryCode, GrossSales, OfficerName, OfficerTitle 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Companies belong to industries, such as Retail, Manufacturing, etc.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company can have many officers, such as President, Vice-President, etc.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( CompanyName, IndustryCode, GrossSales, NameOfPresident 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the President is included in the table.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( SerialNumber, Make, Model, DiskType, DiskCapacity 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individual computer has its own serial number.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many individual disks of each type.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( EmployeeName, DateOfHire, DeptName, DeptManager, ProjectID, NumHours, ProjectManager 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employee belongs to one department.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project is sponsored by one department.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employee can be assigned to many different projects. So there will be a many-to-many relationship between projects and employees. Look at the Art Course tables in the textbook to see how to set up the foreign keys.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right" w:pos="10080"/>
      </w:tabs>
      <w:spacing w:before="0" w:lineRule="auto"/>
      <w:rPr/>
    </w:pPr>
    <w:r w:rsidDel="00000000" w:rsidR="00000000" w:rsidRPr="00000000">
      <w:rPr>
        <w:b w:val="1"/>
        <w:rtl w:val="0"/>
      </w:rPr>
      <w:t xml:space="preserve">Ch1-Themes Homework</w:t>
    </w:r>
    <w:r w:rsidDel="00000000" w:rsidR="00000000" w:rsidRPr="00000000">
      <w:rPr>
        <w:rtl w:val="0"/>
      </w:rPr>
      <w:tab/>
      <w:t xml:space="preserve">CIS 195 - Introduction to Databases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