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266BD" w14:textId="36CE2F08" w:rsidR="00ED0143" w:rsidRPr="00ED0143" w:rsidRDefault="00CC0D98" w:rsidP="00ED0143">
      <w:pPr>
        <w:pStyle w:val="Heading1"/>
        <w:rPr>
          <w:lang w:val="en-US"/>
        </w:rPr>
      </w:pPr>
      <w:r>
        <w:rPr>
          <w:lang w:val="en-US"/>
        </w:rPr>
        <w:t>Subtyping Heaps and References</w:t>
      </w:r>
    </w:p>
    <w:p w14:paraId="046DEA10" w14:textId="44A2CD4A" w:rsidR="00C23755" w:rsidRDefault="00CC0D98" w:rsidP="00756FD2">
      <w:pPr>
        <w:rPr>
          <w:lang w:val="en-US"/>
        </w:rPr>
      </w:pPr>
      <w:r>
        <w:rPr>
          <w:lang w:val="en-US"/>
        </w:rPr>
        <w:t xml:space="preserve">Let us consider the </w:t>
      </w:r>
      <w:r w:rsidR="0030486A">
        <w:rPr>
          <w:lang w:val="en-US"/>
        </w:rPr>
        <w:t xml:space="preserve">types of the references of the example above, given </w:t>
      </w:r>
      <m:oMath>
        <m:r>
          <w:rPr>
            <w:rFonts w:ascii="Cambria Math" w:hAnsi="Cambria Math"/>
            <w:lang w:val="en-US"/>
          </w:rPr>
          <m:t xml:space="preserve">Heap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ref</m:t>
        </m:r>
      </m:oMath>
      <w:r w:rsidR="0030486A">
        <w:rPr>
          <w:rFonts w:eastAsiaTheme="minorEastAsia"/>
          <w:lang w:val="en-US"/>
        </w:rPr>
        <w:t xml:space="preserve"> for some initial heap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30486A">
        <w:rPr>
          <w:rFonts w:eastAsiaTheme="minorEastAsia"/>
          <w:lang w:val="en-US"/>
        </w:rPr>
        <w:t xml:space="preserve"> and some reference type</w:t>
      </w:r>
      <m:oMath>
        <m:r>
          <w:rPr>
            <w:rFonts w:ascii="Cambria Math" w:eastAsiaTheme="minorEastAsia" w:hAnsi="Cambria Math"/>
            <w:lang w:val="en-US"/>
          </w:rPr>
          <m:t xml:space="preserve"> ref</m:t>
        </m:r>
      </m:oMath>
      <w:r w:rsidR="0030486A">
        <w:rPr>
          <w:rFonts w:eastAsiaTheme="minorEastAsia"/>
          <w:lang w:val="en-US"/>
        </w:rPr>
        <w:t>:</w:t>
      </w:r>
    </w:p>
    <w:p w14:paraId="3AE5DD4C" w14:textId="4F43B05E" w:rsidR="0030486A" w:rsidRPr="0030486A" w:rsidRDefault="0030486A" w:rsidP="0030486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 :ref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New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Int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Int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 :ref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New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New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Int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String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String</m:t>
          </m:r>
        </m:oMath>
      </m:oMathPara>
    </w:p>
    <w:p w14:paraId="7958921F" w14:textId="4B8EFC1D" w:rsidR="00761CBB" w:rsidRDefault="00761CBB" w:rsidP="00304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heap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the starting heap at the beginning of the program. If the program is used as a “main”, that is it is just launched,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will be an empty heap; in other cases, like using our computation inside another, larger computation, will mean that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will be the current heap that is available where the example is launched.</w:t>
      </w:r>
    </w:p>
    <w:p w14:paraId="72D1F32B" w14:textId="29514FB3" w:rsidR="0030486A" w:rsidRDefault="0030486A" w:rsidP="00304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</w:t>
      </w:r>
      <w:r w:rsidR="00761CBB">
        <w:rPr>
          <w:rFonts w:eastAsiaTheme="minorEastAsia"/>
          <w:lang w:val="en-US"/>
        </w:rPr>
        <w:t xml:space="preserve">let us consider </w:t>
      </w:r>
      <w:r>
        <w:rPr>
          <w:rFonts w:eastAsiaTheme="minorEastAsia"/>
          <w:lang w:val="en-US"/>
        </w:rPr>
        <w:t xml:space="preserve">the </w:t>
      </w:r>
      <w:r w:rsidR="00761CBB">
        <w:rPr>
          <w:rFonts w:eastAsiaTheme="minorEastAsia"/>
          <w:lang w:val="en-US"/>
        </w:rPr>
        <w:t xml:space="preserve">two </w:t>
      </w:r>
      <w:r>
        <w:rPr>
          <w:rFonts w:eastAsiaTheme="minorEastAsia"/>
          <w:lang w:val="en-US"/>
        </w:rPr>
        <w:t>statements:</w:t>
      </w:r>
    </w:p>
    <w:p w14:paraId="656A2BA7" w14:textId="13A8ABDD" w:rsidR="0030486A" w:rsidRPr="0030486A" w:rsidRDefault="0030486A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v←s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x←i</m:t>
          </m:r>
        </m:oMath>
      </m:oMathPara>
    </w:p>
    <w:p w14:paraId="06D3ECD8" w14:textId="7D7D66B1" w:rsidR="0030486A" w:rsidRDefault="00761CBB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These two are </w:t>
      </w:r>
      <w:r w:rsidR="0030486A">
        <w:rPr>
          <w:rFonts w:eastAsiaTheme="minorEastAsia"/>
          <w:lang w:val="en-US"/>
        </w:rPr>
        <w:t xml:space="preserve">incompatible, since the first statement forces our monad to be of type </w:t>
      </w:r>
      <m:oMath>
        <m:r>
          <w:rPr>
            <w:rFonts w:ascii="Cambria Math" w:eastAsiaTheme="minorEastAsia" w:hAnsi="Cambria Math"/>
            <w:lang w:val="en-US"/>
          </w:rPr>
          <m:t xml:space="preserve">ref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New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New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Int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String</m:t>
            </m:r>
          </m:e>
        </m:d>
      </m:oMath>
      <w:r w:rsidR="0030486A">
        <w:rPr>
          <w:rFonts w:eastAsiaTheme="minorEastAsia"/>
          <w:lang w:val="en-US"/>
        </w:rPr>
        <w:t xml:space="preserve"> and thus this type will have to be in all subsequent statements of the same monadic program, but the second statement expects our monad to be of </w:t>
      </w:r>
      <w:proofErr w:type="gramStart"/>
      <w:r w:rsidR="0030486A">
        <w:rPr>
          <w:rFonts w:eastAsiaTheme="minorEastAsia"/>
          <w:lang w:val="en-US"/>
        </w:rPr>
        <w:t xml:space="preserve">type </w:t>
      </w:r>
      <w:proofErr w:type="gramEnd"/>
      <m:oMath>
        <m:r>
          <w:rPr>
            <w:rFonts w:ascii="Cambria Math" w:eastAsiaTheme="minorEastAsia" w:hAnsi="Cambria Math"/>
            <w:lang w:val="en-US"/>
          </w:rPr>
          <m:t xml:space="preserve">ref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New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Int</m:t>
            </m:r>
          </m:e>
        </m:d>
      </m:oMath>
      <w:r w:rsidR="0030486A">
        <w:rPr>
          <w:rFonts w:eastAsiaTheme="minorEastAsia"/>
          <w:lang w:val="en-US"/>
        </w:rPr>
        <w:t>. This is absolutely reasonable on the part of the type system, but it is quite unacceptable given our circumstances</w:t>
      </w:r>
      <w:r>
        <w:rPr>
          <w:rFonts w:eastAsiaTheme="minorEastAsia"/>
          <w:lang w:val="en-US"/>
        </w:rPr>
        <w:t xml:space="preserve">: why cannot we use a reference that refers to a smaller heap where we have a larger heap available? Indeed, all the values that reference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requires are available (plus some more that are irrelevant to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) in the heap that </w:t>
      </w:r>
      <w:r w:rsidR="001C720D">
        <w:rPr>
          <w:rFonts w:eastAsiaTheme="minorEastAsia"/>
          <w:lang w:val="en-US"/>
        </w:rPr>
        <w:t xml:space="preserve">we have when the reference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A75C1C">
        <w:rPr>
          <w:rFonts w:eastAsiaTheme="minorEastAsia"/>
          <w:lang w:val="en-US"/>
        </w:rPr>
        <w:t xml:space="preserve"> is in scope. </w:t>
      </w:r>
      <w:r w:rsidR="001C720D">
        <w:rPr>
          <w:rFonts w:eastAsiaTheme="minorEastAsia"/>
          <w:lang w:val="en-US"/>
        </w:rPr>
        <w:t xml:space="preserve">It would be interesting to make it possible to use a reference </w:t>
      </w:r>
      <w:r w:rsidR="003D78DC">
        <w:rPr>
          <w:rFonts w:eastAsiaTheme="minorEastAsia"/>
          <w:lang w:val="en-US"/>
        </w:rPr>
        <w:t>that requires a smaller (less defined) heap when a larger (more specified) heap is available.</w:t>
      </w:r>
      <w:r w:rsidR="00516A39">
        <w:rPr>
          <w:rFonts w:eastAsiaTheme="minorEastAsia"/>
          <w:lang w:val="en-US"/>
        </w:rPr>
        <w:t xml:space="preserve"> This kind of notion is clearly a notion of subtyping between heaps and references.</w:t>
      </w:r>
    </w:p>
    <w:p w14:paraId="4ED99E9E" w14:textId="19DEE6C5" w:rsidR="00A75C1C" w:rsidRDefault="00A75C1C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define a subtyping relationship between heaps, let us start by giving a subtyping predicate:</w:t>
      </w:r>
    </w:p>
    <w:p w14:paraId="76C25FB7" w14:textId="57688507" w:rsidR="00A75C1C" w:rsidRPr="00A75C1C" w:rsidRDefault="00A75C1C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Subtype α β</m:t>
          </m:r>
        </m:oMath>
      </m:oMathPara>
    </w:p>
    <w:p w14:paraId="010B98D9" w14:textId="7867DCEA" w:rsidR="00A75C1C" w:rsidRDefault="00A75C1C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for brevity we will also write</w:t>
      </w:r>
    </w:p>
    <w:p w14:paraId="3ACA27DB" w14:textId="3E5AFCE6" w:rsidR="00A75C1C" w:rsidRPr="00A75C1C" w:rsidRDefault="00A75C1C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α≤β</m:t>
          </m:r>
        </m:oMath>
      </m:oMathPara>
    </w:p>
    <w:p w14:paraId="5FC44D7C" w14:textId="3EEC74C1" w:rsidR="00A75C1C" w:rsidRDefault="00A75C1C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fact that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is a subtype of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implies that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is more specified than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, and as such it may be used in any context where a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is expected. For this reason we also give a casting (or coercion) function that converts from a value of type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to a value of its supertype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>:</w:t>
      </w:r>
    </w:p>
    <w:p w14:paraId="65EC8D0F" w14:textId="3A48D048" w:rsidR="00A75C1C" w:rsidRPr="00A75C1C" w:rsidRDefault="00A75C1C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downcast :α→β</m:t>
          </m:r>
        </m:oMath>
      </m:oMathPara>
    </w:p>
    <w:p w14:paraId="166B2E27" w14:textId="276363A9" w:rsidR="00A75C1C" w:rsidRDefault="007F03AE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know that the subtyping relation is reflexive and transitive, so we will add these rules as instances of the subtyping predicate:</w:t>
      </w:r>
    </w:p>
    <w:p w14:paraId="42DA844E" w14:textId="08C0F246" w:rsidR="007F03AE" w:rsidRPr="007F03AE" w:rsidRDefault="007F03AE" w:rsidP="007F03A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Subtype α 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downcast=λx.x</m:t>
          </m:r>
        </m:oMath>
      </m:oMathPara>
    </w:p>
    <w:p w14:paraId="01F82300" w14:textId="6A9F4502" w:rsidR="007F03AE" w:rsidRPr="007F03AE" w:rsidRDefault="007F03AE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Subtype α β∧Subtype β γ⇒Subtype α γ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downcast=downcast ∘downcast</m:t>
          </m:r>
        </m:oMath>
      </m:oMathPara>
    </w:p>
    <w:p w14:paraId="7B274F8A" w14:textId="4E3129E9" w:rsidR="007F03AE" w:rsidRDefault="007F03AE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we are mostly interested in subtyping between references, </w:t>
      </w:r>
      <w:r w:rsidR="00AB2922">
        <w:rPr>
          <w:rFonts w:eastAsiaTheme="minorEastAsia"/>
          <w:lang w:val="en-US"/>
        </w:rPr>
        <w:t xml:space="preserve">when is it safe to downcast them? As already discussed, a first criterion for downcasting a reference is that the heap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AB2922">
        <w:rPr>
          <w:rFonts w:eastAsiaTheme="minorEastAsia"/>
          <w:lang w:val="en-US"/>
        </w:rPr>
        <w:t xml:space="preserve"> that the reference manipulates is actually smaller than the current heap; this means that:</w:t>
      </w:r>
    </w:p>
    <w:p w14:paraId="76D7C1C2" w14:textId="7A200A4D" w:rsidR="00AB2922" w:rsidRPr="00AB2922" w:rsidRDefault="00E124AA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Heap h ref∧Heap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ref∧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≤h⇒ref h α≤ref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α</m:t>
          </m:r>
        </m:oMath>
      </m:oMathPara>
    </w:p>
    <w:p w14:paraId="739D0FD9" w14:textId="70C024A1" w:rsidR="00AB2922" w:rsidRDefault="00707B28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that references are contravariant with respect to their heap.</w:t>
      </w:r>
      <w:r w:rsidR="00AB2922">
        <w:rPr>
          <w:rFonts w:eastAsiaTheme="minorEastAsia"/>
          <w:lang w:val="en-US"/>
        </w:rPr>
        <w:t xml:space="preserve"> Also, the second argument of references allows for the intuitive kind of conversion:</w:t>
      </w:r>
    </w:p>
    <w:p w14:paraId="0AE02FA1" w14:textId="48A03BAA" w:rsidR="00AB2922" w:rsidRPr="00707B28" w:rsidRDefault="00AB2922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⇒ref h α≤ ref h α'</m:t>
          </m:r>
        </m:oMath>
      </m:oMathPara>
    </w:p>
    <w:p w14:paraId="164A23C2" w14:textId="0333AA90" w:rsidR="00707B28" w:rsidRDefault="00707B28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second rule shows that a reference to a value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behaves exactly like that value, thereby allowing conversions that mirror the behavior of the value that our reference is standing for.</w:t>
      </w:r>
    </w:p>
    <w:p w14:paraId="559D00C7" w14:textId="576A6C80" w:rsidR="00707B28" w:rsidRDefault="00707B28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These rules are quite hard to concretely instance. This is why we will not be able to instance these rules </w:t>
      </w:r>
      <w:r w:rsidR="00E124AA">
        <w:rPr>
          <w:rFonts w:eastAsiaTheme="minorEastAsia"/>
          <w:lang w:val="en-US"/>
        </w:rPr>
        <w:t>once and for all in a highly parametric fashion, but instead we will just give some specific instances that are of particular use to us</w:t>
      </w:r>
      <w:r w:rsidR="0013634E">
        <w:rPr>
          <w:rFonts w:eastAsiaTheme="minorEastAsia"/>
          <w:lang w:val="en-US"/>
        </w:rPr>
        <w:t xml:space="preserve"> when we are dealing with concrete heaps and references</w:t>
      </w:r>
      <w:r w:rsidR="00E124AA">
        <w:rPr>
          <w:rFonts w:eastAsiaTheme="minorEastAsia"/>
          <w:lang w:val="en-US"/>
        </w:rPr>
        <w:t>.</w:t>
      </w:r>
      <w:r w:rsidR="0013634E">
        <w:rPr>
          <w:rFonts w:eastAsiaTheme="minorEastAsia"/>
          <w:lang w:val="en-US"/>
        </w:rPr>
        <w:t xml:space="preserve"> Also, we will mostly deal with subtyping between values and not subtyping between </w:t>
      </w:r>
      <w:r w:rsidR="001438BD">
        <w:rPr>
          <w:rFonts w:eastAsiaTheme="minorEastAsia"/>
          <w:lang w:val="en-US"/>
        </w:rPr>
        <w:t>functions.</w:t>
      </w:r>
    </w:p>
    <w:p w14:paraId="28D1483D" w14:textId="6A941BF9" w:rsidR="001438BD" w:rsidRDefault="001438BD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 this point we can rewrite the “incriminated” example above so that it compiles:</w:t>
      </w:r>
    </w:p>
    <w:p w14:paraId="7844236F" w14:textId="576B9579" w:rsidR="001438BD" w:rsidRPr="00C23755" w:rsidRDefault="001438BD" w:rsidP="001438BD">
      <w:pPr>
        <w:rPr>
          <w:rFonts w:eastAsiaTheme="minorEastAsia"/>
          <w:lang w:val="en-US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e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=do 10≫+(λi.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do</m:t>
          </m:r>
          <m:sPre>
            <m:sPre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sPre>
          <m:r>
            <w:rPr>
              <w:rFonts w:ascii="Cambria Math" w:eastAsiaTheme="minorEastAsia" w:hAnsi="Cambria Math"/>
              <w:lang w:val="en-US"/>
            </w:rPr>
            <m:t>ell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≫+(λs.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do s*=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λx.x+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worl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                  let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=downcast 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v←</m:t>
          </m:r>
          <m:r>
            <w:rPr>
              <w:rFonts w:ascii="Cambria Math" w:eastAsiaTheme="minorEastAsia" w:hAnsi="Cambria Math"/>
              <w:lang w:val="en-US"/>
            </w:rPr>
            <m:t>eval 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x←</m:t>
          </m:r>
          <m:r>
            <w:rPr>
              <w:rFonts w:ascii="Cambria Math" w:eastAsiaTheme="minorEastAsia" w:hAnsi="Cambria Math"/>
              <w:lang w:val="en-US"/>
            </w:rPr>
            <m:t xml:space="preserve">eval </m:t>
          </m:r>
          <m:r>
            <w:rPr>
              <w:rFonts w:ascii="Cambria Math" w:eastAsiaTheme="minorEastAsia" w:hAnsi="Cambria Math"/>
              <w:lang w:val="en-US"/>
            </w:rPr>
            <m:t>i'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return v++show x)</m:t>
          </m:r>
        </m:oMath>
      </m:oMathPara>
    </w:p>
    <w:bookmarkEnd w:id="0"/>
    <w:p w14:paraId="1CA7C097" w14:textId="145BAC6F" w:rsidR="001438BD" w:rsidRDefault="001438BD" w:rsidP="00756F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the type of </w:t>
      </w:r>
      <m:oMath>
        <m:r>
          <w:rPr>
            <w:rFonts w:ascii="Cambria Math" w:eastAsiaTheme="minorEastAsia" w:hAnsi="Cambria Math"/>
            <w:lang w:val="en-US"/>
          </w:rPr>
          <m:t>e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</m:oMath>
      <w:r>
        <w:rPr>
          <w:rFonts w:eastAsiaTheme="minorEastAsia"/>
          <w:lang w:val="en-US"/>
        </w:rPr>
        <w:t xml:space="preserve"> will not only reflect the </w:t>
      </w:r>
      <w:r w:rsidR="003E05AC">
        <w:rPr>
          <w:rFonts w:eastAsiaTheme="minorEastAsia"/>
          <w:lang w:val="en-US"/>
        </w:rPr>
        <w:t xml:space="preserve">type of the result of the </w:t>
      </w:r>
      <w:r>
        <w:rPr>
          <w:rFonts w:eastAsiaTheme="minorEastAsia"/>
          <w:lang w:val="en-US"/>
        </w:rPr>
        <w:t xml:space="preserve">computation, but also the requirement of subtyping between heaps built with the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>
        <w:rPr>
          <w:rFonts w:eastAsiaTheme="minorEastAsia"/>
          <w:lang w:val="en-US"/>
        </w:rPr>
        <w:t xml:space="preserve"> type operator:</w:t>
      </w:r>
    </w:p>
    <w:p w14:paraId="6C36BCA8" w14:textId="4F914D9F" w:rsidR="001438BD" w:rsidRPr="003E05AC" w:rsidRDefault="001438BD" w:rsidP="00756FD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Heap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ref∧ref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New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Int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Int≤ref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New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New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Int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String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Int⇒e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:ref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String</m:t>
          </m:r>
        </m:oMath>
      </m:oMathPara>
    </w:p>
    <w:sectPr w:rsidR="001438BD" w:rsidRPr="003E05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73057"/>
    <w:multiLevelType w:val="hybridMultilevel"/>
    <w:tmpl w:val="B2063320"/>
    <w:lvl w:ilvl="0" w:tplc="6DE0BB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71FC0"/>
    <w:multiLevelType w:val="hybridMultilevel"/>
    <w:tmpl w:val="846A7828"/>
    <w:lvl w:ilvl="0" w:tplc="6AB2AE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12DE7"/>
    <w:multiLevelType w:val="hybridMultilevel"/>
    <w:tmpl w:val="A6FC9C40"/>
    <w:lvl w:ilvl="0" w:tplc="C4A2FF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65C36"/>
    <w:multiLevelType w:val="hybridMultilevel"/>
    <w:tmpl w:val="B0320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56"/>
    <w:rsid w:val="000622C9"/>
    <w:rsid w:val="000622FB"/>
    <w:rsid w:val="00063A16"/>
    <w:rsid w:val="00064109"/>
    <w:rsid w:val="000F4291"/>
    <w:rsid w:val="0013634E"/>
    <w:rsid w:val="001438BD"/>
    <w:rsid w:val="001C516B"/>
    <w:rsid w:val="001C720D"/>
    <w:rsid w:val="001E11FA"/>
    <w:rsid w:val="001E539F"/>
    <w:rsid w:val="00200A38"/>
    <w:rsid w:val="002722C4"/>
    <w:rsid w:val="002B455E"/>
    <w:rsid w:val="002C081E"/>
    <w:rsid w:val="002D2FAA"/>
    <w:rsid w:val="0030486A"/>
    <w:rsid w:val="00315A6A"/>
    <w:rsid w:val="0037463F"/>
    <w:rsid w:val="00377E14"/>
    <w:rsid w:val="003A1C69"/>
    <w:rsid w:val="003D78DC"/>
    <w:rsid w:val="003E05AC"/>
    <w:rsid w:val="003E2A20"/>
    <w:rsid w:val="003E59EE"/>
    <w:rsid w:val="004028E8"/>
    <w:rsid w:val="00404E32"/>
    <w:rsid w:val="00431988"/>
    <w:rsid w:val="0045759C"/>
    <w:rsid w:val="004708FC"/>
    <w:rsid w:val="00477A5A"/>
    <w:rsid w:val="004A3DC1"/>
    <w:rsid w:val="004B20F6"/>
    <w:rsid w:val="005120D1"/>
    <w:rsid w:val="00516A39"/>
    <w:rsid w:val="00574285"/>
    <w:rsid w:val="00581F50"/>
    <w:rsid w:val="005A113A"/>
    <w:rsid w:val="005B04C1"/>
    <w:rsid w:val="006D70C7"/>
    <w:rsid w:val="00707B28"/>
    <w:rsid w:val="00756FD2"/>
    <w:rsid w:val="00761CBB"/>
    <w:rsid w:val="00774FEE"/>
    <w:rsid w:val="007959EA"/>
    <w:rsid w:val="007E4142"/>
    <w:rsid w:val="007F03AE"/>
    <w:rsid w:val="0081363B"/>
    <w:rsid w:val="008276AE"/>
    <w:rsid w:val="00886394"/>
    <w:rsid w:val="008C1954"/>
    <w:rsid w:val="008E26B3"/>
    <w:rsid w:val="008F4F29"/>
    <w:rsid w:val="00900CCE"/>
    <w:rsid w:val="00935B5E"/>
    <w:rsid w:val="00966E00"/>
    <w:rsid w:val="00970169"/>
    <w:rsid w:val="0097294F"/>
    <w:rsid w:val="00977D18"/>
    <w:rsid w:val="009E0B99"/>
    <w:rsid w:val="009E5E27"/>
    <w:rsid w:val="00A27E16"/>
    <w:rsid w:val="00A55934"/>
    <w:rsid w:val="00A75C1C"/>
    <w:rsid w:val="00A919F4"/>
    <w:rsid w:val="00AB2922"/>
    <w:rsid w:val="00B06ACD"/>
    <w:rsid w:val="00B42F58"/>
    <w:rsid w:val="00BD7398"/>
    <w:rsid w:val="00C2160A"/>
    <w:rsid w:val="00C23755"/>
    <w:rsid w:val="00C353A0"/>
    <w:rsid w:val="00C35A7B"/>
    <w:rsid w:val="00C45032"/>
    <w:rsid w:val="00C51141"/>
    <w:rsid w:val="00C64565"/>
    <w:rsid w:val="00CC0D98"/>
    <w:rsid w:val="00CF5A44"/>
    <w:rsid w:val="00D13715"/>
    <w:rsid w:val="00D76556"/>
    <w:rsid w:val="00D85BD0"/>
    <w:rsid w:val="00DF1B65"/>
    <w:rsid w:val="00DF22D9"/>
    <w:rsid w:val="00E124AA"/>
    <w:rsid w:val="00E3577B"/>
    <w:rsid w:val="00EC7087"/>
    <w:rsid w:val="00ED0143"/>
    <w:rsid w:val="00F06400"/>
    <w:rsid w:val="00F71B21"/>
    <w:rsid w:val="00F821E2"/>
    <w:rsid w:val="00FA4781"/>
    <w:rsid w:val="00F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7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6B"/>
    <w:pPr>
      <w:jc w:val="both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4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43"/>
    <w:rPr>
      <w:rFonts w:asciiTheme="majorHAnsi" w:eastAsiaTheme="majorEastAsia" w:hAnsiTheme="majorHAnsi" w:cstheme="majorBidi"/>
      <w:i/>
      <w:iCs/>
      <w:color w:val="4F81BD" w:themeColor="accent1"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143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B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9B2"/>
    <w:rPr>
      <w:color w:val="808080"/>
    </w:rPr>
  </w:style>
  <w:style w:type="paragraph" w:styleId="ListParagraph">
    <w:name w:val="List Paragraph"/>
    <w:basedOn w:val="Normal"/>
    <w:uiPriority w:val="34"/>
    <w:qFormat/>
    <w:rsid w:val="00D85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6B"/>
    <w:pPr>
      <w:jc w:val="both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4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43"/>
    <w:rPr>
      <w:rFonts w:asciiTheme="majorHAnsi" w:eastAsiaTheme="majorEastAsia" w:hAnsiTheme="majorHAnsi" w:cstheme="majorBidi"/>
      <w:i/>
      <w:iCs/>
      <w:color w:val="4F81BD" w:themeColor="accent1"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143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B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9B2"/>
    <w:rPr>
      <w:color w:val="808080"/>
    </w:rPr>
  </w:style>
  <w:style w:type="paragraph" w:styleId="ListParagraph">
    <w:name w:val="List Paragraph"/>
    <w:basedOn w:val="Normal"/>
    <w:uiPriority w:val="34"/>
    <w:qFormat/>
    <w:rsid w:val="00D8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pulcy</dc:creator>
  <cp:keywords/>
  <dc:description/>
  <cp:lastModifiedBy>Giulia Costantini</cp:lastModifiedBy>
  <cp:revision>85</cp:revision>
  <dcterms:created xsi:type="dcterms:W3CDTF">2010-05-28T14:58:00Z</dcterms:created>
  <dcterms:modified xsi:type="dcterms:W3CDTF">2010-06-02T06:11:00Z</dcterms:modified>
</cp:coreProperties>
</file>