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color w:val="0000FF"/>
          <w:sz w:val="28"/>
        </w:rPr>
        <w:t>Supplementary Materials</w:t>
      </w:r>
    </w:p>
    <w:p>
      <w:pPr>
        <w:spacing w:after="200"/>
        <w:jc w:val="center"/>
      </w:pPr>
      <w:r>
        <w:rPr>
          <w:rFonts w:ascii="Times New Roman" w:hAnsi="Times New Roman" w:cs="Times New Roman" w:eastAsia="Times New Roman"/>
          <w:b/>
          <w:i w:val="0"/>
          <w:color w:val="0000FF"/>
          <w:sz w:val="24"/>
        </w:rPr>
        <w:t>Deterministic Method for Detecting Question–SQL Inconsistencies in Text-to-SQL Benchmarks</w:t>
      </w:r>
    </w:p>
    <w:p>
      <w:pPr>
        <w:spacing w:after="120"/>
        <w:jc w:val="center"/>
      </w:pPr>
      <w:r>
        <w:rPr>
          <w:rFonts w:ascii="Times New Roman" w:hAnsi="Times New Roman" w:cs="Times New Roman" w:eastAsia="Times New Roman"/>
          <w:b/>
          <w:i w:val="0"/>
          <w:color w:val="0000FF"/>
          <w:sz w:val="22"/>
        </w:rPr>
        <w:t xml:space="preserve">Table S1. </w:t>
      </w:r>
      <w:r>
        <w:rPr>
          <w:rFonts w:ascii="Times New Roman" w:hAnsi="Times New Roman" w:cs="Times New Roman" w:eastAsia="Times New Roman"/>
          <w:b w:val="0"/>
          <w:i w:val="0"/>
          <w:color w:val="0000FF"/>
          <w:sz w:val="22"/>
        </w:rPr>
        <w:t xml:space="preserve">Strata of the 350-pair analyzer-negative sample. </w:t>
      </w:r>
      <w:r>
        <w:rPr>
          <w:rFonts w:ascii="Times New Roman" w:hAnsi="Times New Roman" w:cs="Times New Roman" w:eastAsia="Times New Roman"/>
          <w:b w:val="0"/>
          <w:i/>
          <w:color w:val="0000FF"/>
          <w:sz w:val="22"/>
        </w:rPr>
        <w:t>N</w:t>
      </w:r>
      <w:r>
        <w:rPr>
          <w:rFonts w:ascii="Times New Roman" w:hAnsi="Times New Roman" w:cs="Times New Roman" w:eastAsia="Times New Roman"/>
          <w:b w:val="0"/>
          <w:i/>
          <w:color w:val="0000FF"/>
          <w:sz w:val="18"/>
          <w:vertAlign w:val="subscript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FF"/>
          <w:sz w:val="22"/>
        </w:rPr>
        <w:t xml:space="preserve"> is the eligible population, </w:t>
      </w:r>
      <w:r>
        <w:rPr>
          <w:rFonts w:ascii="Times New Roman" w:hAnsi="Times New Roman" w:cs="Times New Roman" w:eastAsia="Times New Roman"/>
          <w:b w:val="0"/>
          <w:i/>
          <w:color w:val="0000FF"/>
          <w:sz w:val="22"/>
        </w:rPr>
        <w:t>n</w:t>
      </w:r>
      <w:r>
        <w:rPr>
          <w:rFonts w:ascii="Times New Roman" w:hAnsi="Times New Roman" w:cs="Times New Roman" w:eastAsia="Times New Roman"/>
          <w:b w:val="0"/>
          <w:i/>
          <w:color w:val="0000FF"/>
          <w:sz w:val="18"/>
          <w:vertAlign w:val="subscript"/>
        </w:rPr>
        <w:t>h</w:t>
      </w:r>
      <w:r>
        <w:rPr>
          <w:rFonts w:ascii="Times New Roman" w:hAnsi="Times New Roman" w:cs="Times New Roman" w:eastAsia="Times New Roman"/>
          <w:b w:val="0"/>
          <w:i w:val="0"/>
          <w:color w:val="0000FF"/>
          <w:sz w:val="22"/>
        </w:rPr>
        <w:t xml:space="preserve"> is the sample size, and FN is the number of </w:t>
      </w:r>
      <w:r>
        <w:rPr>
          <w:rFonts w:ascii="Courier New" w:hAnsi="Courier New" w:cs="Courier New" w:eastAsia="Courier New"/>
          <w:b w:val="0"/>
          <w:i w:val="0"/>
          <w:color w:val="0000FF"/>
          <w:sz w:val="20"/>
        </w:rPr>
        <w:t>human1</w:t>
      </w:r>
      <w:r>
        <w:rPr>
          <w:rFonts w:ascii="Times New Roman" w:hAnsi="Times New Roman" w:cs="Times New Roman" w:eastAsia="Times New Roman"/>
          <w:b w:val="0"/>
          <w:i w:val="0"/>
          <w:color w:val="0000FF"/>
          <w:sz w:val="22"/>
        </w:rPr>
        <w:t xml:space="preserve"> in-scope false negatives.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5329"/>
            <w:vAlign w:val="center"/>
            <w:shd w:fill="D9EAF7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Stratum</w:t>
            </w:r>
          </w:p>
        </w:tc>
        <w:tc>
          <w:tcPr>
            <w:tcW w:type="dxa" w:w="107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Nₕ</w:t>
            </w:r>
          </w:p>
        </w:tc>
        <w:tc>
          <w:tcPr>
            <w:tcW w:type="dxa" w:w="85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nₕ</w:t>
            </w:r>
          </w:p>
        </w:tc>
        <w:tc>
          <w:tcPr>
            <w:tcW w:type="dxa" w:w="1247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Nₕ/nₕ</w:t>
            </w:r>
          </w:p>
        </w:tc>
        <w:tc>
          <w:tcPr>
            <w:tcW w:type="dxa" w:w="680"/>
            <w:vAlign w:val="center"/>
            <w:shd w:fill="D9EAF7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FN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Spider train, SUPPORTED-only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4 129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48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86.02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Spider dev, SUPPORTED-only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419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29.93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0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Spider test, SUPPORTED-only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852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18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47.33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0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BIRD train, SUPPORTED-only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7 018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75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93.57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0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BIRD dev, SUPPORTED-only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1 138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56.90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0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Spider train, at least one UNRESOLVED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679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47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14.45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Spider dev, at least one UNRESOLVED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40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12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3.33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Spider test, at least one UNRESOLVED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89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14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6.36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0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BIRD train, at least one UNRESOLVED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1 273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81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15.72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17</w:t>
            </w:r>
          </w:p>
        </w:tc>
      </w:tr>
      <w:tr>
        <w:tc>
          <w:tcPr>
            <w:tcW w:type="dxa" w:w="5329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BIRD dev, at least one UNRESOLVED</w:t>
            </w:r>
          </w:p>
        </w:tc>
        <w:tc>
          <w:tcPr>
            <w:tcW w:type="dxa" w:w="107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206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21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9.81</w:t>
            </w:r>
          </w:p>
        </w:tc>
        <w:tc>
          <w:tcPr>
            <w:tcW w:type="dxa" w:w="680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color w:val="0000FF"/>
                <w:sz w:val="22"/>
              </w:rPr>
              <w:t>0</w:t>
            </w:r>
          </w:p>
        </w:tc>
      </w:tr>
      <w:tr>
        <w:tc>
          <w:tcPr>
            <w:tcW w:type="dxa" w:w="5329"/>
            <w:vAlign w:val="center"/>
            <w:shd w:fill="EAF2F8"/>
          </w:tcPr>
          <w:p>
            <w:pPr>
              <w:spacing w:before="0" w:after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Total</w:t>
            </w:r>
          </w:p>
        </w:tc>
        <w:tc>
          <w:tcPr>
            <w:tcW w:type="dxa" w:w="1077"/>
            <w:vAlign w:val="center"/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15 843</w:t>
            </w:r>
          </w:p>
        </w:tc>
        <w:tc>
          <w:tcPr>
            <w:tcW w:type="dxa" w:w="850"/>
            <w:vAlign w:val="center"/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350</w:t>
            </w:r>
          </w:p>
        </w:tc>
        <w:tc>
          <w:tcPr>
            <w:tcW w:type="dxa" w:w="1247"/>
            <w:vAlign w:val="center"/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</w:r>
          </w:p>
        </w:tc>
        <w:tc>
          <w:tcPr>
            <w:tcW w:type="dxa" w:w="680"/>
            <w:vAlign w:val="center"/>
            <w:shd w:fill="EAF2F8"/>
          </w:tcPr>
          <w:p>
            <w:pPr>
              <w:spacing w:before="0" w:after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color w:val="0000FF"/>
                <w:sz w:val="22"/>
              </w:rPr>
              <w:t>20</w:t>
            </w:r>
          </w:p>
        </w:tc>
      </w:tr>
    </w:tbl>
    <w:p>
      <w:pPr>
        <w:spacing w:before="120" w:after="0"/>
      </w:pPr>
      <w:r>
        <w:rPr>
          <w:rFonts w:ascii="Times New Roman" w:hAnsi="Times New Roman" w:cs="Times New Roman" w:eastAsia="Times New Roman"/>
          <w:b w:val="0"/>
          <w:i/>
          <w:color w:val="0000FF"/>
          <w:sz w:val="20"/>
        </w:rPr>
        <w:t xml:space="preserve">Note. </w:t>
      </w:r>
      <w:r>
        <w:rPr>
          <w:rFonts w:ascii="Times New Roman" w:hAnsi="Times New Roman" w:cs="Times New Roman" w:eastAsia="Times New Roman"/>
          <w:b w:val="0"/>
          <w:i w:val="0"/>
          <w:color w:val="0000FF"/>
          <w:sz w:val="20"/>
        </w:rPr>
        <w:t>Sampling weights are Nₕ/nₕ. The FN column uses the human1 label set.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