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B373" w14:textId="77777777" w:rsidR="00C138A9" w:rsidRDefault="00000000">
      <w:pPr>
        <w:pStyle w:val="Title"/>
      </w:pPr>
      <w:r>
        <w:t>Text-to-SQL Dataset Quality Assessment: The First Open-Source Validation Framework</w:t>
      </w:r>
    </w:p>
    <w:p w14:paraId="26202FA6" w14:textId="77777777" w:rsidR="00C138A9" w:rsidRDefault="00000000">
      <w:r>
        <w:t>Volodymyr Sabadosh</w:t>
      </w:r>
    </w:p>
    <w:p w14:paraId="3BD0CA4C" w14:textId="77777777" w:rsidR="00C138A9" w:rsidRDefault="00000000">
      <w:pPr>
        <w:pStyle w:val="Heading1"/>
      </w:pPr>
      <w:r>
        <w:t>Abstract</w:t>
      </w:r>
    </w:p>
    <w:p w14:paraId="53ED9B07" w14:textId="29B0C6B3" w:rsidR="00C138A9" w:rsidRDefault="00000000">
      <w:r>
        <w:rPr>
          <w:b/>
        </w:rPr>
        <w:t>Background</w:t>
      </w:r>
      <w:r w:rsidR="00BB6540">
        <w:rPr>
          <w:b/>
        </w:rPr>
        <w:t>:</w:t>
      </w:r>
      <w:r>
        <w:rPr>
          <w:b/>
        </w:rPr>
        <w:t xml:space="preserve"> </w:t>
      </w:r>
      <w:r>
        <w:t>Text-to-SQL systems that translate natural-language questions into SQL have advanced rapidly with large language models (LLMs). However, progress depends critically on the quality of benchmark and training datasets. Even a small fraction of flawed examples can introduce systematic errors into fine-tuned or in-context models.</w:t>
      </w:r>
    </w:p>
    <w:p w14:paraId="5D613814" w14:textId="747DA6F7" w:rsidR="00C138A9" w:rsidRDefault="00000000">
      <w:r>
        <w:rPr>
          <w:b/>
        </w:rPr>
        <w:t>Aim</w:t>
      </w:r>
      <w:r w:rsidR="00BB6540">
        <w:rPr>
          <w:b/>
        </w:rPr>
        <w:t>:</w:t>
      </w:r>
      <w:r>
        <w:rPr>
          <w:b/>
        </w:rPr>
        <w:t xml:space="preserve"> </w:t>
      </w:r>
      <w:r w:rsidR="00BB6540">
        <w:rPr>
          <w:lang w:val="en-GB"/>
        </w:rPr>
        <w:t>Our</w:t>
      </w:r>
      <w:r w:rsidR="00BB6540">
        <w:t xml:space="preserve"> objective is to develop and demonstrate a comprehensive automated system for evaluating Text-to-SQL dataset quality through multi-level validation addressing current gaps in systematic quality assessment.</w:t>
      </w:r>
    </w:p>
    <w:p w14:paraId="1E841B31" w14:textId="151E45D4" w:rsidR="009B7538" w:rsidRPr="009B7538" w:rsidRDefault="00000000" w:rsidP="009B7538">
      <w:pPr>
        <w:jc w:val="both"/>
      </w:pPr>
      <w:r>
        <w:rPr>
          <w:b/>
        </w:rPr>
        <w:t>Method</w:t>
      </w:r>
      <w:r w:rsidR="00BB6540">
        <w:rPr>
          <w:b/>
        </w:rPr>
        <w:t>:</w:t>
      </w:r>
      <w:r>
        <w:rPr>
          <w:b/>
        </w:rPr>
        <w:t xml:space="preserve"> </w:t>
      </w:r>
      <w:r w:rsidR="00375BFC" w:rsidRPr="00375BFC">
        <w:t>We introduce a Text-to-SQL dataset analysis tool, built on a streaming, protocol-oriented, dependency-injected architecture with pluggable analyzers</w:t>
      </w:r>
      <w:r w:rsidR="00375BFC" w:rsidRPr="00375BFC">
        <w:rPr>
          <w:lang w:val="uk-UA"/>
        </w:rPr>
        <w:t xml:space="preserve">. </w:t>
      </w:r>
      <w:r w:rsidR="00375BFC" w:rsidRPr="00375BFC">
        <w:rPr>
          <w:rStyle w:val="Strong"/>
          <w:b w:val="0"/>
          <w:bCs w:val="0"/>
        </w:rPr>
        <w:t>Our most novel component is the semantic correspondence analyzer</w:t>
      </w:r>
      <w:r w:rsidR="00375BFC" w:rsidRPr="00375BFC">
        <w:rPr>
          <w:b/>
          <w:bCs/>
        </w:rPr>
        <w:t>,</w:t>
      </w:r>
      <w:r w:rsidR="00375BFC" w:rsidRPr="00375BFC">
        <w:t xml:space="preserve"> which employs an </w:t>
      </w:r>
      <w:r w:rsidR="00375BFC" w:rsidRPr="00375BFC">
        <w:rPr>
          <w:rStyle w:val="Strong"/>
          <w:b w:val="0"/>
          <w:bCs w:val="0"/>
        </w:rPr>
        <w:t>LLM-as-a-judge committee</w:t>
      </w:r>
      <w:r w:rsidR="00375BFC" w:rsidRPr="00375BFC">
        <w:t xml:space="preserve"> and derives a </w:t>
      </w:r>
      <w:r w:rsidR="00375BFC" w:rsidRPr="00375BFC">
        <w:rPr>
          <w:rStyle w:val="Strong"/>
          <w:b w:val="0"/>
          <w:bCs w:val="0"/>
        </w:rPr>
        <w:t>consensus</w:t>
      </w:r>
      <w:r w:rsidR="00375BFC" w:rsidRPr="00375BFC">
        <w:t xml:space="preserve"> label </w:t>
      </w:r>
      <w:r w:rsidR="00375BFC" w:rsidRPr="00375BFC">
        <w:rPr>
          <w:rStyle w:val="Strong"/>
          <w:b w:val="0"/>
          <w:bCs w:val="0"/>
        </w:rPr>
        <w:t>by majority vote</w:t>
      </w:r>
      <w:r w:rsidR="00375BFC" w:rsidRPr="00375BFC">
        <w:t xml:space="preserve">. </w:t>
      </w:r>
      <w:r w:rsidR="009B7538" w:rsidRPr="009B7538">
        <w:rPr>
          <w:rFonts w:cs="Helvetica Neue"/>
          <w:color w:val="000000"/>
          <w:lang w:val="en-GB"/>
        </w:rPr>
        <w:t xml:space="preserve">The system produces an annotated dataset and stores all analysis metrics in an analytical </w:t>
      </w:r>
      <w:proofErr w:type="spellStart"/>
      <w:r w:rsidR="009B7538" w:rsidRPr="009B7538">
        <w:rPr>
          <w:rFonts w:cs="Helvetica Neue"/>
          <w:color w:val="000000"/>
          <w:lang w:val="en-GB"/>
        </w:rPr>
        <w:t>DuckDB</w:t>
      </w:r>
      <w:proofErr w:type="spellEnd"/>
      <w:r w:rsidR="009B7538" w:rsidRPr="009B7538">
        <w:rPr>
          <w:rFonts w:cs="Helvetica Neue"/>
          <w:color w:val="000000"/>
          <w:lang w:val="en-GB"/>
        </w:rPr>
        <w:t xml:space="preserve"> database, from which metrics and findings can be queried directly or exported as structured JSONL files and Markdown reports.</w:t>
      </w:r>
    </w:p>
    <w:p w14:paraId="2B95B4E2" w14:textId="48A774B6" w:rsidR="00C138A9" w:rsidRDefault="00000000">
      <w:r>
        <w:rPr>
          <w:b/>
        </w:rPr>
        <w:t>Results</w:t>
      </w:r>
      <w:r w:rsidR="00BB6540">
        <w:rPr>
          <w:b/>
        </w:rPr>
        <w:t>:</w:t>
      </w:r>
      <w:r>
        <w:rPr>
          <w:b/>
        </w:rPr>
        <w:t xml:space="preserve"> </w:t>
      </w:r>
      <w:r>
        <w:t xml:space="preserve">Applying the framework to all 11,840 examples of the Spider 1.0 benchmark, we obtain 100% </w:t>
      </w:r>
      <w:proofErr w:type="spellStart"/>
      <w:r>
        <w:t>parsability</w:t>
      </w:r>
      <w:proofErr w:type="spellEnd"/>
      <w:r>
        <w:t xml:space="preserve"> and 99.97% executability of SQL queries. Despite this, schema analysis reveals 89 invalid databases and over 41,000 referential integrity violations, 97% of which are concentrated in two databases. Semantic validation with GPT‑</w:t>
      </w:r>
      <w:r w:rsidR="002834F6">
        <w:rPr>
          <w:lang w:val="uk-UA"/>
        </w:rPr>
        <w:t>5</w:t>
      </w:r>
      <w:r>
        <w:t xml:space="preserve"> and Gemini 2.5 Pro indicates that only 60–70% of examples are unambiguously correct, around 10% are consistently judged incorrect, and roughly one third are disputed or only partially correct, with the training split having the lowest quality.</w:t>
      </w:r>
    </w:p>
    <w:p w14:paraId="29491DE4" w14:textId="27B60612" w:rsidR="00C138A9" w:rsidRDefault="00000000">
      <w:r>
        <w:rPr>
          <w:b/>
        </w:rPr>
        <w:t>Conclusion</w:t>
      </w:r>
      <w:r w:rsidR="00BB6540">
        <w:rPr>
          <w:b/>
        </w:rPr>
        <w:t>:</w:t>
      </w:r>
      <w:r>
        <w:rPr>
          <w:b/>
        </w:rPr>
        <w:t xml:space="preserve"> </w:t>
      </w:r>
      <w:r>
        <w:t>Multi-layer automated validation exposes hidden weaknesses in Text-to-SQL benchmarks that are invisible to standard exact-match or execution-based metrics. We release the first open-source framework for comprehensive Text-to-SQL dataset auditing and provide a prioritized remediation roadmap for Spider. The approach is generic and can be applied to other human-curated and synthetic datasets at scale.</w:t>
      </w:r>
    </w:p>
    <w:p w14:paraId="750C7ADB" w14:textId="74F64833" w:rsidR="00C138A9" w:rsidRDefault="00000000">
      <w:r>
        <w:rPr>
          <w:b/>
        </w:rPr>
        <w:t xml:space="preserve">Keywords: </w:t>
      </w:r>
      <w:r>
        <w:t>Text-to-SQL</w:t>
      </w:r>
      <w:r w:rsidR="00652F18">
        <w:t xml:space="preserve"> system</w:t>
      </w:r>
      <w:r>
        <w:t xml:space="preserve">, dataset quality, </w:t>
      </w:r>
      <w:r w:rsidR="00375BFC">
        <w:t>LLM</w:t>
      </w:r>
      <w:r>
        <w:t>, SQL validation, semantic evaluation, empirical software engineering.</w:t>
      </w:r>
    </w:p>
    <w:p w14:paraId="7AD22B40" w14:textId="77777777" w:rsidR="00C138A9" w:rsidRDefault="00000000">
      <w:pPr>
        <w:pStyle w:val="Heading1"/>
      </w:pPr>
      <w:r>
        <w:lastRenderedPageBreak/>
        <w:t>1 Introduction</w:t>
      </w:r>
    </w:p>
    <w:p w14:paraId="75F64F35"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Text-to-SQL systems, which transform natural language queries into structured SQL queries, are experiencing a period of rapid development driven primarily by remarkable progress in Large Language Models (LLMs), as well as fundamental scientific interest and practical industry needs.</w:t>
      </w:r>
    </w:p>
    <w:p w14:paraId="05499E9E" w14:textId="77777777"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accuracy [3] on the Spider 1.0 leaderboard [4], and 80.88% [5] on the BIRD leaderboard [6]—approximately 7-8×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6E8DD3F5"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drawing>
          <wp:inline distT="0" distB="0" distL="0" distR="0" wp14:anchorId="02D2E98C" wp14:editId="48276CAB">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20956A3"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1D66AFD1"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lastRenderedPageBreak/>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0773B314" w14:textId="77777777"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t xml:space="preserve">The typical process of training LLMs for Text-to-SQL tasks includes three key components (Fig. 1): a training dataset containing triplets of {natural language question, database schema, Target SQL query},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of examples in the prompt without updating its parameters. In both cases, dataset quality is critical: in fine-tuning, even a small fraction of flawed examples among tens of thousands can introduce systematic errors, while in few-shot prompting each individual example directly 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7CA9CB0C" w14:textId="79BDF0AD" w:rsidR="001A0A4F" w:rsidRPr="00375BFC"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18DF81D3" w14:textId="116C7A33" w:rsidR="001A0A4F"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518435DF" w14:textId="1C093E7F" w:rsidR="001A0A4F" w:rsidRPr="00375BFC"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77B95E61" w14:textId="7D6DDEF5" w:rsidR="001A0A4F" w:rsidRPr="001A0A4F"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5EA145A4" w14:textId="39A94DAD"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5E2AE03F" w14:textId="30D7B75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7DBE44BF" w14:textId="51789DE3"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775CCF30" w14:textId="64969AE6"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BFFD6B5" w14:textId="62890AE1"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47840D3D" w14:textId="2A01F770"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w:t>
      </w:r>
      <w:r w:rsidRPr="009E0AEF">
        <w:rPr>
          <w:rFonts w:asciiTheme="minorHAnsi" w:hAnsiTheme="minorHAnsi"/>
          <w:sz w:val="22"/>
          <w:szCs w:val="22"/>
        </w:rPr>
        <w:lastRenderedPageBreak/>
        <w:t>benchmark datasets as software artefacts that should be inspected, measured and improved with the same rigour as source code or test suites.</w:t>
      </w:r>
    </w:p>
    <w:p w14:paraId="04F1B2BD" w14:textId="28E3D58B"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7DAB63A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755516E8" w14:textId="05B2945C"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05154635"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4E2DB3B8" w14:textId="0A83AB3C"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72E08EE" w14:textId="182CFEC1"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44F71321" w14:textId="77777777" w:rsidR="00C138A9" w:rsidRDefault="00000000">
      <w:pPr>
        <w:pStyle w:val="Heading1"/>
      </w:pPr>
      <w:r>
        <w:t>2 Related Work</w:t>
      </w:r>
    </w:p>
    <w:p w14:paraId="55A5B91F" w14:textId="77777777" w:rsidR="00C138A9" w:rsidRDefault="00000000">
      <w:pPr>
        <w:pStyle w:val="Heading2"/>
      </w:pPr>
      <w:r>
        <w:t>2.1 Text-to-SQL Benchmarks and Datasets</w:t>
      </w:r>
    </w:p>
    <w:p w14:paraId="3C1196BD"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09D09573" w14:textId="4B25D8E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2202068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 xml:space="preserve">Complementary benchmarks have emerged to address specific evaluation dimensions not fully captured by Spider. The BIRD benchmark [14] targets large-scale, content-rich databases (approximately 33 GB total), introducing practical challenges such as noisy data </w:t>
      </w:r>
      <w:r w:rsidRPr="00417B7B">
        <w:rPr>
          <w:rFonts w:eastAsia="Times New Roman" w:cs="Times New Roman"/>
          <w:lang w:eastAsia="en-GB"/>
        </w:rPr>
        <w:lastRenderedPageBreak/>
        <w:t>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42C0B019"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7530871F" w14:textId="51BE5368" w:rsidR="002E3483" w:rsidRPr="00417B7B" w:rsidRDefault="00AC0E12" w:rsidP="002E3483">
      <w:pPr>
        <w:spacing w:after="0"/>
        <w:ind w:firstLine="510"/>
        <w:jc w:val="both"/>
        <w:rPr>
          <w:rFonts w:eastAsia="Times New Roman" w:cs="Times New Roman"/>
          <w:lang w:val="uk-UA" w:eastAsia="en-GB"/>
        </w:rPr>
      </w:pPr>
      <w:r>
        <w:t>Despite the proliferation of alternative resources, Spider 1.0 remains the most comprehensive and widely adopted benchmark due to its unique combination of scale, 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08D544C6" w14:textId="77777777" w:rsidR="00C138A9" w:rsidRDefault="00000000">
      <w:pPr>
        <w:pStyle w:val="Heading2"/>
      </w:pPr>
      <w:r>
        <w:t>2.2 Data Quality and Robustness in Text-to-SQL</w:t>
      </w:r>
    </w:p>
    <w:p w14:paraId="42F56FA2"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5CC87650"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116FBA73"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1DC026B" w14:textId="77777777" w:rsidR="00C138A9" w:rsidRDefault="00000000">
      <w:pPr>
        <w:pStyle w:val="Heading2"/>
      </w:pPr>
      <w:r>
        <w:lastRenderedPageBreak/>
        <w:t>2.3 Dataset Quality Assessment Frameworks</w:t>
      </w:r>
    </w:p>
    <w:p w14:paraId="4B126D20" w14:textId="49603E04"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Their study characterizes Text-to-SQL datasets along three complementary dimensions: structural and operator diversity of SQL queries, schema size and complexity of associated databases, and 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1CF13A0C" w14:textId="456EE74C" w:rsidR="00A87719" w:rsidRDefault="001A0A4F" w:rsidP="00756B55">
      <w:pPr>
        <w:spacing w:after="0"/>
        <w:ind w:firstLine="340"/>
        <w:jc w:val="both"/>
        <w:rPr>
          <w:rFonts w:eastAsia="Times New Roman" w:cs="Times New Roman"/>
          <w:lang w:val="uk-UA" w:eastAsia="en-GB"/>
        </w:rPr>
      </w:pPr>
      <w:r>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3CF0E97C" w14:textId="5C718C40"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6D4C9488" w14:textId="3297F2EF"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w:t>
      </w:r>
      <w:r w:rsidR="00A87719" w:rsidRPr="00A87719">
        <w:rPr>
          <w:rFonts w:cs="Times New Roman"/>
        </w:rPr>
        <w:lastRenderedPageBreak/>
        <w:t xml:space="preserve">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2DEB0BC2"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successful execution does not verify the correctness of SQL logic, the semantic alignment between the question and the query, the integrity of the underlying schema, or the presence of stylistic and efficiency-related anti-patterns. Consequently, these procedures cannot serve as general-purpose dataset auditing methods and address only a small subset of the quality issues that arise in modern Text-to-SQL datasets</w:t>
      </w:r>
    </w:p>
    <w:p w14:paraId="2D2EEFF6"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605E7B82" w14:textId="6EA922B6" w:rsidR="00C138A9" w:rsidRDefault="00000000">
      <w:pPr>
        <w:pStyle w:val="Heading1"/>
      </w:pPr>
      <w:r>
        <w:t>3</w:t>
      </w:r>
      <w:r w:rsidR="006B0352">
        <w:t>.</w:t>
      </w:r>
      <w:r>
        <w:t xml:space="preserve"> Method</w:t>
      </w:r>
      <w:r w:rsidR="006B0352">
        <w:t>s</w:t>
      </w:r>
    </w:p>
    <w:p w14:paraId="131988D4" w14:textId="44497698"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2FC60190"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55A2E0A4" w14:textId="24E0FE35"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w:t>
      </w:r>
      <w:r w:rsidR="000D1A65" w:rsidRPr="00642587">
        <w:lastRenderedPageBreak/>
        <w:t xml:space="preserve">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6490D32F" w14:textId="0A7B729D"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2302A996" w14:textId="2AE5B7DC"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3EA1F64E" w14:textId="220F29C3"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6672D777" w14:textId="21FBB3E5"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w:t>
      </w:r>
      <w:r>
        <w:t xml:space="preserve">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11CAFB16" w14:textId="77777777"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Pr="00BB714D">
        <w:rPr>
          <w:rFonts w:asciiTheme="minorHAnsi" w:hAnsiTheme="minorHAnsi"/>
          <w:sz w:val="22"/>
          <w:szCs w:val="22"/>
        </w:rPr>
        <w:t xml:space="preserve"> / </w:t>
      </w:r>
      <w:r w:rsidRPr="00BB714D">
        <w:rPr>
          <w:rStyle w:val="HTMLCode"/>
          <w:rFonts w:asciiTheme="minorHAnsi" w:hAnsiTheme="minorHAnsi"/>
          <w:sz w:val="22"/>
          <w:szCs w:val="22"/>
        </w:rPr>
        <w:t>${VAR:default}</w:t>
      </w:r>
      <w:r w:rsidRPr="00BB714D">
        <w:rPr>
          <w:rFonts w:asciiTheme="minorHAnsi" w:hAnsiTheme="minorHAnsi"/>
          <w:sz w:val="22"/>
          <w:szCs w:val="22"/>
        </w:rPr>
        <w:t xml:space="preserve">) 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2BAC732B" w14:textId="77777777" w:rsidR="00582FAC" w:rsidRPr="00582FAC" w:rsidRDefault="00582FAC" w:rsidP="00756B55">
      <w:pPr>
        <w:ind w:firstLine="340"/>
        <w:jc w:val="both"/>
        <w:rPr>
          <w:lang w:val="en-CY"/>
        </w:rPr>
      </w:pPr>
    </w:p>
    <w:p w14:paraId="50D3AFEE" w14:textId="392F03FE" w:rsidR="00582FAC" w:rsidRPr="00E31D3F" w:rsidRDefault="00582FAC" w:rsidP="00582FAC">
      <w:pPr>
        <w:ind w:firstLine="340"/>
      </w:pPr>
      <w:r>
        <w:rPr>
          <w:noProof/>
        </w:rPr>
        <w:lastRenderedPageBreak/>
        <w:drawing>
          <wp:inline distT="0" distB="0" distL="0" distR="0" wp14:anchorId="5BB90BD3" wp14:editId="1CC7355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5EC0D4DC" w14:textId="14145617" w:rsidR="000D1A65" w:rsidRDefault="000D1A65" w:rsidP="00582FAC">
      <w:pPr>
        <w:ind w:firstLine="340"/>
      </w:pPr>
      <w:r>
        <w:rPr>
          <w:rFonts w:ascii="Times New Roman" w:hAnsi="Times New Roman"/>
          <w:i/>
        </w:rPr>
        <w:t>Figure 2. Five-layer architecture of the text2sql-pipeline system</w:t>
      </w:r>
    </w:p>
    <w:p w14:paraId="0ABE8CB6" w14:textId="35B5FC92"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B28E3D4" w14:textId="054799B6"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7AB92151" w14:textId="09CD2E60"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B401072"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3C3AE2B"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14FD8FC6"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5E8164D6" w14:textId="2494AE52"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66EB074C" w14:textId="34B230FD" w:rsidR="00C2688B" w:rsidRPr="00C2688B"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7E76C9A1" w14:textId="6F0ACC5D"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2E5C3BD6" w14:textId="77777777"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2370424E"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24AC81B4" w14:textId="60393C84"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8F8A84A" w14:textId="77777777" w:rsidR="002138BD" w:rsidRDefault="002138BD" w:rsidP="00582FAC">
      <w:pPr>
        <w:jc w:val="center"/>
      </w:pPr>
      <w:r>
        <w:rPr>
          <w:noProof/>
        </w:rPr>
        <w:drawing>
          <wp:inline distT="0" distB="0" distL="0" distR="0" wp14:anchorId="750FA1C9" wp14:editId="73BE8F42">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465CE6D0" w14:textId="4F6655DF"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CBB2BC3" w14:textId="77777777" w:rsidR="002138BD" w:rsidRDefault="002138BD" w:rsidP="002138BD">
      <w:pPr>
        <w:pStyle w:val="NormalWeb"/>
        <w:spacing w:before="0" w:beforeAutospacing="0" w:after="0" w:afterAutospacing="0"/>
        <w:jc w:val="both"/>
      </w:pPr>
    </w:p>
    <w:p w14:paraId="4C56AB24" w14:textId="35F21EDD"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03DA6325" w14:textId="114BC985"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4AE58285" w14:textId="4FEE1423" w:rsidR="00C15DEE" w:rsidRPr="00E0322F" w:rsidRDefault="0072497F" w:rsidP="00C15DEE">
      <w:pPr>
        <w:rPr>
          <w:lang w:val="en-GB"/>
        </w:rPr>
      </w:pPr>
      <w:r>
        <w:rPr>
          <w:noProof/>
          <w:lang w:val="en-GB"/>
        </w:rPr>
        <w:drawing>
          <wp:inline distT="0" distB="0" distL="0" distR="0" wp14:anchorId="7B877367" wp14:editId="5F19681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CA37DB5" w14:textId="36B21E1C"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19A370DD"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2F7020F3" w14:textId="49A6A8B8"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3CEE2087" w14:textId="3B75C0BF"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1662BE53" w14:textId="607C61AA"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74BEFAC7" w14:textId="25BE655E"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5DA7A4CB"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34D0E237" w14:textId="0B5B9038" w:rsidR="00E54E71" w:rsidRDefault="00CE6164" w:rsidP="005505FD">
      <w:r>
        <w:rPr>
          <w:noProof/>
        </w:rPr>
        <w:lastRenderedPageBreak/>
        <w:drawing>
          <wp:inline distT="0" distB="0" distL="0" distR="0" wp14:anchorId="52B8669F" wp14:editId="3A344F75">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0369ED5F" w14:textId="4D8819A3"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11C3FF06" w14:textId="16EB0D2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268D137F" w14:textId="4F6C2A92"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31E34002" w14:textId="7C5F56CF"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761B6AAF" w14:textId="57F28273"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3472FE00" w14:textId="7CA4478C" w:rsidR="00A05034" w:rsidRPr="000A2E56" w:rsidRDefault="00DC4473" w:rsidP="00A05034">
      <w:pPr>
        <w:spacing w:after="0"/>
        <w:ind w:firstLine="340"/>
        <w:jc w:val="both"/>
      </w:pPr>
      <w:r>
        <w:rPr>
          <w:noProof/>
        </w:rPr>
        <w:lastRenderedPageBreak/>
        <w:drawing>
          <wp:inline distT="0" distB="0" distL="0" distR="0" wp14:anchorId="4559CA8F" wp14:editId="384E3C2E">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4D8B33D" w14:textId="0DCB90AF"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5860E1C8" w14:textId="1FDEE6AF"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17C29F75"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206C1144"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46E1740F" w14:textId="45B7F00F"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42A4B681" w14:textId="37448BC0"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2366744B"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(Figure 2c):  AST-based pattern recognition through structural matching, dialect-configurable severity classification and weighted scoring (Figure 7)</w:t>
      </w:r>
      <w:r w:rsidR="00A05034" w:rsidRPr="00845719">
        <w:t>.</w:t>
      </w:r>
    </w:p>
    <w:p w14:paraId="59460D41" w14:textId="0B7505A6"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05D7307C" w14:textId="289AA6C4" w:rsidR="00A05034" w:rsidRPr="00845719" w:rsidRDefault="00845719" w:rsidP="00A05034">
      <w:pPr>
        <w:spacing w:after="0"/>
        <w:ind w:firstLine="340"/>
        <w:jc w:val="both"/>
      </w:pPr>
      <w:r w:rsidRPr="00845719">
        <w:rPr>
          <w:noProof/>
        </w:rPr>
        <w:drawing>
          <wp:inline distT="0" distB="0" distL="0" distR="0" wp14:anchorId="4FFC6759" wp14:editId="0E94F10C">
            <wp:extent cx="5486400" cy="3205480"/>
            <wp:effectExtent l="0" t="0" r="0" b="0"/>
            <wp:docPr id="126940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4739" name="Picture 1269404739"/>
                    <pic:cNvPicPr/>
                  </pic:nvPicPr>
                  <pic:blipFill>
                    <a:blip r:embed="rId12"/>
                    <a:stretch>
                      <a:fillRect/>
                    </a:stretch>
                  </pic:blipFill>
                  <pic:spPr>
                    <a:xfrm>
                      <a:off x="0" y="0"/>
                      <a:ext cx="5486400" cy="3205480"/>
                    </a:xfrm>
                    <a:prstGeom prst="rect">
                      <a:avLst/>
                    </a:prstGeom>
                  </pic:spPr>
                </pic:pic>
              </a:graphicData>
            </a:graphic>
          </wp:inline>
        </w:drawing>
      </w:r>
    </w:p>
    <w:p w14:paraId="75EFD4F4" w14:textId="2D4D9F0E" w:rsidR="00A05034" w:rsidRPr="00845719" w:rsidRDefault="00A05034" w:rsidP="00A05034">
      <w:pPr>
        <w:spacing w:after="0"/>
        <w:ind w:firstLine="340"/>
        <w:jc w:val="both"/>
        <w:rPr>
          <w:i/>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CC992E6" w14:textId="76C6111C"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1474CCA1" w14:textId="77777777" w:rsidR="003F009D" w:rsidRPr="00845719" w:rsidRDefault="003F009D" w:rsidP="00845719">
      <w:pPr>
        <w:spacing w:after="0"/>
        <w:jc w:val="both"/>
      </w:pPr>
      <w:r w:rsidRPr="00845719">
        <w:rPr>
          <w:b/>
        </w:rPr>
        <w:t>Critical Severity (4 patterns)</w:t>
      </w:r>
      <w:r w:rsidRPr="00845719">
        <w:t xml:space="preserve"> — Always produces wrong results or enables data corruption:</w:t>
      </w:r>
    </w:p>
    <w:p w14:paraId="5FDB02B2" w14:textId="77777777" w:rsidR="003F009D" w:rsidRPr="00845719" w:rsidRDefault="003F009D" w:rsidP="00845719">
      <w:pPr>
        <w:pStyle w:val="ListBullet"/>
        <w:spacing w:after="0"/>
        <w:jc w:val="both"/>
      </w:pPr>
      <w:r w:rsidRPr="00845719">
        <w:rPr>
          <w:b/>
        </w:rPr>
        <w:lastRenderedPageBreak/>
        <w:t xml:space="preserve">NULL comparison errors (col = NULL): </w:t>
      </w:r>
      <w:r w:rsidRPr="00845719">
        <w:t>Equality operators with NULL always evaluate to NULL rather than true/false, breaking predicate logic. Standard SQL requires IS NULL / IS NOT NULL predicates.</w:t>
      </w:r>
    </w:p>
    <w:p w14:paraId="70034811" w14:textId="77777777" w:rsidR="003F009D" w:rsidRPr="00845719" w:rsidRDefault="003F009D" w:rsidP="00845719">
      <w:pPr>
        <w:pStyle w:val="ListBullet"/>
        <w:spacing w:after="0"/>
        <w:jc w:val="both"/>
      </w:pPr>
      <w:r w:rsidRPr="00845719">
        <w:rPr>
          <w:b/>
        </w:rPr>
        <w:t xml:space="preserve">Missing GROUP BY: </w:t>
      </w:r>
      <w:r w:rsidRPr="00845719">
        <w:t>Non-aggregated columns alongside aggregate functions produce non-deterministic results. SQLite permits this for MySQL compatibility but returns arbitrary row values, violating benchmark reproducibility requirements.</w:t>
      </w:r>
    </w:p>
    <w:p w14:paraId="48F0B979"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p>
    <w:p w14:paraId="56083631" w14:textId="77777777" w:rsidR="003F009D" w:rsidRPr="00845719" w:rsidRDefault="003F009D" w:rsidP="00845719">
      <w:pPr>
        <w:pStyle w:val="ListBullet"/>
        <w:spacing w:after="0"/>
        <w:jc w:val="both"/>
      </w:pPr>
      <w:r w:rsidRPr="00845719">
        <w:rPr>
          <w:b/>
        </w:rPr>
        <w:t xml:space="preserve">Cartesian product joins: </w:t>
      </w:r>
      <w:r w:rsidRPr="00845719">
        <w:t>Missing JOIN conditions cause exponential row multiplication (N×M rows from two N-row, M-row tables), producing massive unintended result sets.</w:t>
      </w:r>
    </w:p>
    <w:p w14:paraId="1413CA79" w14:textId="77777777" w:rsidR="003F009D" w:rsidRPr="00845719" w:rsidRDefault="003F009D" w:rsidP="00845719">
      <w:pPr>
        <w:spacing w:after="0"/>
        <w:jc w:val="both"/>
      </w:pPr>
      <w:r w:rsidRPr="00845719">
        <w:rPr>
          <w:b/>
        </w:rPr>
        <w:t>High Severity (2 patterns)</w:t>
      </w:r>
      <w:r w:rsidRPr="00845719">
        <w:t xml:space="preserve"> — Produces wrong results in specific edge cases:</w:t>
      </w:r>
    </w:p>
    <w:p w14:paraId="564B412C" w14:textId="77777777" w:rsidR="003F009D" w:rsidRPr="00845719" w:rsidRDefault="003F009D" w:rsidP="00845719">
      <w:pPr>
        <w:pStyle w:val="ListBullet"/>
        <w:spacing w:after="0"/>
        <w:jc w:val="both"/>
      </w:pPr>
      <w:r w:rsidRPr="00845719">
        <w:rPr>
          <w:b/>
        </w:rPr>
        <w:t xml:space="preserve">NOT IN with nullable subqueries: </w:t>
      </w:r>
      <w:r w:rsidRPr="00845719">
        <w:t xml:space="preserve">When subquery returns NULL, SQL's three-valued logic causes the entire NOT IN expression to evaluate to false/NULL unexpectedly, silently filtering all rows.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20101E30" w14:textId="77777777" w:rsidR="003F009D" w:rsidRPr="00845719" w:rsidRDefault="003F009D" w:rsidP="00845719">
      <w:pPr>
        <w:pStyle w:val="ListBullet"/>
        <w:spacing w:after="0"/>
        <w:jc w:val="both"/>
      </w:pPr>
      <w:r w:rsidRPr="00845719">
        <w:rPr>
          <w:b/>
        </w:rPr>
        <w:t xml:space="preserve">Implicit comma-joins: </w:t>
      </w:r>
      <w:r w:rsidRPr="00845719">
        <w:t>Comma-separated table lists (FROM t1, t2 WHERE ...) risk accidental Cartesian products when WHERE predicates inadequately constrain relationships, particularly problematic in SQLite's optimizer which shows documented limitations recognizing distributed join predicates.</w:t>
      </w:r>
    </w:p>
    <w:p w14:paraId="2562CBD0" w14:textId="77777777" w:rsidR="003F009D" w:rsidRPr="00845719" w:rsidRDefault="003F009D" w:rsidP="00845719">
      <w:pPr>
        <w:spacing w:after="0"/>
        <w:jc w:val="both"/>
      </w:pPr>
      <w:r w:rsidRPr="00845719">
        <w:rPr>
          <w:b/>
        </w:rPr>
        <w:t>Medium Severity (6 patterns)</w:t>
      </w:r>
      <w:r w:rsidRPr="00845719">
        <w:t xml:space="preserve"> — Performance degradations and code quality issues:</w:t>
      </w:r>
    </w:p>
    <w:p w14:paraId="5A31C320" w14:textId="1F8B3560"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Pr="00845719">
        <w:t>Applying functions to indexed columns prevents index usage, forcing full table scans.</w:t>
      </w:r>
    </w:p>
    <w:p w14:paraId="4217974A" w14:textId="77777777" w:rsidR="003F009D" w:rsidRPr="00845719" w:rsidRDefault="003F009D" w:rsidP="00845719">
      <w:pPr>
        <w:pStyle w:val="ListBullet"/>
        <w:spacing w:after="0"/>
        <w:jc w:val="both"/>
      </w:pPr>
      <w:r w:rsidRPr="00845719">
        <w:rPr>
          <w:b/>
        </w:rPr>
        <w:t xml:space="preserve">Correlated subqueries: </w:t>
      </w:r>
      <w:r w:rsidRPr="00845719">
        <w:t>Row-by-row execution exhibits O(n²) complexity. Modern optimizers (PostgreSQL, Oracle) may decorrelate automatically, but SQLite executes literally.</w:t>
      </w:r>
    </w:p>
    <w:p w14:paraId="1E13C49B" w14:textId="0C9086AC" w:rsidR="003F009D" w:rsidRPr="00845719" w:rsidRDefault="003F009D" w:rsidP="00845719">
      <w:pPr>
        <w:pStyle w:val="ListBullet"/>
        <w:spacing w:after="0"/>
        <w:jc w:val="both"/>
      </w:pPr>
      <w:r w:rsidRPr="00845719">
        <w:rPr>
          <w:b/>
        </w:rPr>
        <w:t>Leading</w:t>
      </w:r>
      <w:r w:rsidR="00DC46AD">
        <w:rPr>
          <w:b/>
        </w:rPr>
        <w:t xml:space="preserve"> </w:t>
      </w:r>
      <w:r w:rsidRPr="00845719">
        <w:rPr>
          <w:b/>
        </w:rPr>
        <w:t xml:space="preserve">wildcard LIKE (LIKE '%pattern'): </w:t>
      </w:r>
      <w:r w:rsidRPr="00845719">
        <w:t>Prevents index prefix matching, requiring full table scan even on indexed columns.</w:t>
      </w:r>
    </w:p>
    <w:p w14:paraId="776A3629" w14:textId="77777777" w:rsidR="003F009D" w:rsidRPr="00845719" w:rsidRDefault="003F009D" w:rsidP="00845719">
      <w:pPr>
        <w:pStyle w:val="ListBullet"/>
        <w:spacing w:after="0"/>
        <w:jc w:val="both"/>
      </w:pPr>
      <w:r w:rsidRPr="00845719">
        <w:rPr>
          <w:b/>
        </w:rPr>
        <w:t xml:space="preserve">UNION vs UNION ALL: </w:t>
      </w:r>
      <w:r w:rsidRPr="00845719">
        <w:t>UNION adds expensive deduplication sort operation. Use UNION ALL when duplicates are acceptable or known to be impossible.</w:t>
      </w:r>
    </w:p>
    <w:p w14:paraId="40ACCA84" w14:textId="77777777" w:rsidR="003F009D" w:rsidRPr="00845719" w:rsidRDefault="003F009D" w:rsidP="00845719">
      <w:pPr>
        <w:pStyle w:val="ListBullet"/>
        <w:spacing w:after="0"/>
        <w:jc w:val="both"/>
      </w:pPr>
      <w:r w:rsidRPr="00845719">
        <w:rPr>
          <w:b/>
        </w:rPr>
        <w:t xml:space="preserve">Redundant DISTINCT + GROUP BY: </w:t>
      </w:r>
      <w:r w:rsidRPr="00845719">
        <w:t>GROUP BY already ensures uniqueness; adding DISTINCT is redundant and may add unnecessary overhead.</w:t>
      </w:r>
    </w:p>
    <w:p w14:paraId="3FE1FAF3" w14:textId="26A0C536" w:rsidR="003F009D" w:rsidRPr="00845719" w:rsidRDefault="003F009D" w:rsidP="00845719">
      <w:pPr>
        <w:pStyle w:val="ListBullet"/>
        <w:spacing w:after="0"/>
        <w:jc w:val="both"/>
      </w:pPr>
      <w:r w:rsidRPr="00845719">
        <w:rPr>
          <w:b/>
        </w:rPr>
        <w:t>Columns in EXISTS subqueries (EXISTS</w:t>
      </w:r>
      <w:r w:rsidR="00DC46AD">
        <w:rPr>
          <w:b/>
        </w:rPr>
        <w:t xml:space="preserve"> </w:t>
      </w:r>
      <w:r w:rsidRPr="00845719">
        <w:rPr>
          <w:b/>
        </w:rPr>
        <w:t xml:space="preserve">(SELECT col FROM ...)): </w:t>
      </w:r>
      <w:r w:rsidRPr="00845719">
        <w:t>EXISTS only checks row existence; selecting specific columns wastes I/O. Use SELECT 1 convention.</w:t>
      </w:r>
    </w:p>
    <w:p w14:paraId="5B6523AD" w14:textId="77777777" w:rsidR="003F009D" w:rsidRPr="00845719" w:rsidRDefault="003F009D" w:rsidP="00845719">
      <w:pPr>
        <w:spacing w:after="0"/>
        <w:jc w:val="both"/>
      </w:pPr>
      <w:r w:rsidRPr="00845719">
        <w:rPr>
          <w:b/>
        </w:rPr>
        <w:t>Low Severity (1 pattern)</w:t>
      </w:r>
      <w:r w:rsidRPr="00845719">
        <w:t xml:space="preserve"> — Style preferences acceptable in research contexts:</w:t>
      </w:r>
    </w:p>
    <w:p w14:paraId="52169729" w14:textId="77777777" w:rsidR="003F009D" w:rsidRPr="00845719" w:rsidRDefault="003F009D" w:rsidP="00845719">
      <w:pPr>
        <w:pStyle w:val="ListBullet"/>
        <w:spacing w:after="0"/>
        <w:jc w:val="both"/>
      </w:pPr>
      <w:r w:rsidRPr="00845719">
        <w:rPr>
          <w:b/>
        </w:rPr>
        <w:t xml:space="preserve">SELECT *: </w:t>
      </w:r>
      <w:r w:rsidRPr="00845719">
        <w:t>Selects all columns implicitly, obscuring column-level dependencies and increasing coupling to schema changes, which negatively impacts readability and maintainability.</w:t>
      </w:r>
    </w:p>
    <w:p w14:paraId="101CCEE4" w14:textId="4D1CE544" w:rsidR="003F009D" w:rsidRPr="00845719"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481F9454" w14:textId="5CB399C0" w:rsidR="00845719" w:rsidRPr="00845719" w:rsidRDefault="00845719" w:rsidP="00845719">
      <w:pPr>
        <w:spacing w:after="0"/>
        <w:jc w:val="center"/>
      </w:pPr>
      <m:oMath>
        <m:r>
          <w:rPr>
            <w:rFonts w:ascii="Cambria Math" w:hAnsi="Cambria Math"/>
          </w:rPr>
          <m:t xml:space="preserve">score = </m:t>
        </m:r>
        <m:r>
          <m:rPr>
            <m:sty m:val="p"/>
          </m:rPr>
          <w:rPr>
            <w:rFonts w:ascii="Cambria Math" w:hAnsi="Cambria Math"/>
          </w:rPr>
          <m:t>max⁡(0, min⁡(100, 100-</m:t>
        </m:r>
        <m:r>
          <w:rPr>
            <w:rFonts w:ascii="Cambria Math" w:hAnsi="Cambria Math"/>
          </w:rPr>
          <m:t>∑(</m:t>
        </m:r>
        <m:r>
          <m:rPr>
            <m:sty m:val="p"/>
          </m:rPr>
          <w:rPr>
            <w:rFonts w:ascii="Cambria Math" w:hAnsi="Cambria Math"/>
          </w:rPr>
          <m:t>penalty_severity × n_severity</m:t>
        </m:r>
        <m:r>
          <w:rPr>
            <w:rFonts w:ascii="Cambria Math" w:hAnsi="Cambria Math"/>
          </w:rPr>
          <m:t>)</m:t>
        </m:r>
        <m:r>
          <m:rPr>
            <m:sty m:val="p"/>
          </m:rPr>
          <w:rPr>
            <w:rFonts w:ascii="Cambria Math" w:hAnsi="Cambria Math"/>
          </w:rPr>
          <m:t>))</m:t>
        </m:r>
      </m:oMath>
      <w:r w:rsidRPr="00845719">
        <w:t>,</w:t>
      </w:r>
    </w:p>
    <w:p w14:paraId="276EC69A" w14:textId="77777777" w:rsidR="00845719" w:rsidRPr="00845719" w:rsidRDefault="00845719" w:rsidP="00845719">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penalty_severity</w:t>
      </w:r>
      <w:proofErr w:type="spellEnd"/>
      <w:r w:rsidRPr="00845719">
        <w:t xml:space="preserve"> represents the configurable penalty weight for that severity level. The penalty coefficients encode relative technical impact: correctness violations receive </w:t>
      </w:r>
      <w:r w:rsidRPr="00845719">
        <w:lastRenderedPageBreak/>
        <w:t xml:space="preserve">maximum penalty, edge-case failures moderate penalty, performance issues minor penalty, and style concerns minimal penalty. The clamping operations </w:t>
      </w:r>
      <w:proofErr w:type="gramStart"/>
      <w:r w:rsidRPr="00845719">
        <w:t>max(</w:t>
      </w:r>
      <w:proofErr w:type="gramEnd"/>
      <w:r w:rsidRPr="00845719">
        <w:t xml:space="preserve">0, </w:t>
      </w:r>
      <w:proofErr w:type="gramStart"/>
      <w:r w:rsidRPr="00845719">
        <w:t>min(</w:t>
      </w:r>
      <w:proofErr w:type="gramEnd"/>
      <w:r w:rsidRPr="00845719">
        <w:t xml:space="preserve">100, ...)) enforce the [0, 100] range when multiple severe antipatterns accumulate. </w:t>
      </w:r>
    </w:p>
    <w:p w14:paraId="04C12090" w14:textId="661DFC8E" w:rsidR="00845719" w:rsidRPr="00845719" w:rsidRDefault="00845719" w:rsidP="00845719">
      <w:pPr>
        <w:spacing w:after="0"/>
        <w:jc w:val="both"/>
      </w:pPr>
      <w:r w:rsidRPr="00845719">
        <w:t>This produces intuitive score interpretability: 100 = perfect (no antipatterns); 90-99 = excellent (only low-severity patterns); 70-89 = good (isolated medium issues); 50-69 = fair (multiple medium or few high-severity patterns); &lt;50 = poor (critical antipatterns or numerous high-severity issues). The weighted approach enables fine-grained quality discrimination for dataset curation and quality-aware evaluation methodologies.</w:t>
      </w:r>
    </w:p>
    <w:p w14:paraId="43B46AC5" w14:textId="5A7D61D6"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6D9ED79C" w14:textId="236DEEBF"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41044FE8" w14:textId="13E1F45E"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his stage prepares a compact, token-efficient representation of the database schema and sample data that is injected as context into the LLM-based semantic Text-to-SQL judge</w:t>
      </w:r>
      <w:r w:rsidRPr="00A71ED0">
        <w:t>.</w:t>
      </w:r>
      <w:r w:rsidRPr="00C71E71">
        <w:t xml:space="preserve"> The system supports two DDL generation modes: </w:t>
      </w:r>
      <w:r w:rsidRPr="00C71E71">
        <w:rPr>
          <w:rStyle w:val="Strong"/>
        </w:rPr>
        <w:t>full</w:t>
      </w:r>
      <w:r w:rsidRPr="00C71E71">
        <w:t xml:space="preserve"> and </w:t>
      </w:r>
      <w:r w:rsidRPr="00C71E71">
        <w:rPr>
          <w:rStyle w:val="Strong"/>
        </w:rPr>
        <w:t>query-derived</w:t>
      </w:r>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r w:rsidRPr="00C71E71">
        <w:rPr>
          <w:rStyle w:val="Emphasis"/>
        </w:rPr>
        <w:t>sqlglot</w:t>
      </w:r>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type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5542076A" w14:textId="5D7A58B0" w:rsidR="00241355" w:rsidRPr="009E73BB" w:rsidRDefault="009E73BB" w:rsidP="00EF1AD3">
      <w:pPr>
        <w:rPr>
          <w:rFonts w:ascii="Times New Roman" w:hAnsi="Times New Roman"/>
        </w:rPr>
      </w:pPr>
      <w:r>
        <w:rPr>
          <w:rFonts w:ascii="Times New Roman" w:hAnsi="Times New Roman"/>
          <w:noProof/>
        </w:rPr>
        <w:lastRenderedPageBreak/>
        <w:drawing>
          <wp:inline distT="0" distB="0" distL="0" distR="0" wp14:anchorId="1DEB0FDE" wp14:editId="49C61944">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330B9565" w14:textId="2870CBCD"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FD834A1" w14:textId="61E2519A"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and keep our semantic validation results cleanly interpretable, in this work we therefore report results using full 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6A271E9" w14:textId="0B9A8F44" w:rsidR="00BB0063" w:rsidRPr="00BB0063" w:rsidRDefault="00BB0063" w:rsidP="00655FB6">
      <w:pPr>
        <w:spacing w:after="0"/>
        <w:ind w:firstLine="340"/>
        <w:jc w:val="both"/>
      </w:pPr>
      <w:r w:rsidRPr="00BB0063">
        <w:rPr>
          <w:b/>
          <w:bCs/>
        </w:rPr>
        <w:t>Prompt Template Resolution</w:t>
      </w:r>
      <w:r w:rsidRPr="00BB0063">
        <w:t>.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70F8C14C"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121C6FA8"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67F43AD9"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1F82873A"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lastRenderedPageBreak/>
        <w:t>{{dialect}}</w:t>
      </w:r>
      <w:r w:rsidRPr="00BB0063">
        <w:rPr>
          <w:rFonts w:asciiTheme="minorHAnsi" w:hAnsiTheme="minorHAnsi"/>
          <w:sz w:val="22"/>
          <w:szCs w:val="22"/>
        </w:rPr>
        <w:t>: Optional SQL dialect specification (sqlite, postgresql, etc.) for correct interpretation of dialect-specific syntax</w:t>
      </w:r>
    </w:p>
    <w:p w14:paraId="6D8A813A" w14:textId="4D56C6E2"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4D8CFA5E" w14:textId="5D6A85B0"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drawing>
          <wp:inline distT="0" distB="0" distL="0" distR="0" wp14:anchorId="5A978BAD" wp14:editId="5D272BEC">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085213E" w14:textId="6C6642F9"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4FEEC31F" w14:textId="23955C60"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 xml:space="preserve">The "explanation" field encodes a short natural-language justification; for CORRECT verdicts, the explanation is required to be an empty string, thereby preventing spurious narrative output, while for all other verdicts, the explanation must be a concise single-line </w:t>
      </w:r>
      <w:r w:rsidRPr="00DE55BD">
        <w:rPr>
          <w:rFonts w:asciiTheme="minorHAnsi" w:hAnsiTheme="minorHAnsi"/>
          <w:color w:val="000000"/>
          <w:sz w:val="22"/>
          <w:szCs w:val="22"/>
          <w:lang w:val="en-GB"/>
        </w:rPr>
        <w:lastRenderedPageBreak/>
        <w:t>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3ADEE7AD" w14:textId="2981CFE8"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46AAD0B" w14:textId="601B9D41"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5B7D46A0" w14:textId="55D1057A"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700B5AD6" w14:textId="4F3D4F9C"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7EA8C776" w14:textId="15C69544"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3CAAF2C" w14:textId="7F440CF1" w:rsidR="00DE55BD" w:rsidRPr="005B57F6" w:rsidRDefault="00F4208B" w:rsidP="00DE55BD">
      <w:pPr>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05268494" w14:textId="6D37ACFE" w:rsidR="00DC46E7" w:rsidRDefault="00DC46E7" w:rsidP="00DC46E7">
      <m:oMathPara>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1E0D15BF" w14:textId="1FFA7D41" w:rsidR="00EF1AD3" w:rsidRPr="005B57F6" w:rsidRDefault="00DE55BD" w:rsidP="00DC46E7">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0E126A26" w14:textId="436A50C5"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w:t>
      </w:r>
      <w:r w:rsidRPr="005B57F6">
        <w:rPr>
          <w:rFonts w:ascii="Times New Roman" w:hAnsi="Times New Roman" w:cs="Times New Roman"/>
        </w:rPr>
        <w:lastRenderedPageBreak/>
        <w:t xml:space="preserve">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1E1AE9B4" w14:textId="258C3DF4"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340EE5C7" w14:textId="727B9330" w:rsidR="000D1A65" w:rsidRDefault="000D1A65" w:rsidP="000D1A65">
      <w:pPr>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6843B2D8" w14:textId="77777777" w:rsidR="00A31F14" w:rsidRDefault="00A31F14" w:rsidP="00A31F14">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0831060D"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49B60DFE" w14:textId="77777777" w:rsidR="00A31F14" w:rsidRDefault="00A31F14" w:rsidP="000D1A65">
      <w:pPr>
        <w:rPr>
          <w:rFonts w:ascii="Times New Roman" w:hAnsi="Times New Roman"/>
        </w:rPr>
      </w:pPr>
    </w:p>
    <w:p w14:paraId="33C31A94" w14:textId="62B12A6E" w:rsidR="00DC46CE" w:rsidRDefault="00F11D62" w:rsidP="000D1A65">
      <w:pPr>
        <w:rPr>
          <w:rFonts w:ascii="Times New Roman" w:hAnsi="Times New Roman"/>
        </w:rPr>
      </w:pPr>
      <w:r>
        <w:rPr>
          <w:rFonts w:ascii="Times New Roman" w:hAnsi="Times New Roman"/>
          <w:noProof/>
        </w:rPr>
        <w:drawing>
          <wp:inline distT="0" distB="0" distL="0" distR="0" wp14:anchorId="41B5A2D1" wp14:editId="1C1A686A">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6B2BA85F" w14:textId="2B14F29A"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3B268A92" w14:textId="77777777" w:rsidR="00512059" w:rsidRDefault="00512059" w:rsidP="00F11D62">
      <w:pPr>
        <w:spacing w:after="0"/>
        <w:ind w:firstLine="340"/>
        <w:jc w:val="both"/>
        <w:rPr>
          <w:rFonts w:ascii="Times New Roman" w:hAnsi="Times New Roman"/>
        </w:rPr>
      </w:pPr>
    </w:p>
    <w:p w14:paraId="09085116"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1F1B7AEE"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7C47D04D"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6A0F23FD" w14:textId="2D7A5203"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1C73BBB7" w14:textId="78061042" w:rsidR="000D1A65" w:rsidRDefault="000D1A65" w:rsidP="00DA219F">
      <w:pPr>
        <w:spacing w:after="0"/>
        <w:ind w:firstLine="340"/>
        <w:jc w:val="both"/>
        <w:rPr>
          <w:rFonts w:ascii="Times New Roman" w:hAnsi="Times New Roman"/>
          <w:lang w:val="uk-UA"/>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w:t>
      </w:r>
      <w:r>
        <w:rPr>
          <w:rFonts w:ascii="Times New Roman" w:hAnsi="Times New Roman"/>
        </w:rPr>
        <w:lastRenderedPageBreak/>
        <w:t>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77035D2D" w14:textId="77777777" w:rsidR="006B6FDC" w:rsidRPr="006B6FDC" w:rsidRDefault="006B6FDC" w:rsidP="00DA219F">
      <w:pPr>
        <w:spacing w:after="0"/>
        <w:ind w:firstLine="340"/>
        <w:jc w:val="both"/>
        <w:rPr>
          <w:rFonts w:ascii="Times New Roman" w:hAnsi="Times New Roman"/>
          <w:lang w:val="uk-UA"/>
        </w:rPr>
      </w:pPr>
    </w:p>
    <w:p w14:paraId="7A1BF8B4" w14:textId="77777777" w:rsidR="006B6FDC" w:rsidRDefault="00952910" w:rsidP="006B6FDC">
      <w:pPr>
        <w:pStyle w:val="Heading1"/>
        <w:spacing w:before="120"/>
        <w:rPr>
          <w:lang w:val="uk-UA"/>
        </w:rPr>
      </w:pPr>
      <w:r>
        <w:t xml:space="preserve">4. </w:t>
      </w:r>
      <w:r w:rsidR="00B61633">
        <w:t>Experimental setup and results</w:t>
      </w:r>
    </w:p>
    <w:p w14:paraId="55B98A41" w14:textId="0C8E4D91" w:rsidR="000D1A65" w:rsidRDefault="006B6FDC" w:rsidP="006B6FDC">
      <w:pPr>
        <w:pStyle w:val="Heading1"/>
        <w:spacing w:before="120"/>
        <w:jc w:val="both"/>
        <w:rPr>
          <w:rFonts w:ascii="Times New Roman" w:hAnsi="Times New Roman"/>
          <w:sz w:val="24"/>
        </w:rPr>
      </w:pPr>
      <w:r>
        <w:rPr>
          <w:rFonts w:ascii="Times New Roman" w:hAnsi="Times New Roman"/>
          <w:sz w:val="24"/>
          <w:lang w:val="uk-UA"/>
        </w:rPr>
        <w:t>4</w:t>
      </w:r>
      <w:r w:rsidR="000D1A65">
        <w:rPr>
          <w:rFonts w:ascii="Times New Roman" w:hAnsi="Times New Roman"/>
          <w:sz w:val="24"/>
        </w:rPr>
        <w:t>.1. Experimental Methodology</w:t>
      </w:r>
    </w:p>
    <w:p w14:paraId="7528D16D" w14:textId="4F085C9E" w:rsidR="00DD30F3" w:rsidRPr="00DD30F3" w:rsidRDefault="00DD30F3" w:rsidP="00DD30F3">
      <w:pPr>
        <w:pStyle w:val="Heading1"/>
        <w:spacing w:before="120"/>
        <w:jc w:val="both"/>
        <w:rPr>
          <w:lang w:val="en-GB"/>
        </w:rPr>
      </w:pPr>
      <w:r w:rsidRPr="006B6FDC">
        <w:rPr>
          <w:rFonts w:asciiTheme="minorHAnsi" w:hAnsiTheme="minorHAnsi" w:cs="Times-Roman"/>
          <w:b w:val="0"/>
          <w:bCs w:val="0"/>
          <w:color w:val="000000" w:themeColor="text1"/>
          <w:sz w:val="22"/>
          <w:szCs w:val="22"/>
          <w:lang w:val="en-GB"/>
        </w:rPr>
        <w:t>We select Spider</w:t>
      </w:r>
      <w:r>
        <w:rPr>
          <w:rFonts w:asciiTheme="minorHAnsi" w:hAnsiTheme="minorHAnsi" w:cs="Times-Roman"/>
          <w:b w:val="0"/>
          <w:bCs w:val="0"/>
          <w:color w:val="000000" w:themeColor="text1"/>
          <w:sz w:val="22"/>
          <w:szCs w:val="22"/>
          <w:lang w:val="en-GB"/>
        </w:rPr>
        <w:t xml:space="preserve"> 1.0 dataset</w:t>
      </w:r>
      <w:r w:rsidRPr="006B6FDC">
        <w:rPr>
          <w:rFonts w:asciiTheme="minorHAnsi" w:hAnsiTheme="minorHAnsi" w:cs="Times-Roman"/>
          <w:b w:val="0"/>
          <w:bCs w:val="0"/>
          <w:color w:val="000000" w:themeColor="text1"/>
          <w:sz w:val="22"/>
          <w:szCs w:val="22"/>
          <w:lang w:val="en-GB"/>
        </w:rPr>
        <w:t xml:space="preserve"> as our primary test dataset because it has become the most widely used benchmark for both training and evaluating Text-to-SQL models in the research community. Its ubiquitous adoption as the standard evaluation framework—reflected in countless publications and model leaderboards since 2018—means that any quality issues, ambiguous examples, or annotation errors we identify in Spider have direct implications for the validity of results reported across numerous studies that rely on this benchmark.</w:t>
      </w:r>
      <w:r w:rsidRPr="006B6FDC">
        <w:rPr>
          <w:rFonts w:asciiTheme="minorHAnsi" w:hAnsiTheme="minorHAnsi"/>
          <w:b w:val="0"/>
          <w:bCs w:val="0"/>
          <w:color w:val="000000" w:themeColor="text1"/>
          <w:sz w:val="22"/>
          <w:szCs w:val="22"/>
        </w:rPr>
        <w:t xml:space="preserve"> </w:t>
      </w:r>
    </w:p>
    <w:p w14:paraId="49F9C597" w14:textId="77777777" w:rsidR="000D1A65" w:rsidRDefault="000D1A65" w:rsidP="006B6FDC">
      <w:pPr>
        <w:spacing w:after="0"/>
        <w:ind w:firstLine="340"/>
        <w:jc w:val="both"/>
      </w:pPr>
      <w:r>
        <w:t>The experimental methodology employs comprehensive multi-layer validation across all three Spider partitions (test, dev, train) to assess both overall dataset quality and consistency characteristics between partitions. This comparative approach enables detection of systematic differences that might affect the reliability of training and evaluation procedures, a consideration particularly important given that many published Text-to-SQL systems report performance metrics only on the test partition while using dev for hyperparameter tuning.</w:t>
      </w:r>
    </w:p>
    <w:p w14:paraId="0E1E13DD" w14:textId="78AC3150" w:rsidR="000D1A65" w:rsidRDefault="000D1A65" w:rsidP="006B6FDC">
      <w:pPr>
        <w:spacing w:after="0"/>
        <w:ind w:firstLine="340"/>
        <w:jc w:val="both"/>
      </w:pPr>
      <w:r>
        <w:t xml:space="preserve">The three analyzed partitions exhibit substantially different scales: Spider Test contains 2,147 examples spanning 40 unique databases, Spider Dev includes 1,034 examples across 20 databases, and Spider Train comprises 8,659 examples distributed over 146 databases. This size disparity introduces methodological considerations for certain analyses, particularly semantic validation via large language models, where the computational cost scales linearly with dataset size and </w:t>
      </w:r>
      <w:r w:rsidR="00655FB6">
        <w:t>were</w:t>
      </w:r>
      <w:r>
        <w:t xml:space="preserve"> processing all 8,659 training examples would incur API costs exceeding $200-320 at current pricing.</w:t>
      </w:r>
    </w:p>
    <w:p w14:paraId="32ECCF3E" w14:textId="14927A72" w:rsidR="000D1A65" w:rsidRDefault="000D1A65" w:rsidP="006B6FDC">
      <w:pPr>
        <w:spacing w:after="0"/>
        <w:ind w:firstLine="340"/>
        <w:jc w:val="both"/>
      </w:pPr>
      <w:r>
        <w:t>All analyses employed SQLite as the target SQL dialect, matching Spider's native database format. The pipeline activated all five analyzers for all three partitions. The LLM configuration utilized Gemini 2.5 Pro and GPT-</w:t>
      </w:r>
      <w:r w:rsidR="009C4046">
        <w:t>5</w:t>
      </w:r>
      <w:r>
        <w:t xml:space="preserve"> as voting models, both configured with temperature=0.0 to maximize determinism and weight=1.0 to ensure equal voting power, employing majority consensus for verdict determination. The DDL generation mode operated in </w:t>
      </w:r>
      <w:proofErr w:type="spellStart"/>
      <w:r w:rsidRPr="009C4046">
        <w:rPr>
          <w:i/>
          <w:iCs/>
        </w:rPr>
        <w:t>query_derived</w:t>
      </w:r>
      <w:proofErr w:type="spellEnd"/>
      <w:r>
        <w:t xml:space="preserve"> mode, extracting only tables referenced in each SQL query rather than transmitting complete database schemas, reducing token.</w:t>
      </w:r>
    </w:p>
    <w:p w14:paraId="791AAC2D" w14:textId="2104880D" w:rsidR="000D1A65" w:rsidRDefault="000D1A65" w:rsidP="006B6FDC">
      <w:pPr>
        <w:spacing w:after="0"/>
        <w:ind w:firstLine="340"/>
        <w:jc w:val="both"/>
      </w:pPr>
      <w:r>
        <w:t xml:space="preserve">Processing time varied substantially between partitions due to both dataset size and LLM API latency. Spider Test required approximately 12.7 hours when including LLM-based semantic validation, Spider Dev consumed roughly 6.1 hours under identical configuration, while Spider Train required approximately 49 hours to complete full semantic validation </w:t>
      </w:r>
      <w:r>
        <w:lastRenderedPageBreak/>
        <w:t>across all 8,659 examples. The LLM API latency and inference time typically requires 2-10 seconds per record compared to 50-100 milliseconds for the combined execution of all formal analyzers, explaining the domination of overall runtime by semantic validation. The decision to proceed with complete LLM validation across all partitions, despite the substantial computational investment, enables unprecedented comprehensive semantic quality assessment covering all 11,840 Spider examples rather than relying on sampling or limiting analysis to the smaller test partitions.</w:t>
      </w:r>
    </w:p>
    <w:p w14:paraId="0F4C2C3E" w14:textId="7192E84B" w:rsidR="000D1A65" w:rsidRDefault="006B6FDC" w:rsidP="000D1A65">
      <w:pPr>
        <w:pStyle w:val="Heading2"/>
      </w:pPr>
      <w:r>
        <w:rPr>
          <w:rFonts w:ascii="Times New Roman" w:hAnsi="Times New Roman"/>
          <w:sz w:val="24"/>
          <w:lang w:val="uk-UA"/>
        </w:rPr>
        <w:t>4</w:t>
      </w:r>
      <w:r w:rsidR="000D1A65">
        <w:rPr>
          <w:rFonts w:ascii="Times New Roman" w:hAnsi="Times New Roman"/>
          <w:sz w:val="24"/>
        </w:rPr>
        <w:t>.2. Database Schema Integrity Assessment</w:t>
      </w:r>
    </w:p>
    <w:p w14:paraId="7849FD98" w14:textId="77777777" w:rsidR="000D1A65" w:rsidRDefault="000D1A65" w:rsidP="000D1A65">
      <w:r>
        <w:t>Schema integrity validation examines the structural correctness of database definitions, detecting errors that could prevent successful query execution even for syntactically valid SQL statements. Table 1 presents comparative results across all three partitions, revealing substantial heterogeneity in schema quality that contradicts the common assumption of uniform data quality within professionally curated benchmarks.</w:t>
      </w:r>
    </w:p>
    <w:tbl>
      <w:tblPr>
        <w:tblStyle w:val="LightGrid-Accent1"/>
        <w:tblW w:w="0" w:type="auto"/>
        <w:jc w:val="center"/>
        <w:tblLook w:val="04A0" w:firstRow="1" w:lastRow="0" w:firstColumn="1" w:lastColumn="0" w:noHBand="0" w:noVBand="1"/>
      </w:tblPr>
      <w:tblGrid>
        <w:gridCol w:w="1725"/>
        <w:gridCol w:w="1724"/>
        <w:gridCol w:w="1724"/>
        <w:gridCol w:w="1724"/>
        <w:gridCol w:w="1723"/>
      </w:tblGrid>
      <w:tr w:rsidR="000D1A65" w14:paraId="7C1079A8"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929D77" w14:textId="77777777" w:rsidR="000D1A65" w:rsidRDefault="000D1A65" w:rsidP="00CA4386">
            <w:pPr>
              <w:jc w:val="center"/>
            </w:pPr>
            <w:r>
              <w:rPr>
                <w:sz w:val="20"/>
              </w:rPr>
              <w:t>Metric</w:t>
            </w:r>
          </w:p>
        </w:tc>
        <w:tc>
          <w:tcPr>
            <w:tcW w:w="1728" w:type="dxa"/>
          </w:tcPr>
          <w:p w14:paraId="18AFB1A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73E275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677CA6A"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0C9CF28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45DEF9B1"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181BB8" w14:textId="77777777" w:rsidR="000D1A65" w:rsidRDefault="000D1A65" w:rsidP="00CA4386">
            <w:r>
              <w:rPr>
                <w:sz w:val="20"/>
              </w:rPr>
              <w:t>Total databases</w:t>
            </w:r>
          </w:p>
        </w:tc>
        <w:tc>
          <w:tcPr>
            <w:tcW w:w="1728" w:type="dxa"/>
          </w:tcPr>
          <w:p w14:paraId="7AEC14B7"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4DE3BD7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728" w:type="dxa"/>
          </w:tcPr>
          <w:p w14:paraId="34E9852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146</w:t>
            </w:r>
          </w:p>
        </w:tc>
        <w:tc>
          <w:tcPr>
            <w:tcW w:w="1728" w:type="dxa"/>
          </w:tcPr>
          <w:p w14:paraId="7DA5349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0D1A65" w14:paraId="35305A5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1DD2BF" w14:textId="77777777" w:rsidR="000D1A65" w:rsidRDefault="000D1A65" w:rsidP="00CA4386">
            <w:r>
              <w:rPr>
                <w:sz w:val="20"/>
              </w:rPr>
              <w:t>Valid DBs</w:t>
            </w:r>
          </w:p>
        </w:tc>
        <w:tc>
          <w:tcPr>
            <w:tcW w:w="1728" w:type="dxa"/>
          </w:tcPr>
          <w:p w14:paraId="112A9BE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1728" w:type="dxa"/>
          </w:tcPr>
          <w:p w14:paraId="2AAB3DA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1728" w:type="dxa"/>
          </w:tcPr>
          <w:p w14:paraId="06687ED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114 (78.1%)</w:t>
            </w:r>
          </w:p>
        </w:tc>
        <w:tc>
          <w:tcPr>
            <w:tcW w:w="1728" w:type="dxa"/>
          </w:tcPr>
          <w:p w14:paraId="71D5E147" w14:textId="676E91AC"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0D1A65" w14:paraId="7A9FE366"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0613D2" w14:textId="77777777" w:rsidR="000D1A65" w:rsidRDefault="000D1A65" w:rsidP="00CA4386">
            <w:r>
              <w:rPr>
                <w:sz w:val="20"/>
              </w:rPr>
              <w:t>DBs with errors</w:t>
            </w:r>
          </w:p>
        </w:tc>
        <w:tc>
          <w:tcPr>
            <w:tcW w:w="1728" w:type="dxa"/>
          </w:tcPr>
          <w:p w14:paraId="533327D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1728" w:type="dxa"/>
          </w:tcPr>
          <w:p w14:paraId="6C8B768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1728" w:type="dxa"/>
          </w:tcPr>
          <w:p w14:paraId="3D4F380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32 (21.9%)</w:t>
            </w:r>
          </w:p>
        </w:tc>
        <w:tc>
          <w:tcPr>
            <w:tcW w:w="1728" w:type="dxa"/>
          </w:tcPr>
          <w:p w14:paraId="2325C268" w14:textId="17D74FCC"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45C39352"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E3B52A" w14:textId="77777777" w:rsidR="000D1A65" w:rsidRDefault="000D1A65" w:rsidP="00CA4386">
            <w:r>
              <w:rPr>
                <w:sz w:val="20"/>
              </w:rPr>
              <w:t>Total tables</w:t>
            </w:r>
          </w:p>
        </w:tc>
        <w:tc>
          <w:tcPr>
            <w:tcW w:w="1728" w:type="dxa"/>
          </w:tcPr>
          <w:p w14:paraId="54AA08D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1728" w:type="dxa"/>
          </w:tcPr>
          <w:p w14:paraId="1A22E2C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1728" w:type="dxa"/>
          </w:tcPr>
          <w:p w14:paraId="476198C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793</w:t>
            </w:r>
          </w:p>
        </w:tc>
        <w:tc>
          <w:tcPr>
            <w:tcW w:w="1728" w:type="dxa"/>
          </w:tcPr>
          <w:p w14:paraId="062EA02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0D1A65" w14:paraId="69F20924"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F79ABC" w14:textId="77777777" w:rsidR="000D1A65" w:rsidRDefault="000D1A65" w:rsidP="00CA4386">
            <w:r>
              <w:rPr>
                <w:sz w:val="20"/>
              </w:rPr>
              <w:t>Empty tables</w:t>
            </w:r>
          </w:p>
        </w:tc>
        <w:tc>
          <w:tcPr>
            <w:tcW w:w="1728" w:type="dxa"/>
          </w:tcPr>
          <w:p w14:paraId="07F8185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53CB30D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351DF436" w14:textId="2E947FD2" w:rsidR="000D1A65" w:rsidRDefault="0094131D" w:rsidP="00CA4386">
            <w:pPr>
              <w:jc w:val="center"/>
              <w:cnfStyle w:val="000000100000" w:firstRow="0" w:lastRow="0" w:firstColumn="0" w:lastColumn="0" w:oddVBand="0" w:evenVBand="0" w:oddHBand="1" w:evenHBand="0" w:firstRowFirstColumn="0" w:firstRowLastColumn="0" w:lastRowFirstColumn="0" w:lastRowLastColumn="0"/>
            </w:pPr>
            <w:r>
              <w:rPr>
                <w:sz w:val="20"/>
              </w:rPr>
              <w:t>68</w:t>
            </w:r>
            <w:r w:rsidR="000D1A65">
              <w:rPr>
                <w:sz w:val="20"/>
              </w:rPr>
              <w:t xml:space="preserve"> (</w:t>
            </w:r>
            <w:r>
              <w:rPr>
                <w:sz w:val="20"/>
              </w:rPr>
              <w:t>8</w:t>
            </w:r>
            <w:r w:rsidR="000D1A65">
              <w:rPr>
                <w:sz w:val="20"/>
              </w:rPr>
              <w:t>.</w:t>
            </w:r>
            <w:r>
              <w:rPr>
                <w:sz w:val="20"/>
              </w:rPr>
              <w:t>5</w:t>
            </w:r>
            <w:r w:rsidR="000D1A65">
              <w:rPr>
                <w:sz w:val="20"/>
              </w:rPr>
              <w:t>%)</w:t>
            </w:r>
          </w:p>
        </w:tc>
        <w:tc>
          <w:tcPr>
            <w:tcW w:w="1728" w:type="dxa"/>
          </w:tcPr>
          <w:p w14:paraId="592E8D5D" w14:textId="3A1D168F"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57C4974F"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559A8D" w14:textId="77777777" w:rsidR="000D1A65" w:rsidRDefault="000D1A65" w:rsidP="00CA4386">
            <w:r>
              <w:rPr>
                <w:sz w:val="20"/>
              </w:rPr>
              <w:t>Total foreign keys</w:t>
            </w:r>
          </w:p>
        </w:tc>
        <w:tc>
          <w:tcPr>
            <w:tcW w:w="1728" w:type="dxa"/>
          </w:tcPr>
          <w:p w14:paraId="4016B8FD" w14:textId="694E20F5"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146</w:t>
            </w:r>
          </w:p>
        </w:tc>
        <w:tc>
          <w:tcPr>
            <w:tcW w:w="1728" w:type="dxa"/>
          </w:tcPr>
          <w:p w14:paraId="42C38A5E" w14:textId="75534572"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64</w:t>
            </w:r>
          </w:p>
        </w:tc>
        <w:tc>
          <w:tcPr>
            <w:tcW w:w="1728" w:type="dxa"/>
          </w:tcPr>
          <w:p w14:paraId="62A0046C" w14:textId="169C1C94"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717</w:t>
            </w:r>
          </w:p>
        </w:tc>
        <w:tc>
          <w:tcPr>
            <w:tcW w:w="1728" w:type="dxa"/>
          </w:tcPr>
          <w:p w14:paraId="2FD69FF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0D1A65" w14:paraId="2E2A1322"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ED88D8" w14:textId="77777777" w:rsidR="000D1A65" w:rsidRDefault="000D1A65" w:rsidP="00CA4386">
            <w:r>
              <w:rPr>
                <w:sz w:val="20"/>
              </w:rPr>
              <w:t>Invalid FKs</w:t>
            </w:r>
          </w:p>
        </w:tc>
        <w:tc>
          <w:tcPr>
            <w:tcW w:w="1728" w:type="dxa"/>
          </w:tcPr>
          <w:p w14:paraId="52A7837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7F6B1A2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4AD77DF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48097714" w14:textId="08F73070"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303CE3D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C6C16" w14:textId="77777777" w:rsidR="000D1A65" w:rsidRDefault="000D1A65" w:rsidP="00CA4386">
            <w:r>
              <w:rPr>
                <w:sz w:val="20"/>
              </w:rPr>
              <w:t>DBs with FK violations</w:t>
            </w:r>
          </w:p>
        </w:tc>
        <w:tc>
          <w:tcPr>
            <w:tcW w:w="1728" w:type="dxa"/>
          </w:tcPr>
          <w:p w14:paraId="7EDB523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3EEF14F3" w14:textId="75476042"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 (2,40</w:t>
            </w:r>
            <w:r w:rsidR="0000495D">
              <w:rPr>
                <w:sz w:val="20"/>
              </w:rPr>
              <w:t>3</w:t>
            </w:r>
            <w:r>
              <w:rPr>
                <w:sz w:val="20"/>
              </w:rPr>
              <w:t xml:space="preserve"> viol.)</w:t>
            </w:r>
          </w:p>
        </w:tc>
        <w:tc>
          <w:tcPr>
            <w:tcW w:w="1728" w:type="dxa"/>
          </w:tcPr>
          <w:p w14:paraId="750394DA" w14:textId="0BFAF774"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 (39,52</w:t>
            </w:r>
            <w:r w:rsidR="00255FA0">
              <w:rPr>
                <w:sz w:val="20"/>
              </w:rPr>
              <w:t>3</w:t>
            </w:r>
            <w:r>
              <w:rPr>
                <w:sz w:val="20"/>
              </w:rPr>
              <w:t xml:space="preserve"> viol.)</w:t>
            </w:r>
          </w:p>
        </w:tc>
        <w:tc>
          <w:tcPr>
            <w:tcW w:w="1728" w:type="dxa"/>
          </w:tcPr>
          <w:p w14:paraId="25726296" w14:textId="03101EC3" w:rsidR="000D1A65" w:rsidRPr="006B6FDC" w:rsidRDefault="000D1A65" w:rsidP="00CA4386">
            <w:pPr>
              <w:jc w:val="center"/>
              <w:cnfStyle w:val="000000010000" w:firstRow="0" w:lastRow="0" w:firstColumn="0" w:lastColumn="0" w:oddVBand="0" w:evenVBand="0" w:oddHBand="0" w:evenHBand="1" w:firstRowFirstColumn="0" w:firstRowLastColumn="0" w:lastRowFirstColumn="0" w:lastRowLastColumn="0"/>
              <w:rPr>
                <w:lang w:val="uk-UA"/>
              </w:rPr>
            </w:pPr>
            <w:r>
              <w:rPr>
                <w:sz w:val="20"/>
              </w:rPr>
              <w:t>Test</w:t>
            </w:r>
          </w:p>
        </w:tc>
      </w:tr>
    </w:tbl>
    <w:p w14:paraId="2AFD96A8" w14:textId="77777777" w:rsidR="000D1A65" w:rsidRDefault="000D1A65" w:rsidP="00A30048">
      <w:r>
        <w:rPr>
          <w:i/>
          <w:sz w:val="20"/>
        </w:rPr>
        <w:t>Table 1. Comparative database schema validation results across Spider partitions</w:t>
      </w:r>
    </w:p>
    <w:p w14:paraId="5D8985EB" w14:textId="1BE6AC6D" w:rsidR="000D1A65" w:rsidRDefault="000D1A65" w:rsidP="00655FB6">
      <w:pPr>
        <w:spacing w:after="0"/>
        <w:ind w:firstLine="340"/>
        <w:jc w:val="both"/>
      </w:pPr>
      <w:r>
        <w:t xml:space="preserve">The results reveal a clear quality gradient across partitions, with Test achieving 90.0% schema validity, substantially exceeding Train at 78.1% and Dev at 65.0%. This ordering contradicts the intuitive expectation that the largest partition (Train) would exhibit the highest quality due to greater attention during curation. The Dev partition's unexpectedly low validity rate (35% error rate) raises </w:t>
      </w:r>
      <w:r w:rsidR="00655FB6">
        <w:t>concerns</w:t>
      </w:r>
      <w:r>
        <w:t xml:space="preserve"> given its role in hyperparameter tuning and model selection, where schema errors might introduce confounding factors that obscure true performance differences between competing approaches.</w:t>
      </w:r>
    </w:p>
    <w:p w14:paraId="7FE36EDF" w14:textId="77777777" w:rsidR="000D1A65" w:rsidRDefault="000D1A65" w:rsidP="00655FB6">
      <w:pPr>
        <w:spacing w:after="0"/>
        <w:ind w:firstLine="340"/>
        <w:jc w:val="both"/>
      </w:pPr>
      <w:r>
        <w:t>Analysis of error type distribution (Table 2) identifies dominant patterns contributing to schema invalidity. Foreign Key Type Mismatch errors, where referencing and referenced columns possess incompatible data types, increase systematically from Test (1 occurrence) through Dev (5) to Train (34), suggesting either insufficient type checking during database creation or systematic differences in curation procedures between partitions. Foreign Key Target Not Key errors, where foreign keys reference non-key columns violating relational database normal forms, appear exclusively in Dev (2) and Train (41), with Train exhibiting particularly high frequency. Foreign Key Missing Column errors, indicating foreign keys referencing non-existent columns, occur infrequently and only in Test (3) and Train (3), suggesting typos or column renaming without corresponding foreign key updates.</w:t>
      </w:r>
    </w:p>
    <w:tbl>
      <w:tblPr>
        <w:tblStyle w:val="LightGrid-Accent1"/>
        <w:tblW w:w="0" w:type="auto"/>
        <w:jc w:val="center"/>
        <w:tblLook w:val="04A0" w:firstRow="1" w:lastRow="0" w:firstColumn="1" w:lastColumn="0" w:noHBand="0" w:noVBand="1"/>
      </w:tblPr>
      <w:tblGrid>
        <w:gridCol w:w="2155"/>
        <w:gridCol w:w="2155"/>
        <w:gridCol w:w="2155"/>
        <w:gridCol w:w="2155"/>
      </w:tblGrid>
      <w:tr w:rsidR="000D1A65" w14:paraId="04800464" w14:textId="77777777" w:rsidTr="00627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214D6F" w14:textId="77777777" w:rsidR="000D1A65" w:rsidRDefault="000D1A65" w:rsidP="00CA4386">
            <w:pPr>
              <w:jc w:val="center"/>
            </w:pPr>
            <w:r>
              <w:rPr>
                <w:sz w:val="20"/>
              </w:rPr>
              <w:t>Error Type</w:t>
            </w:r>
          </w:p>
        </w:tc>
        <w:tc>
          <w:tcPr>
            <w:tcW w:w="2160" w:type="dxa"/>
          </w:tcPr>
          <w:p w14:paraId="3FA46EDF"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223E28CC"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45AFCE09"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0A727CD3"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530FE" w14:textId="77777777" w:rsidR="000D1A65" w:rsidRDefault="000D1A65" w:rsidP="00CA4386">
            <w:r>
              <w:rPr>
                <w:sz w:val="20"/>
              </w:rPr>
              <w:lastRenderedPageBreak/>
              <w:t>FK Missing Column</w:t>
            </w:r>
          </w:p>
        </w:tc>
        <w:tc>
          <w:tcPr>
            <w:tcW w:w="2160" w:type="dxa"/>
          </w:tcPr>
          <w:p w14:paraId="19A550C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6178C5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00710251"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0D1A65" w14:paraId="762F0000" w14:textId="77777777" w:rsidTr="0062711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2B6240" w14:textId="77777777" w:rsidR="000D1A65" w:rsidRDefault="000D1A65" w:rsidP="00CA4386">
            <w:r>
              <w:rPr>
                <w:sz w:val="20"/>
              </w:rPr>
              <w:t>FK Type Mismatch</w:t>
            </w:r>
          </w:p>
        </w:tc>
        <w:tc>
          <w:tcPr>
            <w:tcW w:w="2160" w:type="dxa"/>
          </w:tcPr>
          <w:p w14:paraId="4C650E0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5BD8CDF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2762038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34</w:t>
            </w:r>
          </w:p>
        </w:tc>
      </w:tr>
      <w:tr w:rsidR="000D1A65" w14:paraId="0A1AC1A5"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2000A8" w14:textId="77777777" w:rsidR="000D1A65" w:rsidRDefault="000D1A65" w:rsidP="00CA4386">
            <w:r>
              <w:rPr>
                <w:sz w:val="20"/>
              </w:rPr>
              <w:t>FK Target Not Key</w:t>
            </w:r>
          </w:p>
        </w:tc>
        <w:tc>
          <w:tcPr>
            <w:tcW w:w="2160" w:type="dxa"/>
          </w:tcPr>
          <w:p w14:paraId="5AC5DBD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739074E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07E227B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0D1A65" w14:paraId="270341A0" w14:textId="77777777" w:rsidTr="0062711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839DD3" w14:textId="77777777" w:rsidR="000D1A65" w:rsidRDefault="000D1A65" w:rsidP="00CA4386">
            <w:r>
              <w:rPr>
                <w:sz w:val="20"/>
              </w:rPr>
              <w:t>Duplicate Columns</w:t>
            </w:r>
          </w:p>
        </w:tc>
        <w:tc>
          <w:tcPr>
            <w:tcW w:w="2160" w:type="dxa"/>
          </w:tcPr>
          <w:p w14:paraId="374A7B0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3F5F5B9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4848AC3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0D1A65" w14:paraId="28C43200"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F95ED5" w14:textId="77777777" w:rsidR="000D1A65" w:rsidRDefault="000D1A65" w:rsidP="00CA4386">
            <w:r>
              <w:rPr>
                <w:sz w:val="20"/>
              </w:rPr>
              <w:t>Unknown Data Types</w:t>
            </w:r>
          </w:p>
        </w:tc>
        <w:tc>
          <w:tcPr>
            <w:tcW w:w="2160" w:type="dxa"/>
          </w:tcPr>
          <w:p w14:paraId="73B7E4B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70CD804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6BE976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r>
    </w:tbl>
    <w:p w14:paraId="09BEF814" w14:textId="77777777" w:rsidR="000D1A65" w:rsidRDefault="000D1A65" w:rsidP="00627115">
      <w:r>
        <w:rPr>
          <w:i/>
          <w:sz w:val="20"/>
        </w:rPr>
        <w:t>Table 2. Distribution of schema error types across partitions</w:t>
      </w:r>
    </w:p>
    <w:p w14:paraId="7E3FD514" w14:textId="77777777" w:rsidR="000D1A65" w:rsidRDefault="000D1A65" w:rsidP="0042441D">
      <w:pPr>
        <w:spacing w:after="0"/>
        <w:ind w:firstLine="340"/>
        <w:jc w:val="both"/>
      </w:pPr>
      <w:r>
        <w:t>A particularly concerning finding emerges from analysis of foreign key data integrity violations, distinct from the structural foreign key errors discussed above. While 10 databases across all partitions exhibit referential integrity violations (where foreign key values fail to match any primary key values in the referenced table), the distribution of violation counts is extraordinarily skewed: two databases (sakila_1 in Train with 38,273 violations and flight_2 in Dev with 2,400 violations) account for 40,673 of the total 41,922 violations, representing 97% of all referential integrity issues across the entire dataset. This concentration suggests that these two databases contain systematic data generation or export problems rather than isolated data entry errors. For queries referencing these problematic databases, the presence of massive referential integrity violations may materially affect execution results, particularly for queries employing JOIN operations that implicitly assume referential integrity.</w:t>
      </w:r>
    </w:p>
    <w:p w14:paraId="71DE5AD8" w14:textId="77777777" w:rsidR="000D1A65" w:rsidRDefault="000D1A65" w:rsidP="0042441D">
      <w:pPr>
        <w:spacing w:after="0"/>
        <w:ind w:firstLine="340"/>
        <w:jc w:val="both"/>
      </w:pPr>
      <w:r>
        <w:t>The Train partition exhibits an additional quality issue absent from Test and Dev: 41 tables across 4 databases (</w:t>
      </w:r>
      <w:r w:rsidRPr="00655FB6">
        <w:rPr>
          <w:i/>
          <w:iCs/>
        </w:rPr>
        <w:t>academic</w:t>
      </w:r>
      <w:r>
        <w:t xml:space="preserve">, </w:t>
      </w:r>
      <w:proofErr w:type="spellStart"/>
      <w:r w:rsidRPr="00655FB6">
        <w:rPr>
          <w:i/>
          <w:iCs/>
        </w:rPr>
        <w:t>imdb</w:t>
      </w:r>
      <w:proofErr w:type="spellEnd"/>
      <w:r>
        <w:t xml:space="preserve">, </w:t>
      </w:r>
      <w:r w:rsidRPr="00655FB6">
        <w:rPr>
          <w:i/>
          <w:iCs/>
        </w:rPr>
        <w:t>yelp</w:t>
      </w:r>
      <w:r>
        <w:t xml:space="preserve">, </w:t>
      </w:r>
      <w:r w:rsidRPr="00655FB6">
        <w:rPr>
          <w:i/>
          <w:iCs/>
        </w:rPr>
        <w:t>restaurants</w:t>
      </w:r>
      <w:r>
        <w:t>) contain schema definitions but no data rows, representing 5.2% of all Train tables. While queries can syntactically reference these tables and may even execute successfully returning empty result sets, the lack of data precludes meaningful semantic validation and may confuse models during training if they learn spurious patterns from queries that execute without errors despite referencing empty tables. The systematic absence of empty tables in Test and Dev (100% data coverage) further emphasizes the quality inconsistency across partitions.</w:t>
      </w:r>
    </w:p>
    <w:p w14:paraId="6D8DDD5E" w14:textId="6F97524F" w:rsidR="000D1A65" w:rsidRDefault="000D1A65" w:rsidP="0042441D">
      <w:pPr>
        <w:spacing w:after="0"/>
        <w:ind w:firstLine="340"/>
        <w:jc w:val="both"/>
      </w:pPr>
      <w:r>
        <w:t>Estimating the impact scope of these schema issues requires correlating database-level errors with query distribution. In Test, the 4 databases with schema errors are referenced by approximately 213 queries (9.9% of the partition), in Dev the 7 problematic databases affect roughly 368 queries (35.6%), and in Train the 32 error-containing databases impact an estimated 1,900 queries (22% of the partition). These percentages indicate that schema quality issues are not merely outliers affecting obscure corner cases but rather systematic problems touching substantial portions of each partition, with Dev's 35.6% impact rate suggesting that more than one-third of its validation examples involve databases with known structural defects.</w:t>
      </w:r>
    </w:p>
    <w:p w14:paraId="76723EAE" w14:textId="431F1B08" w:rsidR="000D1A65" w:rsidRDefault="006B6FDC" w:rsidP="000D1A65">
      <w:pPr>
        <w:pStyle w:val="Heading2"/>
      </w:pPr>
      <w:r>
        <w:rPr>
          <w:rFonts w:ascii="Times New Roman" w:hAnsi="Times New Roman"/>
          <w:sz w:val="24"/>
          <w:lang w:val="uk-UA"/>
        </w:rPr>
        <w:t>4</w:t>
      </w:r>
      <w:r w:rsidR="000D1A65">
        <w:rPr>
          <w:rFonts w:ascii="Times New Roman" w:hAnsi="Times New Roman"/>
          <w:sz w:val="24"/>
        </w:rPr>
        <w:t>.3. Syntactic Structure and Complexity Analysis</w:t>
      </w:r>
    </w:p>
    <w:p w14:paraId="17DB89D5" w14:textId="77777777" w:rsidR="000D1A65" w:rsidRDefault="000D1A65" w:rsidP="00F830CE">
      <w:pPr>
        <w:jc w:val="both"/>
      </w:pPr>
      <w: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w="0" w:type="auto"/>
        <w:jc w:val="center"/>
        <w:tblLook w:val="04A0" w:firstRow="1" w:lastRow="0" w:firstColumn="1" w:lastColumn="0" w:noHBand="0" w:noVBand="1"/>
      </w:tblPr>
      <w:tblGrid>
        <w:gridCol w:w="1726"/>
        <w:gridCol w:w="1723"/>
        <w:gridCol w:w="1723"/>
        <w:gridCol w:w="1723"/>
        <w:gridCol w:w="1725"/>
      </w:tblGrid>
      <w:tr w:rsidR="000D1A65" w14:paraId="60874660"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436427" w14:textId="77777777" w:rsidR="000D1A65" w:rsidRDefault="000D1A65" w:rsidP="00CA4386">
            <w:pPr>
              <w:jc w:val="center"/>
            </w:pPr>
            <w:r>
              <w:rPr>
                <w:sz w:val="20"/>
              </w:rPr>
              <w:t>Metric</w:t>
            </w:r>
          </w:p>
        </w:tc>
        <w:tc>
          <w:tcPr>
            <w:tcW w:w="1728" w:type="dxa"/>
          </w:tcPr>
          <w:p w14:paraId="206619B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7F54A6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83387B0"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BE94EF8"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Consistency</w:t>
            </w:r>
          </w:p>
        </w:tc>
      </w:tr>
      <w:tr w:rsidR="000D1A65" w14:paraId="43201846"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A3B940" w14:textId="77777777" w:rsidR="000D1A65" w:rsidRDefault="000D1A65" w:rsidP="00CA4386">
            <w:r>
              <w:rPr>
                <w:sz w:val="20"/>
              </w:rPr>
              <w:t>Total queries</w:t>
            </w:r>
          </w:p>
        </w:tc>
        <w:tc>
          <w:tcPr>
            <w:tcW w:w="1728" w:type="dxa"/>
          </w:tcPr>
          <w:p w14:paraId="6406A71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6E43F05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3F68508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1FE584B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0D1A65" w14:paraId="3F48C45A"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500215" w14:textId="77777777" w:rsidR="000D1A65" w:rsidRDefault="000D1A65" w:rsidP="00CA4386">
            <w:r>
              <w:rPr>
                <w:sz w:val="20"/>
              </w:rPr>
              <w:lastRenderedPageBreak/>
              <w:t>Successfully parsed</w:t>
            </w:r>
          </w:p>
        </w:tc>
        <w:tc>
          <w:tcPr>
            <w:tcW w:w="1728" w:type="dxa"/>
          </w:tcPr>
          <w:p w14:paraId="356CB28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2608AE4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36134C4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c>
          <w:tcPr>
            <w:tcW w:w="1728" w:type="dxa"/>
          </w:tcPr>
          <w:p w14:paraId="1D617817" w14:textId="29787C6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p>
        </w:tc>
      </w:tr>
      <w:tr w:rsidR="000D1A65" w14:paraId="122A395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A17ACC" w14:textId="77777777" w:rsidR="000D1A65" w:rsidRDefault="000D1A65" w:rsidP="00CA4386">
            <w:r>
              <w:rPr>
                <w:sz w:val="20"/>
              </w:rPr>
              <w:t>Parse failures</w:t>
            </w:r>
          </w:p>
        </w:tc>
        <w:tc>
          <w:tcPr>
            <w:tcW w:w="1728" w:type="dxa"/>
          </w:tcPr>
          <w:p w14:paraId="7EF0D69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8659A6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6CE12DC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15A5BC01" w14:textId="4D4AB23A"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p>
        </w:tc>
      </w:tr>
      <w:tr w:rsidR="000D1A65" w14:paraId="31C1E2AE"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E5D926" w14:textId="77777777" w:rsidR="000D1A65" w:rsidRDefault="000D1A65" w:rsidP="00CA4386">
            <w:r>
              <w:rPr>
                <w:sz w:val="20"/>
              </w:rPr>
              <w:t>Mean complexity</w:t>
            </w:r>
          </w:p>
        </w:tc>
        <w:tc>
          <w:tcPr>
            <w:tcW w:w="1728" w:type="dxa"/>
          </w:tcPr>
          <w:p w14:paraId="24C8894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728" w:type="dxa"/>
          </w:tcPr>
          <w:p w14:paraId="3C46659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1728" w:type="dxa"/>
          </w:tcPr>
          <w:p w14:paraId="73B4500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40.7</w:t>
            </w:r>
          </w:p>
        </w:tc>
        <w:tc>
          <w:tcPr>
            <w:tcW w:w="1728" w:type="dxa"/>
          </w:tcPr>
          <w:p w14:paraId="676F3E9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Max Δ=1.7</w:t>
            </w:r>
          </w:p>
        </w:tc>
      </w:tr>
      <w:tr w:rsidR="000D1A65" w14:paraId="1C7ADBAD"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21F849" w14:textId="77777777" w:rsidR="000D1A65" w:rsidRDefault="000D1A65" w:rsidP="00CA4386">
            <w:r>
              <w:rPr>
                <w:sz w:val="20"/>
              </w:rPr>
              <w:t>Median complexity</w:t>
            </w:r>
          </w:p>
        </w:tc>
        <w:tc>
          <w:tcPr>
            <w:tcW w:w="1728" w:type="dxa"/>
          </w:tcPr>
          <w:p w14:paraId="103F08E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5D4432B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1C59AEC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3792F983" w14:textId="0E4A23C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p>
        </w:tc>
      </w:tr>
      <w:tr w:rsidR="000D1A65" w14:paraId="3ADFF83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A4175" w14:textId="77777777" w:rsidR="000D1A65" w:rsidRDefault="000D1A65" w:rsidP="00CA4386">
            <w:r>
              <w:rPr>
                <w:sz w:val="20"/>
              </w:rPr>
              <w:t>Std deviation</w:t>
            </w:r>
          </w:p>
        </w:tc>
        <w:tc>
          <w:tcPr>
            <w:tcW w:w="1728" w:type="dxa"/>
          </w:tcPr>
          <w:p w14:paraId="2BBDF58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1728" w:type="dxa"/>
          </w:tcPr>
          <w:p w14:paraId="3181159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1728" w:type="dxa"/>
          </w:tcPr>
          <w:p w14:paraId="4025D14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21.2</w:t>
            </w:r>
          </w:p>
        </w:tc>
        <w:tc>
          <w:tcPr>
            <w:tcW w:w="1728" w:type="dxa"/>
          </w:tcPr>
          <w:p w14:paraId="05DAEDC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Max Δ=1.3</w:t>
            </w:r>
          </w:p>
        </w:tc>
      </w:tr>
    </w:tbl>
    <w:p w14:paraId="3D41BCBB" w14:textId="77777777" w:rsidR="000D1A65" w:rsidRDefault="000D1A65" w:rsidP="0042441D">
      <w:pPr>
        <w:jc w:val="both"/>
      </w:pPr>
      <w:r>
        <w:rPr>
          <w:i/>
          <w:sz w:val="20"/>
        </w:rPr>
        <w:t>Table 3. Overall syntactic analysis results showing strong cross-partition consistency</w:t>
      </w:r>
    </w:p>
    <w:p w14:paraId="60C29866" w14:textId="77777777" w:rsidR="0042441D" w:rsidRDefault="000D1A65" w:rsidP="0042441D">
      <w:pPr>
        <w:spacing w:after="0"/>
        <w:ind w:firstLine="340"/>
        <w:jc w:val="both"/>
      </w:pPr>
      <w:r>
        <w:t xml:space="preserve">The perfect parsing success rate (100% across all 11,840 queries) constitutes a significant achievement, indicating that all queries conform to valid SQL syntax without requiring dialect-specific workarounds or error correction. This result validates the </w:t>
      </w:r>
      <w:proofErr w:type="spellStart"/>
      <w:r>
        <w:t>sqlglot</w:t>
      </w:r>
      <w:proofErr w:type="spellEnd"/>
      <w:r>
        <w:t xml:space="preserve">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14:paraId="6D4CCAB2" w14:textId="3A323836" w:rsidR="000D1A65" w:rsidRDefault="000D1A65" w:rsidP="0042441D">
      <w:pPr>
        <w:spacing w:after="0"/>
        <w:ind w:firstLine="340"/>
        <w:jc w:val="both"/>
      </w:pPr>
      <w:r>
        <w:t xml:space="preserve">Examination of difficulty level distributions (Table 4) reinforces this consistency pattern, with Easy/Medium/Hard categories exhibiting nearly identical proportions across Test and Dev partitions. Train displays slightly higher </w:t>
      </w:r>
      <w:r w:rsidR="00655FB6">
        <w:t>medium</w:t>
      </w:r>
      <w:r>
        <w:t xml:space="preserve"> representation (55.7% vs. 58-59% in Test/Dev) balanced by correspondingly lower Easy percentages, differences that likely reflect statistical variation rather than systematic curation differences given the magnitudes involved.</w:t>
      </w:r>
    </w:p>
    <w:tbl>
      <w:tblPr>
        <w:tblStyle w:val="LightGrid-Accent1"/>
        <w:tblW w:w="0" w:type="auto"/>
        <w:jc w:val="center"/>
        <w:tblLook w:val="04A0" w:firstRow="1" w:lastRow="0" w:firstColumn="1" w:lastColumn="0" w:noHBand="0" w:noVBand="1"/>
      </w:tblPr>
      <w:tblGrid>
        <w:gridCol w:w="1725"/>
        <w:gridCol w:w="1724"/>
        <w:gridCol w:w="1724"/>
        <w:gridCol w:w="1724"/>
        <w:gridCol w:w="1723"/>
      </w:tblGrid>
      <w:tr w:rsidR="000D1A65" w14:paraId="2DA33E08"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090341" w14:textId="77777777" w:rsidR="000D1A65" w:rsidRDefault="000D1A65" w:rsidP="00CA4386">
            <w:pPr>
              <w:jc w:val="center"/>
            </w:pPr>
            <w:r>
              <w:rPr>
                <w:sz w:val="20"/>
              </w:rPr>
              <w:t>Difficulty</w:t>
            </w:r>
          </w:p>
        </w:tc>
        <w:tc>
          <w:tcPr>
            <w:tcW w:w="1728" w:type="dxa"/>
          </w:tcPr>
          <w:p w14:paraId="12CEA05E"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BEB022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1BD668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7A125DBE"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Range</w:t>
            </w:r>
          </w:p>
        </w:tc>
      </w:tr>
      <w:tr w:rsidR="000D1A65" w14:paraId="4291DA3E"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8F840F" w14:textId="77777777" w:rsidR="000D1A65" w:rsidRDefault="000D1A65" w:rsidP="00CA4386">
            <w:r>
              <w:rPr>
                <w:sz w:val="20"/>
              </w:rPr>
              <w:t>Easy</w:t>
            </w:r>
          </w:p>
        </w:tc>
        <w:tc>
          <w:tcPr>
            <w:tcW w:w="1728" w:type="dxa"/>
          </w:tcPr>
          <w:p w14:paraId="1ECA146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497DB54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69FE99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6FD1114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0D1A65" w14:paraId="619906E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6E4E91" w14:textId="77777777" w:rsidR="000D1A65" w:rsidRDefault="000D1A65" w:rsidP="00CA4386">
            <w:r>
              <w:rPr>
                <w:sz w:val="20"/>
              </w:rPr>
              <w:t>Medium</w:t>
            </w:r>
          </w:p>
        </w:tc>
        <w:tc>
          <w:tcPr>
            <w:tcW w:w="1728" w:type="dxa"/>
          </w:tcPr>
          <w:p w14:paraId="52C90CE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601004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6F73FE5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4FF0BD3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0D1A65" w14:paraId="662C1CF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AAD722" w14:textId="77777777" w:rsidR="000D1A65" w:rsidRDefault="000D1A65" w:rsidP="00CA4386">
            <w:r>
              <w:rPr>
                <w:sz w:val="20"/>
              </w:rPr>
              <w:t>Hard</w:t>
            </w:r>
          </w:p>
        </w:tc>
        <w:tc>
          <w:tcPr>
            <w:tcW w:w="1728" w:type="dxa"/>
          </w:tcPr>
          <w:p w14:paraId="230C1FE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2331822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D5A7E0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53A1183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0D1A65" w14:paraId="5157227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5F7DFA" w14:textId="77777777" w:rsidR="000D1A65" w:rsidRDefault="000D1A65" w:rsidP="00CA4386">
            <w:r>
              <w:rPr>
                <w:sz w:val="20"/>
              </w:rPr>
              <w:t>Expert</w:t>
            </w:r>
          </w:p>
        </w:tc>
        <w:tc>
          <w:tcPr>
            <w:tcW w:w="1728" w:type="dxa"/>
          </w:tcPr>
          <w:p w14:paraId="7B70C8A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30CE403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7381D1B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56568C7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16D237C1" w14:textId="77777777" w:rsidR="000D1A65" w:rsidRDefault="000D1A65" w:rsidP="00627115">
      <w:r>
        <w:rPr>
          <w:i/>
          <w:sz w:val="20"/>
        </w:rPr>
        <w:t>Table 4. Query difficulty distribution across partitions</w:t>
      </w:r>
    </w:p>
    <w:p w14:paraId="19B198A5" w14:textId="77777777" w:rsidR="000D1A65" w:rsidRDefault="000D1A65" w:rsidP="003236E4">
      <w:pPr>
        <w:spacing w:after="0"/>
        <w:ind w:firstLine="340"/>
        <w:jc w:val="both"/>
      </w:pPr>
      <w: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14:paraId="4D39A7E4" w14:textId="77777777" w:rsidR="000D1A65" w:rsidRDefault="000D1A65" w:rsidP="003236E4">
      <w:pPr>
        <w:spacing w:after="0"/>
        <w:ind w:firstLine="340"/>
        <w:jc w:val="both"/>
      </w:pPr>
      <w:r>
        <w:t xml:space="preserve">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w:t>
      </w:r>
      <w:r>
        <w:lastRenderedPageBreak/>
        <w:t>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0D1A65" w14:paraId="1F1EE4CB"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EAA747" w14:textId="77777777" w:rsidR="000D1A65" w:rsidRDefault="000D1A65" w:rsidP="00CA4386">
            <w:pPr>
              <w:jc w:val="center"/>
            </w:pPr>
            <w:r>
              <w:rPr>
                <w:sz w:val="20"/>
              </w:rPr>
              <w:t>JOIN Count</w:t>
            </w:r>
          </w:p>
        </w:tc>
        <w:tc>
          <w:tcPr>
            <w:tcW w:w="1728" w:type="dxa"/>
          </w:tcPr>
          <w:p w14:paraId="4020134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990656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38E2B3B"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01D4CFA"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7A6BA487"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3C0EA4" w14:textId="77777777" w:rsidR="000D1A65" w:rsidRDefault="000D1A65" w:rsidP="00CA4386">
            <w:r>
              <w:rPr>
                <w:sz w:val="20"/>
              </w:rPr>
              <w:t>0 (</w:t>
            </w:r>
            <w:proofErr w:type="gramStart"/>
            <w:r>
              <w:rPr>
                <w:sz w:val="20"/>
              </w:rPr>
              <w:t>single-table</w:t>
            </w:r>
            <w:proofErr w:type="gramEnd"/>
            <w:r>
              <w:rPr>
                <w:sz w:val="20"/>
              </w:rPr>
              <w:t>)</w:t>
            </w:r>
          </w:p>
        </w:tc>
        <w:tc>
          <w:tcPr>
            <w:tcW w:w="1728" w:type="dxa"/>
          </w:tcPr>
          <w:p w14:paraId="3E0AB40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1728" w:type="dxa"/>
          </w:tcPr>
          <w:p w14:paraId="3BA9FD9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1728" w:type="dxa"/>
          </w:tcPr>
          <w:p w14:paraId="03732DE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c>
          <w:tcPr>
            <w:tcW w:w="1728" w:type="dxa"/>
          </w:tcPr>
          <w:p w14:paraId="74B5B848" w14:textId="3A8DA2C1"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36073F1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93D159" w14:textId="77777777" w:rsidR="000D1A65" w:rsidRDefault="000D1A65" w:rsidP="00CA4386">
            <w:r>
              <w:rPr>
                <w:sz w:val="20"/>
              </w:rPr>
              <w:t>1 JOIN</w:t>
            </w:r>
          </w:p>
        </w:tc>
        <w:tc>
          <w:tcPr>
            <w:tcW w:w="1728" w:type="dxa"/>
          </w:tcPr>
          <w:p w14:paraId="57D2F20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1728" w:type="dxa"/>
          </w:tcPr>
          <w:p w14:paraId="529B3D2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1728" w:type="dxa"/>
          </w:tcPr>
          <w:p w14:paraId="2885AF6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c>
          <w:tcPr>
            <w:tcW w:w="1728" w:type="dxa"/>
          </w:tcPr>
          <w:p w14:paraId="2BA6B8AB" w14:textId="66A986E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Balanced </w:t>
            </w:r>
          </w:p>
        </w:tc>
      </w:tr>
      <w:tr w:rsidR="000D1A65" w14:paraId="5985A24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0BBCA1" w14:textId="77777777" w:rsidR="000D1A65" w:rsidRDefault="000D1A65" w:rsidP="00CA4386">
            <w:r>
              <w:rPr>
                <w:sz w:val="20"/>
              </w:rPr>
              <w:t>2 JOINs</w:t>
            </w:r>
          </w:p>
        </w:tc>
        <w:tc>
          <w:tcPr>
            <w:tcW w:w="1728" w:type="dxa"/>
          </w:tcPr>
          <w:p w14:paraId="1050489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1728" w:type="dxa"/>
          </w:tcPr>
          <w:p w14:paraId="72FD124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1728" w:type="dxa"/>
          </w:tcPr>
          <w:p w14:paraId="71B4318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c>
          <w:tcPr>
            <w:tcW w:w="1728" w:type="dxa"/>
          </w:tcPr>
          <w:p w14:paraId="28DDA167" w14:textId="10AA108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6FA70AC0"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AFE1B9" w14:textId="77777777" w:rsidR="000D1A65" w:rsidRDefault="000D1A65" w:rsidP="00CA4386">
            <w:r>
              <w:rPr>
                <w:sz w:val="20"/>
              </w:rPr>
              <w:t>3 JOINs</w:t>
            </w:r>
          </w:p>
        </w:tc>
        <w:tc>
          <w:tcPr>
            <w:tcW w:w="1728" w:type="dxa"/>
          </w:tcPr>
          <w:p w14:paraId="5473652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1728" w:type="dxa"/>
          </w:tcPr>
          <w:p w14:paraId="69FD49A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1728" w:type="dxa"/>
          </w:tcPr>
          <w:p w14:paraId="34FEC75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359 (4.15%)</w:t>
            </w:r>
          </w:p>
        </w:tc>
        <w:tc>
          <w:tcPr>
            <w:tcW w:w="1728" w:type="dxa"/>
          </w:tcPr>
          <w:p w14:paraId="2D31EEE8" w14:textId="67481FF8"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r w:rsidR="000D1A65" w14:paraId="6C638389"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546B19" w14:textId="77777777" w:rsidR="000D1A65" w:rsidRDefault="000D1A65" w:rsidP="00CA4386">
            <w:r>
              <w:rPr>
                <w:sz w:val="20"/>
              </w:rPr>
              <w:t>4+ JOINs</w:t>
            </w:r>
          </w:p>
        </w:tc>
        <w:tc>
          <w:tcPr>
            <w:tcW w:w="1728" w:type="dxa"/>
          </w:tcPr>
          <w:p w14:paraId="1F9D87F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1728" w:type="dxa"/>
          </w:tcPr>
          <w:p w14:paraId="79758EC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1728" w:type="dxa"/>
          </w:tcPr>
          <w:p w14:paraId="2DF455A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178 (2.06%)</w:t>
            </w:r>
          </w:p>
        </w:tc>
        <w:tc>
          <w:tcPr>
            <w:tcW w:w="1728" w:type="dxa"/>
          </w:tcPr>
          <w:p w14:paraId="1186687F" w14:textId="54FF57A4"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249789CB"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BA0FD6" w14:textId="77777777" w:rsidR="000D1A65" w:rsidRDefault="000D1A65" w:rsidP="00CA4386">
            <w:r>
              <w:rPr>
                <w:sz w:val="20"/>
              </w:rPr>
              <w:t>Multi-table (≥1 J.)</w:t>
            </w:r>
          </w:p>
        </w:tc>
        <w:tc>
          <w:tcPr>
            <w:tcW w:w="1728" w:type="dxa"/>
          </w:tcPr>
          <w:p w14:paraId="3CFE625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1728" w:type="dxa"/>
          </w:tcPr>
          <w:p w14:paraId="060F055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1728" w:type="dxa"/>
          </w:tcPr>
          <w:p w14:paraId="094C7F6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c>
          <w:tcPr>
            <w:tcW w:w="1728" w:type="dxa"/>
          </w:tcPr>
          <w:p w14:paraId="56C026A6" w14:textId="62D213A8"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bl>
    <w:p w14:paraId="648E0244" w14:textId="77777777" w:rsidR="000D1A65" w:rsidRDefault="000D1A65" w:rsidP="00627115">
      <w:r>
        <w:rPr>
          <w:i/>
          <w:sz w:val="20"/>
        </w:rPr>
        <w:t>Table 5. JOIN distribution analysis showing Train's higher multi-table complexity</w:t>
      </w:r>
    </w:p>
    <w:p w14:paraId="69FA2E58" w14:textId="7C751945" w:rsidR="003236E4" w:rsidRDefault="000D1A65" w:rsidP="003236E4">
      <w:pPr>
        <w:jc w:val="both"/>
      </w:pPr>
      <w:r>
        <w:t xml:space="preserve">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w:t>
      </w:r>
      <w:r w:rsidR="00655FB6">
        <w:t>adoption but</w:t>
      </w:r>
      <w:r>
        <w:t xml:space="preserve"> represents a significant coverage gap for evaluating contemporary Text-to-SQL systems expected to support the full SQL feature set. The forthcoming Spider 2.0 reportedly addresses this limitation by including examples with modern SQL constructs.</w:t>
      </w:r>
    </w:p>
    <w:p w14:paraId="3DD0C368"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.4. Dynamic Executability Validation</w:t>
      </w:r>
    </w:p>
    <w:p w14:paraId="0CE533AB" w14:textId="499E2785" w:rsidR="003236E4" w:rsidRDefault="003236E4" w:rsidP="003236E4">
      <w:pPr>
        <w:jc w:val="both"/>
      </w:pPr>
      <w:r>
        <w:t xml:space="preserve">Dynamic execution testing validates that syntactically correct queries can </w:t>
      </w:r>
      <w:r w:rsidR="00655FB6">
        <w:t>run</w:t>
      </w:r>
      <w:r>
        <w:t xml:space="preserve"> against their associated databases, detecting semantic errors, missing tables/columns, type incompatibilities, and other runtime failures invisible to static analysis. Table 9 presents execution results demonstrating near-perfect executability across all partitions.</w:t>
      </w:r>
    </w:p>
    <w:tbl>
      <w:tblPr>
        <w:tblStyle w:val="LightGrid-Accent1"/>
        <w:tblW w:w="0" w:type="auto"/>
        <w:jc w:val="center"/>
        <w:tblLook w:val="04A0" w:firstRow="1" w:lastRow="0" w:firstColumn="1" w:lastColumn="0" w:noHBand="0" w:noVBand="1"/>
      </w:tblPr>
      <w:tblGrid>
        <w:gridCol w:w="1726"/>
        <w:gridCol w:w="1723"/>
        <w:gridCol w:w="1723"/>
        <w:gridCol w:w="1724"/>
        <w:gridCol w:w="1724"/>
      </w:tblGrid>
      <w:tr w:rsidR="003236E4" w14:paraId="78B136B1" w14:textId="77777777" w:rsidTr="00CA43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FBD427" w14:textId="77777777" w:rsidR="003236E4" w:rsidRDefault="003236E4" w:rsidP="00CA4386">
            <w:pPr>
              <w:jc w:val="center"/>
            </w:pPr>
            <w:r>
              <w:rPr>
                <w:sz w:val="20"/>
              </w:rPr>
              <w:t>Metric</w:t>
            </w:r>
          </w:p>
        </w:tc>
        <w:tc>
          <w:tcPr>
            <w:tcW w:w="1728" w:type="dxa"/>
          </w:tcPr>
          <w:p w14:paraId="0B06BC61"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C759168"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5581726"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7F7CFADF"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3236E4" w14:paraId="4B053C8C" w14:textId="77777777" w:rsidTr="00CA43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8C23E7" w14:textId="77777777" w:rsidR="003236E4" w:rsidRDefault="003236E4" w:rsidP="00CA4386">
            <w:r>
              <w:rPr>
                <w:sz w:val="20"/>
              </w:rPr>
              <w:t>Total queries</w:t>
            </w:r>
          </w:p>
        </w:tc>
        <w:tc>
          <w:tcPr>
            <w:tcW w:w="1728" w:type="dxa"/>
          </w:tcPr>
          <w:p w14:paraId="384A3BA5"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12DF03E8"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10A5A26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3D53984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3236E4" w14:paraId="25226B77" w14:textId="77777777" w:rsidTr="00CA43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F0AA84" w14:textId="77777777" w:rsidR="003236E4" w:rsidRDefault="003236E4" w:rsidP="00CA4386">
            <w:r>
              <w:rPr>
                <w:sz w:val="20"/>
              </w:rPr>
              <w:t>Successfully executed</w:t>
            </w:r>
          </w:p>
        </w:tc>
        <w:tc>
          <w:tcPr>
            <w:tcW w:w="1728" w:type="dxa"/>
          </w:tcPr>
          <w:p w14:paraId="05CA53C3"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3DFC1018"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0A0241AA"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c>
          <w:tcPr>
            <w:tcW w:w="1728" w:type="dxa"/>
          </w:tcPr>
          <w:p w14:paraId="139DBB2D" w14:textId="3048EF25"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Test/Dev </w:t>
            </w:r>
          </w:p>
        </w:tc>
      </w:tr>
      <w:tr w:rsidR="003236E4" w14:paraId="71FE62A7" w14:textId="77777777" w:rsidTr="00CA43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817DF6" w14:textId="77777777" w:rsidR="003236E4" w:rsidRDefault="003236E4" w:rsidP="00CA4386">
            <w:r>
              <w:rPr>
                <w:sz w:val="20"/>
              </w:rPr>
              <w:t>Execution failures</w:t>
            </w:r>
          </w:p>
        </w:tc>
        <w:tc>
          <w:tcPr>
            <w:tcW w:w="1728" w:type="dxa"/>
          </w:tcPr>
          <w:p w14:paraId="66CA160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1BB7483"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3F71B65B"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3 (0.03%)</w:t>
            </w:r>
          </w:p>
        </w:tc>
        <w:tc>
          <w:tcPr>
            <w:tcW w:w="1728" w:type="dxa"/>
          </w:tcPr>
          <w:p w14:paraId="086DA923" w14:textId="790B337B"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Test/Dev </w:t>
            </w:r>
          </w:p>
        </w:tc>
      </w:tr>
      <w:tr w:rsidR="003236E4" w14:paraId="074BF6E2" w14:textId="77777777" w:rsidTr="00CA43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FA1B11" w14:textId="77777777" w:rsidR="003236E4" w:rsidRDefault="003236E4" w:rsidP="00CA4386">
            <w:r>
              <w:rPr>
                <w:sz w:val="20"/>
              </w:rPr>
              <w:t>Mean time (</w:t>
            </w:r>
            <w:proofErr w:type="spellStart"/>
            <w:r>
              <w:rPr>
                <w:sz w:val="20"/>
              </w:rPr>
              <w:t>ms</w:t>
            </w:r>
            <w:proofErr w:type="spellEnd"/>
            <w:r>
              <w:rPr>
                <w:sz w:val="20"/>
              </w:rPr>
              <w:t>)</w:t>
            </w:r>
          </w:p>
        </w:tc>
        <w:tc>
          <w:tcPr>
            <w:tcW w:w="1728" w:type="dxa"/>
          </w:tcPr>
          <w:p w14:paraId="03ED45A7"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1728" w:type="dxa"/>
          </w:tcPr>
          <w:p w14:paraId="4095CF6A"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1728" w:type="dxa"/>
          </w:tcPr>
          <w:p w14:paraId="4E42F4BE"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1.19</w:t>
            </w:r>
          </w:p>
        </w:tc>
        <w:tc>
          <w:tcPr>
            <w:tcW w:w="1728" w:type="dxa"/>
          </w:tcPr>
          <w:p w14:paraId="79B3F1B0" w14:textId="3DC2FC1B"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bl>
    <w:p w14:paraId="084AFF04" w14:textId="77777777" w:rsidR="003236E4" w:rsidRDefault="003236E4" w:rsidP="003236E4">
      <w:r>
        <w:rPr>
          <w:i/>
          <w:sz w:val="20"/>
        </w:rPr>
        <w:t>Table 9. Query execution results showing exceptional executability rates</w:t>
      </w:r>
    </w:p>
    <w:p w14:paraId="039B212A" w14:textId="022FB9E1" w:rsidR="000D1A65" w:rsidRDefault="000D1A65" w:rsidP="00655FB6">
      <w:pPr>
        <w:spacing w:after="0"/>
        <w:ind w:firstLine="340"/>
        <w:jc w:val="both"/>
      </w:pPr>
      <w:r>
        <w:t xml:space="preserve">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w:t>
      </w:r>
      <w:r>
        <w:lastRenderedPageBreak/>
        <w:t>operations, or division-by-zero scenarios—warranting manual inspection to determine whether these represent annotation errors requiring correction.</w:t>
      </w:r>
    </w:p>
    <w:p w14:paraId="7153EC98" w14:textId="77777777" w:rsidR="000D1A65" w:rsidRDefault="000D1A65" w:rsidP="00655FB6">
      <w:pPr>
        <w:spacing w:after="0"/>
        <w:ind w:firstLine="340"/>
        <w:jc w:val="both"/>
      </w:pPr>
      <w: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14:paraId="5A2A070E"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.5. Code Quality Assessment via Antipattern Detection</w:t>
      </w:r>
    </w:p>
    <w:p w14:paraId="5B38BD50" w14:textId="375A672E" w:rsidR="000D1A65" w:rsidRDefault="003236E4" w:rsidP="00655FB6">
      <w:pPr>
        <w:jc w:val="both"/>
      </w:pPr>
      <w:r>
        <w:t xml:space="preserve">Antipattern detection identifies common SQL coding practices that, while syntactically valid and functionally correct, deviate from established best practices regarding performance, maintainability, or code clarity. It is important to emphasize that antipattern presence in training data does not constitute a critical flaw for Text-to-SQL model development. Training objectives focus on semantic correspondence between questions and queries rather than production-ready code optimization. </w:t>
      </w:r>
    </w:p>
    <w:tbl>
      <w:tblPr>
        <w:tblStyle w:val="LightGrid-Accent1"/>
        <w:tblW w:w="0" w:type="auto"/>
        <w:jc w:val="center"/>
        <w:tblLook w:val="04A0" w:firstRow="1" w:lastRow="0" w:firstColumn="1" w:lastColumn="0" w:noHBand="0" w:noVBand="1"/>
      </w:tblPr>
      <w:tblGrid>
        <w:gridCol w:w="1727"/>
        <w:gridCol w:w="1723"/>
        <w:gridCol w:w="1723"/>
        <w:gridCol w:w="1723"/>
        <w:gridCol w:w="1724"/>
      </w:tblGrid>
      <w:tr w:rsidR="000D1A65" w14:paraId="103C8771"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C386A6" w14:textId="77777777" w:rsidR="000D1A65" w:rsidRDefault="000D1A65" w:rsidP="00CA4386">
            <w:pPr>
              <w:jc w:val="center"/>
            </w:pPr>
            <w:r>
              <w:rPr>
                <w:sz w:val="20"/>
              </w:rPr>
              <w:t>Metric</w:t>
            </w:r>
          </w:p>
        </w:tc>
        <w:tc>
          <w:tcPr>
            <w:tcW w:w="1728" w:type="dxa"/>
          </w:tcPr>
          <w:p w14:paraId="2A1146F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73DBBE6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024655C"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F516280"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16BF1B4B"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24C3B4" w14:textId="77777777" w:rsidR="000D1A65" w:rsidRDefault="000D1A65" w:rsidP="00CA4386">
            <w:r>
              <w:rPr>
                <w:sz w:val="20"/>
              </w:rPr>
              <w:t>Mean quality score</w:t>
            </w:r>
          </w:p>
        </w:tc>
        <w:tc>
          <w:tcPr>
            <w:tcW w:w="1728" w:type="dxa"/>
          </w:tcPr>
          <w:p w14:paraId="0674BF7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7E0E68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19F7D34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53705022" w14:textId="6632734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Identical </w:t>
            </w:r>
          </w:p>
        </w:tc>
      </w:tr>
      <w:tr w:rsidR="000D1A65" w14:paraId="55DE82C6"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86D826" w14:textId="77777777" w:rsidR="000D1A65" w:rsidRDefault="000D1A65" w:rsidP="00CA4386">
            <w:r>
              <w:rPr>
                <w:sz w:val="20"/>
              </w:rPr>
              <w:t>Antipatterns per query</w:t>
            </w:r>
          </w:p>
        </w:tc>
        <w:tc>
          <w:tcPr>
            <w:tcW w:w="1728" w:type="dxa"/>
          </w:tcPr>
          <w:p w14:paraId="1C1F03B9"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1.35</w:t>
            </w:r>
          </w:p>
        </w:tc>
        <w:tc>
          <w:tcPr>
            <w:tcW w:w="1728" w:type="dxa"/>
          </w:tcPr>
          <w:p w14:paraId="6CDE827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1.32</w:t>
            </w:r>
          </w:p>
        </w:tc>
        <w:tc>
          <w:tcPr>
            <w:tcW w:w="1728" w:type="dxa"/>
          </w:tcPr>
          <w:p w14:paraId="2F40A45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1.39</w:t>
            </w:r>
          </w:p>
        </w:tc>
        <w:tc>
          <w:tcPr>
            <w:tcW w:w="1728" w:type="dxa"/>
          </w:tcPr>
          <w:p w14:paraId="5DEC8606" w14:textId="387D654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Dev </w:t>
            </w:r>
          </w:p>
        </w:tc>
      </w:tr>
      <w:tr w:rsidR="000D1A65" w14:paraId="08432B6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4BC3AA" w14:textId="77777777" w:rsidR="000D1A65" w:rsidRDefault="000D1A65" w:rsidP="00CA4386">
            <w:r>
              <w:rPr>
                <w:sz w:val="20"/>
              </w:rPr>
              <w:t xml:space="preserve">Success rate (0 </w:t>
            </w:r>
            <w:proofErr w:type="spellStart"/>
            <w:r>
              <w:rPr>
                <w:sz w:val="20"/>
              </w:rPr>
              <w:t>antip</w:t>
            </w:r>
            <w:proofErr w:type="spellEnd"/>
            <w:r>
              <w:rPr>
                <w:sz w:val="20"/>
              </w:rPr>
              <w:t>.)</w:t>
            </w:r>
          </w:p>
        </w:tc>
        <w:tc>
          <w:tcPr>
            <w:tcW w:w="1728" w:type="dxa"/>
          </w:tcPr>
          <w:p w14:paraId="799E338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6.1%</w:t>
            </w:r>
          </w:p>
        </w:tc>
        <w:tc>
          <w:tcPr>
            <w:tcW w:w="1728" w:type="dxa"/>
          </w:tcPr>
          <w:p w14:paraId="452B11D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8.4%</w:t>
            </w:r>
          </w:p>
        </w:tc>
        <w:tc>
          <w:tcPr>
            <w:tcW w:w="1728" w:type="dxa"/>
          </w:tcPr>
          <w:p w14:paraId="20592D1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728" w:type="dxa"/>
          </w:tcPr>
          <w:p w14:paraId="1822C097" w14:textId="3DA4142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Dev </w:t>
            </w:r>
          </w:p>
        </w:tc>
      </w:tr>
    </w:tbl>
    <w:p w14:paraId="13E52AB9" w14:textId="77777777" w:rsidR="000D1A65" w:rsidRDefault="000D1A65" w:rsidP="00627115">
      <w:pPr>
        <w:rPr>
          <w:i/>
          <w:sz w:val="20"/>
        </w:rPr>
      </w:pPr>
      <w:r>
        <w:rPr>
          <w:i/>
          <w:sz w:val="20"/>
        </w:rPr>
        <w:t>Table 11. Overall code quality metrics showing consistent high quality</w:t>
      </w:r>
    </w:p>
    <w:p w14:paraId="6174DE81" w14:textId="77777777" w:rsidR="00655FB6" w:rsidRDefault="00655FB6" w:rsidP="00655FB6">
      <w:pPr>
        <w:spacing w:after="0"/>
        <w:ind w:firstLine="340"/>
        <w:jc w:val="both"/>
      </w:pPr>
      <w:r>
        <w:t>Most detected antipatterns are stylistic (SELECT *, missing LIMIT) rather than logical errors, do not affect query execution correctness or result accuracy, and represent acceptable trade-offs in dataset creation where readability and annotation simplicity may outweigh optimization concerns. Nonetheless, antipattern analysis provides valuable insights into SQL coding style distributions.  Table 11 demonstrates remarkably consistent quality scores across all partitions, with all three achieving exactly 92.7/100 mean scores. This precise agreement likely results from the weighted scoring formula where the same antipattern types appear with similar frequencies across partitions, producing identical aggregate scores despite individual query variations.  The typical query contains 1.32-1.39 antipatterns, indicating that while queries achieve high overall quality, completely antipattern-free queries remain rare (6.0-8.4% success rate). This pattern suggests systematic presence of one or two dominant antipattern types affecting most queries rather than diverse antipattern distributions.</w:t>
      </w:r>
    </w:p>
    <w:p w14:paraId="1D3E87B7" w14:textId="489A45CE" w:rsidR="000D1A65" w:rsidRDefault="000D1A65" w:rsidP="00655FB6">
      <w:pPr>
        <w:spacing w:after="0"/>
        <w:ind w:firstLine="340"/>
        <w:jc w:val="both"/>
      </w:pPr>
      <w:r>
        <w:t xml:space="preserve">Table 12 confirms this hypothesis, revealing that Unbounded SELECT (queries lacking LIMIT clauses) dominates the antipattern distribution. In Test, 84.6% of queries lack LIMIT clauses, explaining why most queries exhibit at least one antipattern despite generally good coding practices. The SELECT * antipattern (selecting all columns rather than specifying </w:t>
      </w:r>
      <w:r>
        <w:lastRenderedPageBreak/>
        <w:t>explicit projections) affects 24.5-36.4% of queries depending on partition, with Dev showing the highest incidence. More concerning antipatterns like Functions in WHERE (preventing index usage) and Correlated Subqueries (exhibiting quadratic complexity) appear rarely (2.0-5.5%), and the most problematic pattern—Implicit JOIN syntax—is nearly absent with only 2 occurrences across the entire dataset.</w:t>
      </w:r>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0D1A65" w14:paraId="7A3BB909"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E938BF" w14:textId="77777777" w:rsidR="000D1A65" w:rsidRDefault="000D1A65" w:rsidP="00CA4386">
            <w:pPr>
              <w:jc w:val="center"/>
            </w:pPr>
            <w:r>
              <w:rPr>
                <w:sz w:val="20"/>
              </w:rPr>
              <w:t>Antipattern</w:t>
            </w:r>
          </w:p>
        </w:tc>
        <w:tc>
          <w:tcPr>
            <w:tcW w:w="1728" w:type="dxa"/>
          </w:tcPr>
          <w:p w14:paraId="4832B2E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5C05441F"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1336B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692637E8"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0D1A65" w14:paraId="19B3CDF2"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3694D7" w14:textId="77777777" w:rsidR="000D1A65" w:rsidRDefault="000D1A65" w:rsidP="00CA4386">
            <w:r>
              <w:rPr>
                <w:sz w:val="20"/>
              </w:rPr>
              <w:t>Unbounded SELECT</w:t>
            </w:r>
          </w:p>
        </w:tc>
        <w:tc>
          <w:tcPr>
            <w:tcW w:w="1728" w:type="dxa"/>
          </w:tcPr>
          <w:p w14:paraId="28F8DEA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1,816 (84.6%)</w:t>
            </w:r>
          </w:p>
        </w:tc>
        <w:tc>
          <w:tcPr>
            <w:tcW w:w="1728" w:type="dxa"/>
          </w:tcPr>
          <w:p w14:paraId="6E81E79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089E2D3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3738D0E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0D1A65" w14:paraId="71CBC2BA"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F07915" w14:textId="77777777" w:rsidR="000D1A65" w:rsidRDefault="000D1A65" w:rsidP="00CA4386">
            <w:r>
              <w:rPr>
                <w:sz w:val="20"/>
              </w:rPr>
              <w:t>SELECT *</w:t>
            </w:r>
          </w:p>
        </w:tc>
        <w:tc>
          <w:tcPr>
            <w:tcW w:w="1728" w:type="dxa"/>
          </w:tcPr>
          <w:p w14:paraId="2161EF0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673 (31.3%)</w:t>
            </w:r>
          </w:p>
        </w:tc>
        <w:tc>
          <w:tcPr>
            <w:tcW w:w="1728" w:type="dxa"/>
          </w:tcPr>
          <w:p w14:paraId="451A9AB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376 (36.4%)</w:t>
            </w:r>
          </w:p>
        </w:tc>
        <w:tc>
          <w:tcPr>
            <w:tcW w:w="1728" w:type="dxa"/>
          </w:tcPr>
          <w:p w14:paraId="28ADE51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2,120 (24.5%)</w:t>
            </w:r>
          </w:p>
        </w:tc>
        <w:tc>
          <w:tcPr>
            <w:tcW w:w="1728" w:type="dxa"/>
          </w:tcPr>
          <w:p w14:paraId="3239E32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0D1A65" w14:paraId="511AEDF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FA53EE" w14:textId="77777777" w:rsidR="000D1A65" w:rsidRDefault="000D1A65" w:rsidP="00CA4386">
            <w:r>
              <w:rPr>
                <w:sz w:val="20"/>
              </w:rPr>
              <w:t>Functions in WHERE</w:t>
            </w:r>
          </w:p>
        </w:tc>
        <w:tc>
          <w:tcPr>
            <w:tcW w:w="1728" w:type="dxa"/>
          </w:tcPr>
          <w:p w14:paraId="0E729CC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81 (3.8%)</w:t>
            </w:r>
          </w:p>
        </w:tc>
        <w:tc>
          <w:tcPr>
            <w:tcW w:w="1728" w:type="dxa"/>
          </w:tcPr>
          <w:p w14:paraId="5DF4D3B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27 (2.6%)</w:t>
            </w:r>
          </w:p>
        </w:tc>
        <w:tc>
          <w:tcPr>
            <w:tcW w:w="1728" w:type="dxa"/>
          </w:tcPr>
          <w:p w14:paraId="146BA68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472 (5.5%)</w:t>
            </w:r>
          </w:p>
        </w:tc>
        <w:tc>
          <w:tcPr>
            <w:tcW w:w="1728" w:type="dxa"/>
          </w:tcPr>
          <w:p w14:paraId="00E0F4C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0D1A65" w14:paraId="2434E8AF"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286372" w14:textId="77777777" w:rsidR="000D1A65" w:rsidRDefault="000D1A65" w:rsidP="00CA4386">
            <w:r>
              <w:rPr>
                <w:sz w:val="20"/>
              </w:rPr>
              <w:t>Correlated subquery</w:t>
            </w:r>
          </w:p>
        </w:tc>
        <w:tc>
          <w:tcPr>
            <w:tcW w:w="1728" w:type="dxa"/>
          </w:tcPr>
          <w:p w14:paraId="557BC04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46 (2.1%)</w:t>
            </w:r>
          </w:p>
        </w:tc>
        <w:tc>
          <w:tcPr>
            <w:tcW w:w="1728" w:type="dxa"/>
          </w:tcPr>
          <w:p w14:paraId="078BBED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 (2.0%)</w:t>
            </w:r>
          </w:p>
        </w:tc>
        <w:tc>
          <w:tcPr>
            <w:tcW w:w="1728" w:type="dxa"/>
          </w:tcPr>
          <w:p w14:paraId="17259C5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331 (3.8%)</w:t>
            </w:r>
          </w:p>
        </w:tc>
        <w:tc>
          <w:tcPr>
            <w:tcW w:w="1728" w:type="dxa"/>
          </w:tcPr>
          <w:p w14:paraId="18EBAC1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0D1A65" w14:paraId="12EB286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CF599E" w14:textId="77777777" w:rsidR="000D1A65" w:rsidRDefault="000D1A65" w:rsidP="00CA4386">
            <w:r>
              <w:rPr>
                <w:sz w:val="20"/>
              </w:rPr>
              <w:t>Implicit JOIN</w:t>
            </w:r>
          </w:p>
        </w:tc>
        <w:tc>
          <w:tcPr>
            <w:tcW w:w="1728" w:type="dxa"/>
          </w:tcPr>
          <w:p w14:paraId="59ADC64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7A9CA7B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66DB4FC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 (0.02%)</w:t>
            </w:r>
          </w:p>
        </w:tc>
        <w:tc>
          <w:tcPr>
            <w:tcW w:w="1728" w:type="dxa"/>
          </w:tcPr>
          <w:p w14:paraId="0691656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627911E3" w14:textId="77777777" w:rsidR="000D1A65" w:rsidRDefault="000D1A65" w:rsidP="00627115">
      <w:r>
        <w:rPr>
          <w:i/>
          <w:sz w:val="20"/>
        </w:rPr>
        <w:t xml:space="preserve">Table 12. </w:t>
      </w:r>
      <w:proofErr w:type="gramStart"/>
      <w:r>
        <w:rPr>
          <w:i/>
          <w:sz w:val="20"/>
        </w:rPr>
        <w:t>Top-5</w:t>
      </w:r>
      <w:proofErr w:type="gramEnd"/>
      <w:r>
        <w:rPr>
          <w:i/>
          <w:sz w:val="20"/>
        </w:rPr>
        <w:t xml:space="preserve"> most frequent antipatterns</w:t>
      </w:r>
    </w:p>
    <w:p w14:paraId="0EAD66BF" w14:textId="77777777" w:rsidR="003236E4" w:rsidRDefault="000D1A65" w:rsidP="00655FB6">
      <w:pPr>
        <w:jc w:val="both"/>
      </w:pPr>
      <w:r>
        <w:t>The antipattern distribution reflects sensible trade-offs in dataset design. The prevalence of Unbounded SELECT is appropriate for benchmark queries where result set sizes are typically small and deterministic, making LIMIT clauses unnecessary for correctness. The moderate frequency of SELECT * balances convenience in annotation (avoiding explicit column enumeration) against best-practice recommendations, with the variation across partitions (24.5% in Train vs. 36.4% in Dev) likely reflecting different annotation teams or evolving style guidelines. The low frequencies of performance-critical antipatterns (Functions in WHERE, Correlated Subqueries) indicate that dataset creators possessed solid SQL expertise and generally avoided the most problematic patterns. The near-complete absence of Implicit JOIN confirms that explicit JOIN syntax was consistently enforced, improving query readability and maintainability.</w:t>
      </w:r>
    </w:p>
    <w:p w14:paraId="2D4B747F"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.6. Semantic Correctness via LLM Consensus</w:t>
      </w:r>
    </w:p>
    <w:p w14:paraId="4D2E6917" w14:textId="77777777" w:rsidR="003236E4" w:rsidRDefault="003236E4" w:rsidP="003236E4">
      <w:pPr>
        <w:spacing w:after="0"/>
        <w:jc w:val="both"/>
      </w:pPr>
      <w:r>
        <w:t xml:space="preserve">Semantic validation represents the most critical quality dimension, as syntactically valid, successfully executing queries may nonetheless fail to correctly answer their associated natural language questions. This validation employs two large language models (Gemini 2.5 Pro and GPT-4o)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 Table 14 reveals a clear quality gradient across all three partitions, with semantic correctness declining systematically from Test (70.4% correct) through Dev (64.5%) to Train (60.0%), representing a 10.4 percentage point span that exceeds expected statistical variation (p&lt;0.001 by proportion test across all pairwise comparisons). This quality ordering mirrors the schema validation results presented earlier, where Test similarly exhibited superior quality compared to Dev and Train. The consistency of this pattern across multiple validation dimensions suggests that Test received more rigorous curation attention or quality assurance compared to the other partitions. Notably, Train exhibits the highest rates of both explicitly </w:t>
      </w:r>
      <w:r>
        <w:lastRenderedPageBreak/>
        <w:t>incorrect queries (10.0% vs. 8.1% in Test and 9.2% in Dev) and mixed/disputed cases (26.0% vs. 18.5% in Test and 24.9% in Dev), indicating that the largest partition paradoxically contains the greatest proportion of semantically problematic examples. The unanimous agreement characteristic (all non-Mixed verdicts represent complete model consensus) reflects the two-model configuration, where only two outcome patterns are possible: both models agree (producing a definitive verdict</w:t>
      </w:r>
      <w:proofErr w:type="gramStart"/>
      <w:r>
        <w:t>)</w:t>
      </w:r>
      <w:proofErr w:type="gramEnd"/>
      <w:r>
        <w:t xml:space="preserve"> or models disagree (producing Mixed classification).</w:t>
      </w:r>
    </w:p>
    <w:p w14:paraId="61950F2A" w14:textId="17FCCB0E" w:rsidR="000D1A65" w:rsidRDefault="003236E4" w:rsidP="003236E4">
      <w:pPr>
        <w:spacing w:after="0"/>
        <w:ind w:firstLine="340"/>
        <w:jc w:val="both"/>
      </w:pPr>
      <w:r>
        <w:t>The Mixed verdict category, indicating model disagreement, warrants particular attention given its substantial prevalence across all partitions.</w:t>
      </w:r>
    </w:p>
    <w:tbl>
      <w:tblPr>
        <w:tblStyle w:val="LightGrid-Accent1"/>
        <w:tblW w:w="0" w:type="auto"/>
        <w:jc w:val="center"/>
        <w:tblLook w:val="04A0" w:firstRow="1" w:lastRow="0" w:firstColumn="1" w:lastColumn="0" w:noHBand="0" w:noVBand="1"/>
      </w:tblPr>
      <w:tblGrid>
        <w:gridCol w:w="2158"/>
        <w:gridCol w:w="2154"/>
        <w:gridCol w:w="2154"/>
        <w:gridCol w:w="2154"/>
      </w:tblGrid>
      <w:tr w:rsidR="000D1A65" w14:paraId="7A58BBB3"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73A80F" w14:textId="77777777" w:rsidR="000D1A65" w:rsidRDefault="000D1A65" w:rsidP="00CA4386">
            <w:pPr>
              <w:jc w:val="center"/>
            </w:pPr>
            <w:r>
              <w:rPr>
                <w:sz w:val="20"/>
              </w:rPr>
              <w:t>Consensus Verdict</w:t>
            </w:r>
          </w:p>
        </w:tc>
        <w:tc>
          <w:tcPr>
            <w:tcW w:w="2160" w:type="dxa"/>
          </w:tcPr>
          <w:p w14:paraId="26030D3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E1E883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45C774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04DEE25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25CB39" w14:textId="77777777" w:rsidR="000D1A65" w:rsidRDefault="000D1A65" w:rsidP="00CA4386">
            <w:r>
              <w:rPr>
                <w:sz w:val="20"/>
              </w:rPr>
              <w:t>CORRECT</w:t>
            </w:r>
          </w:p>
        </w:tc>
        <w:tc>
          <w:tcPr>
            <w:tcW w:w="2160" w:type="dxa"/>
          </w:tcPr>
          <w:p w14:paraId="79F213A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56E91EF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485520F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0D1A65" w14:paraId="100EF256"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9E4DC4" w14:textId="77777777" w:rsidR="000D1A65" w:rsidRDefault="000D1A65" w:rsidP="00CA4386">
            <w:r>
              <w:rPr>
                <w:sz w:val="20"/>
              </w:rPr>
              <w:t>PARTIALLY_CORRECT</w:t>
            </w:r>
          </w:p>
        </w:tc>
        <w:tc>
          <w:tcPr>
            <w:tcW w:w="2160" w:type="dxa"/>
          </w:tcPr>
          <w:p w14:paraId="551A457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52 (2.4%)</w:t>
            </w:r>
          </w:p>
        </w:tc>
        <w:tc>
          <w:tcPr>
            <w:tcW w:w="2160" w:type="dxa"/>
          </w:tcPr>
          <w:p w14:paraId="6BE7202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15 (1.5%)</w:t>
            </w:r>
          </w:p>
        </w:tc>
        <w:tc>
          <w:tcPr>
            <w:tcW w:w="2160" w:type="dxa"/>
          </w:tcPr>
          <w:p w14:paraId="1CCA183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301 (3.5%)</w:t>
            </w:r>
          </w:p>
        </w:tc>
      </w:tr>
      <w:tr w:rsidR="000D1A65" w14:paraId="6E8D02F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737B40" w14:textId="77777777" w:rsidR="000D1A65" w:rsidRDefault="000D1A65" w:rsidP="00CA4386">
            <w:r>
              <w:rPr>
                <w:sz w:val="20"/>
              </w:rPr>
              <w:t>INCORRECT</w:t>
            </w:r>
          </w:p>
        </w:tc>
        <w:tc>
          <w:tcPr>
            <w:tcW w:w="2160" w:type="dxa"/>
          </w:tcPr>
          <w:p w14:paraId="714C0DF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174 (8.1%)</w:t>
            </w:r>
          </w:p>
        </w:tc>
        <w:tc>
          <w:tcPr>
            <w:tcW w:w="2160" w:type="dxa"/>
          </w:tcPr>
          <w:p w14:paraId="0DC0435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95 (9.2%)</w:t>
            </w:r>
          </w:p>
        </w:tc>
        <w:tc>
          <w:tcPr>
            <w:tcW w:w="2160" w:type="dxa"/>
          </w:tcPr>
          <w:p w14:paraId="23E3A06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865 (10.0%)</w:t>
            </w:r>
          </w:p>
        </w:tc>
      </w:tr>
      <w:tr w:rsidR="000D1A65" w14:paraId="5678700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B82B2E" w14:textId="77777777" w:rsidR="000D1A65" w:rsidRDefault="000D1A65" w:rsidP="00CA4386">
            <w:r>
              <w:rPr>
                <w:sz w:val="20"/>
              </w:rPr>
              <w:t>Mixed (disagreement)</w:t>
            </w:r>
          </w:p>
        </w:tc>
        <w:tc>
          <w:tcPr>
            <w:tcW w:w="2160" w:type="dxa"/>
          </w:tcPr>
          <w:p w14:paraId="5E5D4F0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396 (18.5%)</w:t>
            </w:r>
          </w:p>
        </w:tc>
        <w:tc>
          <w:tcPr>
            <w:tcW w:w="2160" w:type="dxa"/>
          </w:tcPr>
          <w:p w14:paraId="3CAD14F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257 (24.9%)</w:t>
            </w:r>
          </w:p>
        </w:tc>
        <w:tc>
          <w:tcPr>
            <w:tcW w:w="2160" w:type="dxa"/>
          </w:tcPr>
          <w:p w14:paraId="570ADAC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2,249 (26.0%)</w:t>
            </w:r>
          </w:p>
        </w:tc>
      </w:tr>
      <w:tr w:rsidR="000D1A65" w14:paraId="30506D5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6E3439" w14:textId="77777777" w:rsidR="000D1A65" w:rsidRDefault="000D1A65" w:rsidP="00CA4386">
            <w:r>
              <w:rPr>
                <w:sz w:val="20"/>
              </w:rPr>
              <w:t>UNANSWERABLE</w:t>
            </w:r>
          </w:p>
        </w:tc>
        <w:tc>
          <w:tcPr>
            <w:tcW w:w="2160" w:type="dxa"/>
          </w:tcPr>
          <w:p w14:paraId="4FD668B1"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13 (0.6%)</w:t>
            </w:r>
          </w:p>
        </w:tc>
        <w:tc>
          <w:tcPr>
            <w:tcW w:w="2160" w:type="dxa"/>
          </w:tcPr>
          <w:p w14:paraId="6F7B1D0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611651E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48 (0.6%)</w:t>
            </w:r>
          </w:p>
        </w:tc>
      </w:tr>
      <w:tr w:rsidR="000D1A65" w14:paraId="715D9BBD"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7EC64C" w14:textId="77777777" w:rsidR="000D1A65" w:rsidRDefault="000D1A65" w:rsidP="00CA4386">
            <w:r>
              <w:rPr>
                <w:sz w:val="20"/>
              </w:rPr>
              <w:t>TOTAL</w:t>
            </w:r>
          </w:p>
        </w:tc>
        <w:tc>
          <w:tcPr>
            <w:tcW w:w="2160" w:type="dxa"/>
          </w:tcPr>
          <w:p w14:paraId="528A0D7A"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1533E02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022C1CE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bl>
    <w:p w14:paraId="2F2C88FD" w14:textId="77777777" w:rsidR="000D1A65" w:rsidRDefault="000D1A65" w:rsidP="00A30048">
      <w:r>
        <w:rPr>
          <w:i/>
          <w:sz w:val="20"/>
        </w:rPr>
        <w:t>Table 14. Semantic validation results via LLM consensus voting</w:t>
      </w:r>
    </w:p>
    <w:p w14:paraId="6863F0FD" w14:textId="2AB71601" w:rsidR="000D1A65" w:rsidRDefault="000D1A65" w:rsidP="003236E4">
      <w:pPr>
        <w:spacing w:after="0"/>
        <w:jc w:val="both"/>
      </w:pPr>
      <w:r>
        <w:t>Train exhibits the highest Mixed rate (26.0%), followed by Dev (24.9%) and Test (18.5%),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The explicitly incorrect verdicts (174 in Test, 95 in Dev, 865 in Train) identify examples where both models independently judged the SQL query as failing to answer the natural language question, likely representing genuine annotation errors or cases where the intended query logic was incorrectly implemented. Train's 865 incorrect queries represent approximately 10% of its examples, a concerning proportion that exceeds the incorrect rates in both Test and Dev. The partially correct category, while relatively small in Test (2.4%) and Dev (1.5%), reaches 3.5% in Train with 301 examples, capturing queries that answer part of the question but omit necessary constraints or return supersets of the correct results.</w:t>
      </w:r>
    </w:p>
    <w:p w14:paraId="5D210608" w14:textId="77777777" w:rsidR="000D1A65" w:rsidRDefault="000D1A65" w:rsidP="003236E4">
      <w:pPr>
        <w:spacing w:after="0"/>
        <w:ind w:firstLine="340"/>
        <w:jc w:val="both"/>
      </w:pPr>
      <w:r>
        <w:t>Table 15 synthesizes these findings into actionable quality categories across all three partitions. High-confidence correct examples decline from 70.4% in Test through 64.5% in Dev to 60.0% in Train, indicating that approximately 40% of the largest partition requires some form of manual review or exhibits semantic issues. Cases requiring review include both the Mixed disagreement cases (18.5% in Test, 24.9% in Dev, 26.0% in Train) and the partially correct examples, totaling approximately 21% of Test, 26% of Dev, and 29.5% of Train. Clearly incorrect examples (8.1% in Test, 9.2% in Dev, 10.0% in Train) should be flagged for correction or removal, representing 1,134 total examples across all three partitions—a substantial corpus of annotation errors that may influence model training and evaluation if left unaddressed.</w:t>
      </w:r>
    </w:p>
    <w:tbl>
      <w:tblPr>
        <w:tblStyle w:val="LightGrid-Accent1"/>
        <w:tblW w:w="0" w:type="auto"/>
        <w:jc w:val="center"/>
        <w:tblLook w:val="04A0" w:firstRow="1" w:lastRow="0" w:firstColumn="1" w:lastColumn="0" w:noHBand="0" w:noVBand="1"/>
      </w:tblPr>
      <w:tblGrid>
        <w:gridCol w:w="2155"/>
        <w:gridCol w:w="2155"/>
        <w:gridCol w:w="2155"/>
        <w:gridCol w:w="2155"/>
      </w:tblGrid>
      <w:tr w:rsidR="000D1A65" w14:paraId="35D670CA"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F13EDE" w14:textId="77777777" w:rsidR="000D1A65" w:rsidRDefault="000D1A65" w:rsidP="00CA4386">
            <w:pPr>
              <w:jc w:val="center"/>
            </w:pPr>
            <w:r>
              <w:rPr>
                <w:sz w:val="20"/>
              </w:rPr>
              <w:t>Category</w:t>
            </w:r>
          </w:p>
        </w:tc>
        <w:tc>
          <w:tcPr>
            <w:tcW w:w="2160" w:type="dxa"/>
          </w:tcPr>
          <w:p w14:paraId="00059BF3"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23C6FD3"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139AD47D"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6DA41DA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B1C3C1" w14:textId="77777777" w:rsidR="000D1A65" w:rsidRDefault="000D1A65" w:rsidP="00CA4386">
            <w:r>
              <w:rPr>
                <w:sz w:val="20"/>
              </w:rPr>
              <w:t>Correct</w:t>
            </w:r>
          </w:p>
        </w:tc>
        <w:tc>
          <w:tcPr>
            <w:tcW w:w="2160" w:type="dxa"/>
          </w:tcPr>
          <w:p w14:paraId="04AFC32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65DF0C6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38ECC09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0D1A65" w14:paraId="7DDFD3B1"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12FC4B" w14:textId="77777777" w:rsidR="000D1A65" w:rsidRDefault="000D1A65" w:rsidP="00CA4386">
            <w:r>
              <w:rPr>
                <w:sz w:val="20"/>
              </w:rPr>
              <w:lastRenderedPageBreak/>
              <w:t>Problematic (all)</w:t>
            </w:r>
          </w:p>
        </w:tc>
        <w:tc>
          <w:tcPr>
            <w:tcW w:w="2160" w:type="dxa"/>
          </w:tcPr>
          <w:p w14:paraId="0F65948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239 (11.1%)</w:t>
            </w:r>
          </w:p>
        </w:tc>
        <w:tc>
          <w:tcPr>
            <w:tcW w:w="2160" w:type="dxa"/>
          </w:tcPr>
          <w:p w14:paraId="4700ADC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110 (10.6%)</w:t>
            </w:r>
          </w:p>
        </w:tc>
        <w:tc>
          <w:tcPr>
            <w:tcW w:w="2160" w:type="dxa"/>
          </w:tcPr>
          <w:p w14:paraId="0016985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1,214 (14.0%)</w:t>
            </w:r>
          </w:p>
        </w:tc>
      </w:tr>
      <w:tr w:rsidR="000D1A65" w14:paraId="205E1597"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C91814" w14:textId="77777777" w:rsidR="000D1A65" w:rsidRDefault="000D1A65" w:rsidP="00CA4386">
            <w:r>
              <w:rPr>
                <w:sz w:val="20"/>
              </w:rPr>
              <w:t>Disputed (Mixed)</w:t>
            </w:r>
          </w:p>
        </w:tc>
        <w:tc>
          <w:tcPr>
            <w:tcW w:w="2160" w:type="dxa"/>
          </w:tcPr>
          <w:p w14:paraId="53AD723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396 (18.5%)</w:t>
            </w:r>
          </w:p>
        </w:tc>
        <w:tc>
          <w:tcPr>
            <w:tcW w:w="2160" w:type="dxa"/>
          </w:tcPr>
          <w:p w14:paraId="40043FC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257 (24.9%)</w:t>
            </w:r>
          </w:p>
        </w:tc>
        <w:tc>
          <w:tcPr>
            <w:tcW w:w="2160" w:type="dxa"/>
          </w:tcPr>
          <w:p w14:paraId="7E0EFF1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2,249 (26.0%)</w:t>
            </w:r>
          </w:p>
        </w:tc>
      </w:tr>
      <w:tr w:rsidR="000D1A65" w14:paraId="0282F9B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6F06B7" w14:textId="77777777" w:rsidR="000D1A65" w:rsidRDefault="000D1A65" w:rsidP="00CA4386">
            <w:r>
              <w:rPr>
                <w:sz w:val="20"/>
              </w:rPr>
              <w:t>High confidence</w:t>
            </w:r>
          </w:p>
        </w:tc>
        <w:tc>
          <w:tcPr>
            <w:tcW w:w="2160" w:type="dxa"/>
          </w:tcPr>
          <w:p w14:paraId="4261718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1,512 (70.4%)</w:t>
            </w:r>
          </w:p>
        </w:tc>
        <w:tc>
          <w:tcPr>
            <w:tcW w:w="2160" w:type="dxa"/>
          </w:tcPr>
          <w:p w14:paraId="2F4DE43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667 (64.5%)</w:t>
            </w:r>
          </w:p>
        </w:tc>
        <w:tc>
          <w:tcPr>
            <w:tcW w:w="2160" w:type="dxa"/>
          </w:tcPr>
          <w:p w14:paraId="5A3A1D4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5,196 (60.0%)</w:t>
            </w:r>
          </w:p>
        </w:tc>
      </w:tr>
      <w:tr w:rsidR="000D1A65" w14:paraId="7EFFE1E8"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B222FD" w14:textId="77777777" w:rsidR="000D1A65" w:rsidRDefault="000D1A65" w:rsidP="00CA4386">
            <w:r>
              <w:rPr>
                <w:sz w:val="20"/>
              </w:rPr>
              <w:t>Requires review</w:t>
            </w:r>
          </w:p>
        </w:tc>
        <w:tc>
          <w:tcPr>
            <w:tcW w:w="2160" w:type="dxa"/>
          </w:tcPr>
          <w:p w14:paraId="4DF5316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448 (20.9%)</w:t>
            </w:r>
          </w:p>
        </w:tc>
        <w:tc>
          <w:tcPr>
            <w:tcW w:w="2160" w:type="dxa"/>
          </w:tcPr>
          <w:p w14:paraId="5274558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272 (26.4%)</w:t>
            </w:r>
          </w:p>
        </w:tc>
        <w:tc>
          <w:tcPr>
            <w:tcW w:w="2160" w:type="dxa"/>
          </w:tcPr>
          <w:p w14:paraId="5402804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2,550 (29.5%)</w:t>
            </w:r>
          </w:p>
        </w:tc>
      </w:tr>
      <w:tr w:rsidR="000D1A65" w14:paraId="50EC0899"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A7160" w14:textId="77777777" w:rsidR="000D1A65" w:rsidRDefault="000D1A65" w:rsidP="00CA4386">
            <w:r>
              <w:rPr>
                <w:sz w:val="20"/>
              </w:rPr>
              <w:t>Clearly incorrect</w:t>
            </w:r>
          </w:p>
        </w:tc>
        <w:tc>
          <w:tcPr>
            <w:tcW w:w="2160" w:type="dxa"/>
          </w:tcPr>
          <w:p w14:paraId="0F2C3F8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174 (8.1%)</w:t>
            </w:r>
          </w:p>
        </w:tc>
        <w:tc>
          <w:tcPr>
            <w:tcW w:w="2160" w:type="dxa"/>
          </w:tcPr>
          <w:p w14:paraId="2F8DD4B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95 (9.2%)</w:t>
            </w:r>
          </w:p>
        </w:tc>
        <w:tc>
          <w:tcPr>
            <w:tcW w:w="2160" w:type="dxa"/>
          </w:tcPr>
          <w:p w14:paraId="6F27476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 (10.0%)</w:t>
            </w:r>
          </w:p>
        </w:tc>
      </w:tr>
    </w:tbl>
    <w:p w14:paraId="0A12B3EC" w14:textId="77777777" w:rsidR="000D1A65" w:rsidRDefault="000D1A65" w:rsidP="00A30048">
      <w:r>
        <w:rPr>
          <w:i/>
          <w:sz w:val="20"/>
        </w:rPr>
        <w:t>Table 15. Semantic quality categorization summary</w:t>
      </w:r>
    </w:p>
    <w:p w14:paraId="0A8D0C26" w14:textId="10EC232C" w:rsidR="000D1A65" w:rsidRDefault="000D1A65" w:rsidP="003236E4">
      <w:pPr>
        <w:jc w:val="both"/>
      </w:pPr>
      <w:r>
        <w:t xml:space="preserve">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w:t>
      </w:r>
      <w:r w:rsidR="00655FB6">
        <w:t>are</w:t>
      </w:r>
      <w:r>
        <w:t xml:space="preserve"> correct, or conversely judging correct examples as incorrect due to misunderstanding subtle question semantics or database content. The 60.0-70.4% correctness rates likely represent lower bounds on true semantic quality, as conservative classification strategies may flag some </w:t>
      </w:r>
      <w:r w:rsidR="00655FB6">
        <w:t>correct</w:t>
      </w:r>
      <w:r>
        <w:t xml:space="preserve"> examples as Mixed or incorrect. Nonetheless, the comprehensive coverage across all 11,840 examples enables identification of 1,134 clearly incorrect queries and 2,902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14:paraId="69B9EDC2" w14:textId="3681E357" w:rsidR="00952910" w:rsidRDefault="006B6FDC" w:rsidP="00952910">
      <w:pPr>
        <w:pStyle w:val="Heading2"/>
      </w:pPr>
      <w:r>
        <w:rPr>
          <w:rFonts w:ascii="Times New Roman" w:hAnsi="Times New Roman"/>
          <w:sz w:val="24"/>
          <w:lang w:val="uk-UA"/>
        </w:rPr>
        <w:t>4</w:t>
      </w:r>
      <w:r w:rsidR="00952910">
        <w:rPr>
          <w:rFonts w:ascii="Times New Roman" w:hAnsi="Times New Roman"/>
          <w:sz w:val="24"/>
        </w:rPr>
        <w:t>.</w:t>
      </w:r>
      <w:r>
        <w:rPr>
          <w:rFonts w:ascii="Times New Roman" w:hAnsi="Times New Roman"/>
          <w:sz w:val="24"/>
          <w:lang w:val="uk-UA"/>
        </w:rPr>
        <w:t>7</w:t>
      </w:r>
      <w:r w:rsidR="00952910">
        <w:rPr>
          <w:rFonts w:ascii="Times New Roman" w:hAnsi="Times New Roman"/>
          <w:sz w:val="24"/>
        </w:rPr>
        <w:t>. Integrated Quality Assessment and Recommendations</w:t>
      </w:r>
    </w:p>
    <w:p w14:paraId="6B3F9640" w14:textId="23FD6DB5" w:rsidR="00B0625A" w:rsidRDefault="00952910" w:rsidP="003236E4">
      <w:pPr>
        <w:jc w:val="both"/>
      </w:pPr>
      <w:r>
        <w:t>The comprehensive multi-layer analysis of Spider's three partitions enables an integrated quality assessment synthesizing findings across all validation dimensions. Table 20 summarizes key quality indicators, revealing patterns of consistency alongside several critical issues requiring remediation.</w:t>
      </w:r>
    </w:p>
    <w:tbl>
      <w:tblPr>
        <w:tblStyle w:val="LightGrid-Accent1"/>
        <w:tblW w:w="0" w:type="auto"/>
        <w:jc w:val="center"/>
        <w:tblLook w:val="04A0" w:firstRow="1" w:lastRow="0" w:firstColumn="1" w:lastColumn="0" w:noHBand="0" w:noVBand="1"/>
      </w:tblPr>
      <w:tblGrid>
        <w:gridCol w:w="1983"/>
        <w:gridCol w:w="1467"/>
        <w:gridCol w:w="1723"/>
        <w:gridCol w:w="1723"/>
        <w:gridCol w:w="1724"/>
      </w:tblGrid>
      <w:tr w:rsidR="00952910" w14:paraId="2286CF40" w14:textId="77777777" w:rsidTr="0047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0B97346" w14:textId="77777777" w:rsidR="00952910" w:rsidRDefault="00952910" w:rsidP="00CA4386">
            <w:pPr>
              <w:jc w:val="center"/>
            </w:pPr>
            <w:r>
              <w:rPr>
                <w:sz w:val="20"/>
              </w:rPr>
              <w:t>Quality Criterion</w:t>
            </w:r>
          </w:p>
        </w:tc>
        <w:tc>
          <w:tcPr>
            <w:tcW w:w="1471" w:type="dxa"/>
          </w:tcPr>
          <w:p w14:paraId="75881580"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0ADBDE0"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459DCEB"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67CF319"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952910" w14:paraId="4424D8DF"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8C99F2F" w14:textId="77777777" w:rsidR="00952910" w:rsidRDefault="00952910" w:rsidP="00CA4386">
            <w:r>
              <w:rPr>
                <w:sz w:val="20"/>
              </w:rPr>
              <w:t>DATABASE SCHEMAS</w:t>
            </w:r>
          </w:p>
        </w:tc>
        <w:tc>
          <w:tcPr>
            <w:tcW w:w="1471" w:type="dxa"/>
          </w:tcPr>
          <w:p w14:paraId="59EC907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370461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53DE2C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232DBB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0D0A742B"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4A0BC7A" w14:textId="77777777" w:rsidR="00952910" w:rsidRDefault="00952910" w:rsidP="00CA4386">
            <w:r>
              <w:rPr>
                <w:sz w:val="20"/>
              </w:rPr>
              <w:t>Valid schemas</w:t>
            </w:r>
          </w:p>
        </w:tc>
        <w:tc>
          <w:tcPr>
            <w:tcW w:w="1471" w:type="dxa"/>
          </w:tcPr>
          <w:p w14:paraId="356B6984"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728" w:type="dxa"/>
          </w:tcPr>
          <w:p w14:paraId="74BBB49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1728" w:type="dxa"/>
          </w:tcPr>
          <w:p w14:paraId="600BAAD8"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78.1%</w:t>
            </w:r>
          </w:p>
        </w:tc>
        <w:tc>
          <w:tcPr>
            <w:tcW w:w="1728" w:type="dxa"/>
          </w:tcPr>
          <w:p w14:paraId="3AA5FDE8" w14:textId="4B11FB66"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433C8332"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51742A7" w14:textId="77777777" w:rsidR="00952910" w:rsidRDefault="00952910" w:rsidP="00CA4386">
            <w:r>
              <w:rPr>
                <w:sz w:val="20"/>
              </w:rPr>
              <w:t>Invalid FKs</w:t>
            </w:r>
          </w:p>
        </w:tc>
        <w:tc>
          <w:tcPr>
            <w:tcW w:w="1471" w:type="dxa"/>
          </w:tcPr>
          <w:p w14:paraId="4864E0E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6113D3E7"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50B53FA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5457B160" w14:textId="0BE6624E"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952910" w14:paraId="78A6DDAD"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381EE68" w14:textId="094262B5" w:rsidR="00952910" w:rsidRDefault="00474C9E" w:rsidP="00CA4386">
            <w:r>
              <w:rPr>
                <w:sz w:val="20"/>
              </w:rPr>
              <w:t>DBs with FK violations</w:t>
            </w:r>
          </w:p>
        </w:tc>
        <w:tc>
          <w:tcPr>
            <w:tcW w:w="1471" w:type="dxa"/>
          </w:tcPr>
          <w:p w14:paraId="2AA3CC1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68D8A288" w14:textId="28A66464"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3 (2,40</w:t>
            </w:r>
            <w:r w:rsidR="00B0625A">
              <w:rPr>
                <w:sz w:val="20"/>
              </w:rPr>
              <w:t>3</w:t>
            </w:r>
            <w:r>
              <w:rPr>
                <w:sz w:val="20"/>
              </w:rPr>
              <w:t xml:space="preserve"> viol.)</w:t>
            </w:r>
          </w:p>
        </w:tc>
        <w:tc>
          <w:tcPr>
            <w:tcW w:w="1728" w:type="dxa"/>
          </w:tcPr>
          <w:p w14:paraId="59E02CFF" w14:textId="6F817DEF"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 (39,52</w:t>
            </w:r>
            <w:r w:rsidR="00B0625A">
              <w:rPr>
                <w:sz w:val="20"/>
              </w:rPr>
              <w:t>3</w:t>
            </w:r>
            <w:r>
              <w:rPr>
                <w:sz w:val="20"/>
              </w:rPr>
              <w:t xml:space="preserve"> viol.)</w:t>
            </w:r>
          </w:p>
        </w:tc>
        <w:tc>
          <w:tcPr>
            <w:tcW w:w="1728" w:type="dxa"/>
          </w:tcPr>
          <w:p w14:paraId="082B1A91" w14:textId="2056138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3B75AE54"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4932E1C" w14:textId="77777777" w:rsidR="00952910" w:rsidRDefault="00952910" w:rsidP="00CA4386">
            <w:r>
              <w:rPr>
                <w:sz w:val="20"/>
              </w:rPr>
              <w:t>SYNTACTIC QUALITY</w:t>
            </w:r>
          </w:p>
        </w:tc>
        <w:tc>
          <w:tcPr>
            <w:tcW w:w="1471" w:type="dxa"/>
          </w:tcPr>
          <w:p w14:paraId="0D5CB02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37DF9D8B"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8ABA641"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C15CD67"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48E2F79B"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CAD920D" w14:textId="77777777" w:rsidR="00952910" w:rsidRDefault="00952910" w:rsidP="00CA4386">
            <w:r>
              <w:rPr>
                <w:sz w:val="20"/>
              </w:rPr>
              <w:t>Parse success</w:t>
            </w:r>
          </w:p>
        </w:tc>
        <w:tc>
          <w:tcPr>
            <w:tcW w:w="1471" w:type="dxa"/>
          </w:tcPr>
          <w:p w14:paraId="19C8C5C8"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65840F4"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2C0AC6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74A3BEFD" w14:textId="213880B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Equal </w:t>
            </w:r>
          </w:p>
        </w:tc>
      </w:tr>
      <w:tr w:rsidR="00952910" w14:paraId="64A65D6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4641CD59" w14:textId="77777777" w:rsidR="00952910" w:rsidRDefault="00952910" w:rsidP="00CA4386">
            <w:r>
              <w:rPr>
                <w:sz w:val="20"/>
              </w:rPr>
              <w:t>Mean complexity</w:t>
            </w:r>
          </w:p>
        </w:tc>
        <w:tc>
          <w:tcPr>
            <w:tcW w:w="1471" w:type="dxa"/>
          </w:tcPr>
          <w:p w14:paraId="656FB994"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39.5</w:t>
            </w:r>
          </w:p>
        </w:tc>
        <w:tc>
          <w:tcPr>
            <w:tcW w:w="1728" w:type="dxa"/>
          </w:tcPr>
          <w:p w14:paraId="0A2F525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728" w:type="dxa"/>
          </w:tcPr>
          <w:p w14:paraId="5476727A"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40.7</w:t>
            </w:r>
          </w:p>
        </w:tc>
        <w:tc>
          <w:tcPr>
            <w:tcW w:w="1728" w:type="dxa"/>
          </w:tcPr>
          <w:p w14:paraId="5F1285DD" w14:textId="0FAF597B"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Equal </w:t>
            </w:r>
          </w:p>
        </w:tc>
      </w:tr>
      <w:tr w:rsidR="00952910" w14:paraId="6411964D"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D5B1F40" w14:textId="77777777" w:rsidR="00952910" w:rsidRDefault="00952910" w:rsidP="00CA4386">
            <w:r>
              <w:rPr>
                <w:sz w:val="20"/>
              </w:rPr>
              <w:t>Expert queries</w:t>
            </w:r>
          </w:p>
        </w:tc>
        <w:tc>
          <w:tcPr>
            <w:tcW w:w="1471" w:type="dxa"/>
          </w:tcPr>
          <w:p w14:paraId="0BCAAF5F"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79B6902C"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6BC5DED1"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2101FB47" w14:textId="55088B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r w:rsidR="00952910" w14:paraId="4FD2D609"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11BFFB11" w14:textId="77777777" w:rsidR="00952910" w:rsidRDefault="00952910" w:rsidP="00CA4386">
            <w:r>
              <w:rPr>
                <w:sz w:val="20"/>
              </w:rPr>
              <w:t>EXECUTABILITY</w:t>
            </w:r>
          </w:p>
        </w:tc>
        <w:tc>
          <w:tcPr>
            <w:tcW w:w="1471" w:type="dxa"/>
          </w:tcPr>
          <w:p w14:paraId="0D0F6EA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414CE5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4D3CB8F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D91DCDD"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72283254"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66A099C" w14:textId="77777777" w:rsidR="00952910" w:rsidRDefault="00952910" w:rsidP="00CA4386">
            <w:r>
              <w:rPr>
                <w:sz w:val="20"/>
              </w:rPr>
              <w:t>Execute success</w:t>
            </w:r>
          </w:p>
        </w:tc>
        <w:tc>
          <w:tcPr>
            <w:tcW w:w="1471" w:type="dxa"/>
          </w:tcPr>
          <w:p w14:paraId="0CFF868F"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1D9CA1B"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5B2B437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99.97%</w:t>
            </w:r>
          </w:p>
        </w:tc>
        <w:tc>
          <w:tcPr>
            <w:tcW w:w="1728" w:type="dxa"/>
          </w:tcPr>
          <w:p w14:paraId="25C78438" w14:textId="43DB2E85"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Test/Dev </w:t>
            </w:r>
          </w:p>
        </w:tc>
      </w:tr>
      <w:tr w:rsidR="00952910" w14:paraId="771A9F24"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B1FC67E" w14:textId="77777777" w:rsidR="00952910" w:rsidRDefault="00952910" w:rsidP="00CA4386">
            <w:r>
              <w:rPr>
                <w:sz w:val="20"/>
              </w:rPr>
              <w:t>Mean time (</w:t>
            </w:r>
            <w:proofErr w:type="spellStart"/>
            <w:r>
              <w:rPr>
                <w:sz w:val="20"/>
              </w:rPr>
              <w:t>ms</w:t>
            </w:r>
            <w:proofErr w:type="spellEnd"/>
            <w:r>
              <w:rPr>
                <w:sz w:val="20"/>
              </w:rPr>
              <w:t>)</w:t>
            </w:r>
          </w:p>
        </w:tc>
        <w:tc>
          <w:tcPr>
            <w:tcW w:w="1471" w:type="dxa"/>
          </w:tcPr>
          <w:p w14:paraId="5D0E7A8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0F808EED"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51F7DEC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2D2B7455" w14:textId="4A94796F"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952910" w14:paraId="38E88B60"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358261B" w14:textId="77777777" w:rsidR="00952910" w:rsidRDefault="00952910" w:rsidP="00CA4386">
            <w:r>
              <w:rPr>
                <w:sz w:val="20"/>
              </w:rPr>
              <w:t>SQL CODE QUALITY</w:t>
            </w:r>
          </w:p>
        </w:tc>
        <w:tc>
          <w:tcPr>
            <w:tcW w:w="1471" w:type="dxa"/>
          </w:tcPr>
          <w:p w14:paraId="77BAC79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5387569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0A112F21"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5049C3C7"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r>
      <w:tr w:rsidR="00952910" w14:paraId="40A8078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4C37B2CC" w14:textId="77777777" w:rsidR="00952910" w:rsidRDefault="00952910" w:rsidP="00CA4386">
            <w:r>
              <w:rPr>
                <w:sz w:val="20"/>
              </w:rPr>
              <w:t>Quality score</w:t>
            </w:r>
          </w:p>
        </w:tc>
        <w:tc>
          <w:tcPr>
            <w:tcW w:w="1471" w:type="dxa"/>
          </w:tcPr>
          <w:p w14:paraId="0FD31C8C"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30FAD192"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2146960C"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2BF71331" w14:textId="3D037E5A"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Equal </w:t>
            </w:r>
          </w:p>
        </w:tc>
      </w:tr>
      <w:tr w:rsidR="00952910" w14:paraId="6EFE6CEA"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936BABD" w14:textId="77777777" w:rsidR="00952910" w:rsidRDefault="00952910" w:rsidP="00CA4386">
            <w:r>
              <w:rPr>
                <w:sz w:val="20"/>
              </w:rPr>
              <w:t>SEMANTIC CORRECTNESS</w:t>
            </w:r>
          </w:p>
        </w:tc>
        <w:tc>
          <w:tcPr>
            <w:tcW w:w="1471" w:type="dxa"/>
          </w:tcPr>
          <w:p w14:paraId="13A6AA9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7BEA689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6ABA987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13779E3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r>
      <w:tr w:rsidR="00952910" w14:paraId="6530F5F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1A53649" w14:textId="77777777" w:rsidR="00952910" w:rsidRDefault="00952910" w:rsidP="00CA4386">
            <w:r>
              <w:rPr>
                <w:sz w:val="20"/>
              </w:rPr>
              <w:t>Correct</w:t>
            </w:r>
          </w:p>
        </w:tc>
        <w:tc>
          <w:tcPr>
            <w:tcW w:w="1471" w:type="dxa"/>
          </w:tcPr>
          <w:p w14:paraId="2A2049F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70.4%</w:t>
            </w:r>
          </w:p>
        </w:tc>
        <w:tc>
          <w:tcPr>
            <w:tcW w:w="1728" w:type="dxa"/>
          </w:tcPr>
          <w:p w14:paraId="33C1579A"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64.5%</w:t>
            </w:r>
          </w:p>
        </w:tc>
        <w:tc>
          <w:tcPr>
            <w:tcW w:w="1728" w:type="dxa"/>
          </w:tcPr>
          <w:p w14:paraId="1B4A798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60.0%</w:t>
            </w:r>
          </w:p>
        </w:tc>
        <w:tc>
          <w:tcPr>
            <w:tcW w:w="1728" w:type="dxa"/>
          </w:tcPr>
          <w:p w14:paraId="1323F314" w14:textId="4A13132B"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952910" w14:paraId="762E4413"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25A062A" w14:textId="77777777" w:rsidR="00952910" w:rsidRDefault="00952910" w:rsidP="00CA4386">
            <w:r>
              <w:rPr>
                <w:sz w:val="20"/>
              </w:rPr>
              <w:t>Clearly incorrect</w:t>
            </w:r>
          </w:p>
        </w:tc>
        <w:tc>
          <w:tcPr>
            <w:tcW w:w="1471" w:type="dxa"/>
          </w:tcPr>
          <w:p w14:paraId="72AB3A8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8.1%</w:t>
            </w:r>
          </w:p>
        </w:tc>
        <w:tc>
          <w:tcPr>
            <w:tcW w:w="1728" w:type="dxa"/>
          </w:tcPr>
          <w:p w14:paraId="2DF0E22D"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9.2%</w:t>
            </w:r>
          </w:p>
        </w:tc>
        <w:tc>
          <w:tcPr>
            <w:tcW w:w="1728" w:type="dxa"/>
          </w:tcPr>
          <w:p w14:paraId="0D21945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5C45A094" w14:textId="58D3359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00D72815"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7F685D6" w14:textId="77777777" w:rsidR="00952910" w:rsidRDefault="00952910" w:rsidP="00CA4386">
            <w:r>
              <w:rPr>
                <w:sz w:val="20"/>
              </w:rPr>
              <w:lastRenderedPageBreak/>
              <w:t>Disputed (Mixed)</w:t>
            </w:r>
          </w:p>
        </w:tc>
        <w:tc>
          <w:tcPr>
            <w:tcW w:w="1471" w:type="dxa"/>
          </w:tcPr>
          <w:p w14:paraId="7779430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18.5%</w:t>
            </w:r>
          </w:p>
        </w:tc>
        <w:tc>
          <w:tcPr>
            <w:tcW w:w="1728" w:type="dxa"/>
          </w:tcPr>
          <w:p w14:paraId="020D26A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4D91B175"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26.0%</w:t>
            </w:r>
          </w:p>
        </w:tc>
        <w:tc>
          <w:tcPr>
            <w:tcW w:w="1728" w:type="dxa"/>
          </w:tcPr>
          <w:p w14:paraId="6951C3F3" w14:textId="39BC651C"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bl>
    <w:p w14:paraId="59296932" w14:textId="77777777" w:rsidR="00952910" w:rsidRDefault="00952910" w:rsidP="00952910">
      <w:r>
        <w:rPr>
          <w:i/>
          <w:sz w:val="20"/>
        </w:rPr>
        <w:t>Table 20. Integrated quality assessment across all validation dimensions</w:t>
      </w:r>
    </w:p>
    <w:p w14:paraId="24B58C84" w14:textId="77777777" w:rsidR="00952910" w:rsidRDefault="00952910" w:rsidP="003236E4">
      <w:pPr>
        <w:spacing w:after="0"/>
        <w:ind w:firstLine="340"/>
        <w:jc w:val="both"/>
      </w:pPr>
      <w:r>
        <w:t>The analysis identifies both strengths and critical weaknesses in Spider's construction. On the positive side, the dataset achieves exceptional syntactic quality with 100% parsing success across all 11,840 queries, near-perfect executability (100% for Test/Dev, 99.97% for Train), and consistent complexity distributions facilitating fair cross-partition comparison. The intentional balancing of difficulty levels and consistent code quality scores (92.7/100 uniformly) demonstrate careful curation attention to producing a usable benchmark. However, several critical issues emerged that require addressing to ensure dataset integrity and reliability for future research.</w:t>
      </w:r>
    </w:p>
    <w:p w14:paraId="63DC71BA" w14:textId="77777777" w:rsidR="00952910" w:rsidRDefault="00952910" w:rsidP="003236E4">
      <w:pPr>
        <w:spacing w:after="0"/>
        <w:ind w:firstLine="340"/>
        <w:jc w:val="both"/>
      </w:pPr>
      <w:r>
        <w:t>The most severe problem identified concerns referential integrity violations concentrated in two databases: sakila_1 (Train) with 38,273 violations and flight_2 (Dev) with 2,400 violations. Together these two databases account for 97% of all 41,922 referential integrity violations across the entire dataset, indicating systematic data export or generation problems rather than isolated errors. For queries referencing these databases (approximately 22% of Train queries and 35.6% of Dev queries touch databases with some form of schema issue), the massive referential integrity violations may materially affect JOIN operations and semantic correctness. Immediate remediation of these two databases through re-export from authoritative sources or systematic data cleaning should be prioritized as the highest-impact improvement to dataset quality.</w:t>
      </w:r>
    </w:p>
    <w:p w14:paraId="1B03DB3E" w14:textId="77777777" w:rsidR="00952910" w:rsidRDefault="00952910" w:rsidP="003236E4">
      <w:pPr>
        <w:spacing w:after="0"/>
        <w:ind w:firstLine="340"/>
        <w:jc w:val="both"/>
      </w:pPr>
      <w:r>
        <w:t xml:space="preserve">Beyond these catastrophic cases, schema quality exhibits concerning heterogeneity across partitions. Test achieves 90% validity while Dev drops to 65% and Train to 78.1%, with Dev's particularly low validity raising questions about its suitability for model selection given that 35% of its databases contain known structural defects. The 78 invalid foreign keys in Train (compared to 4 in Test and 7 in Dev) indicate systematic differences in curation procedures or quality assurance practices between partitions. Train's 41 empty tables across 4 databases (academic, </w:t>
      </w:r>
      <w:proofErr w:type="spellStart"/>
      <w:r>
        <w:t>imdb</w:t>
      </w:r>
      <w:proofErr w:type="spellEnd"/>
      <w:r>
        <w:t>, yelp, restaurants) represent another quality issue absent from Test and Dev, potentially confusing models during training when queries successfully execute against empty tables without producing semantic errors visible during training.</w:t>
      </w:r>
    </w:p>
    <w:p w14:paraId="7DFE97DC" w14:textId="51486C80" w:rsidR="00952910" w:rsidRDefault="00952910" w:rsidP="003236E4">
      <w:pPr>
        <w:spacing w:after="0"/>
        <w:ind w:firstLine="340"/>
        <w:jc w:val="both"/>
      </w:pPr>
      <w:r>
        <w:t xml:space="preserve">Semantic validation results across all three partitions reveal a systematic quality gradient, with correct percentages declining from 70.4% in Test through 64.5% in Dev to 60.0% in Train. This pattern indicates that approximately 30-40% of examples across Spider exhibit some degree of semantic problems, with the largest partition (Train) containing the highest proportion of issues. The clearly incorrect category (174 in Test, 95 in Dev, 865 in Train) totaling 1,134 examples represents cases where both language models independently judged queries as failing to answer their questions, likely indicating genuine annotation errors or implementation bugs requiring manual review and correction. The disputed category (396 in Test, 257 in Dev, 2,249 in Train) totaling 2,902 examples represents ambiguous cases where model disagreement signals potential </w:t>
      </w:r>
      <w:r w:rsidR="00655FB6">
        <w:t>under specification</w:t>
      </w:r>
      <w:r>
        <w:t xml:space="preserve"> in questions, multiple valid interpretations, or subtle semantic issues difficult even for sophisticated models to adjudicate. These cases warrant expert human review to determine true correctness and potentially augment with clarifying information or alternative phrasings. The comprehensive LLM validation across all 11,840 examples provides unprecedented visibility into Spider's </w:t>
      </w:r>
      <w:r>
        <w:lastRenderedPageBreak/>
        <w:t>semantic quality at full scale, identifying 4,036 problematic examples (34.1% of the total dataset) requiring attention.</w:t>
      </w:r>
    </w:p>
    <w:p w14:paraId="2B14D7EC" w14:textId="77777777" w:rsidR="00952910" w:rsidRDefault="00952910" w:rsidP="003236E4">
      <w:pPr>
        <w:spacing w:after="0"/>
        <w:ind w:firstLine="340"/>
        <w:jc w:val="both"/>
      </w:pPr>
      <w:r>
        <w:t>Based on these findings, we propose a prioritized remediation roadmap. Critical priority actions include immediate investigation and repair of sakila_1 and flight_2 databases to eliminate the 40,673 referential integrity violations representing 97% of all integrity problems, systematic correction of the 32 invalid schemas in Train (21.9% of Train databases), 7 invalid schemas in Dev (35% of Dev databases), and 4 invalid schemas in Test (10% of Test databases), manual verification of the 1,134 clearly incorrect queries identified by LLM consensus across all partitions to confirm and correct annotation errors, and expert review of the 2,902 disputed cases to adjudicate true correctness and identify needed clarifications or corrections.</w:t>
      </w:r>
    </w:p>
    <w:p w14:paraId="59AC3C18" w14:textId="77777777" w:rsidR="00952910" w:rsidRDefault="00952910" w:rsidP="003236E4">
      <w:pPr>
        <w:spacing w:after="0"/>
        <w:ind w:firstLine="340"/>
        <w:jc w:val="both"/>
      </w:pPr>
      <w:r>
        <w:t>Recommended (non-critical) improvements include systematic correction of the 34 Foreign Key Type Mismatch errors in Train through database schema modifications, addressing the 41 Foreign Key Target Not Key violations in Train that represent the dominant structural error type, populating the 41 empty tables across 4 Train databases with appropriate data or removing these tables from schemas if intentionally empty, correction of the 368 partially correct queries (52 in Test, 15 in Dev, 301 in Train) identified by LLM analysis, and potential addition of Expert-level queries to Test and Dev partitions given that Train uniquely contains 66 such queries while test/dev evaluation cannot assess model performance at this complexity level.</w:t>
      </w:r>
    </w:p>
    <w:p w14:paraId="3F8A49DF" w14:textId="77777777" w:rsidR="00952910" w:rsidRDefault="00952910" w:rsidP="003236E4">
      <w:pPr>
        <w:spacing w:after="0"/>
        <w:ind w:firstLine="340"/>
        <w:jc w:val="both"/>
      </w:pPr>
      <w:r>
        <w:t>Optional enhancements for production usage (not critical for research purposes) include adding LIMIT clauses to unbounded SELECT queries where semantically appropriate, replacing SELECT * with explicit column lists (particularly in Dev where 36.4% of queries exhibit this pattern), optimizing or rewriting the correlated subqueries appearing in 3.8% of Train queries, and creating an extended Spider variant incorporating modern SQL features (CTEs, recursive CTEs, window functions) absent from the current version.</w:t>
      </w:r>
    </w:p>
    <w:p w14:paraId="5C9F6386" w14:textId="16CA3528" w:rsidR="00952910" w:rsidRDefault="00952910" w:rsidP="003236E4">
      <w:pPr>
        <w:spacing w:after="0"/>
        <w:ind w:firstLine="340"/>
        <w:jc w:val="both"/>
      </w:pPr>
      <w:r>
        <w:t xml:space="preserve">In conclusion, Spider maintains its position as one of the highest-quality publicly available Text-to-SQL benchmarks, with exceptional syntactic and execution quality (100% </w:t>
      </w:r>
      <w:proofErr w:type="spellStart"/>
      <w:r>
        <w:t>parsable</w:t>
      </w:r>
      <w:proofErr w:type="spellEnd"/>
      <w:r>
        <w:t>, 99.97%+ executable) and carefully balanced difficulty distributions across partitions. However, the comprehensive multi-layer validation across all 11,840 examples—including full LLM-based semantic validation—reveals several critical issues: concentrated referential integrity catastrophes (sakila_1 and flight_2 containing 97% of all integrity violations), substantial schema quality heterogeneity (Test 90% valid vs. Dev 65% vs. Train 78.1%), and significant proportions of semantically problematic examples (30% in Test, 35.5% in Dev, 40% in Train). The systematic quality gradient across partitions, where Test consistently outperforms Dev and Train across multiple dimensions, suggests differential curation attention and raises questions about evaluation reliability when models are tuned on lower-quality Dev data. The Test partition emerges as the highest-quality subset suitable for reliable model evaluation, while Train remains critically important for model training despite its quality issues given that it contains 73% of all examples and the only Expert-level queries in the dataset. The remediation priorities outlined above provide a concrete roadmap for dataset maintainers to address the most impactful quality issues while preserving Spider's substantial strengths as a challenging, realistic Text-to-SQL benchmark.</w:t>
      </w:r>
    </w:p>
    <w:p w14:paraId="70982662" w14:textId="77777777" w:rsidR="00952910" w:rsidRDefault="00952910" w:rsidP="00952910">
      <w:pPr>
        <w:pStyle w:val="Heading1"/>
      </w:pPr>
      <w:r>
        <w:lastRenderedPageBreak/>
        <w:t>5 Discussion</w:t>
      </w:r>
    </w:p>
    <w:p w14:paraId="18057DBB" w14:textId="77777777" w:rsidR="00952910" w:rsidRDefault="00952910" w:rsidP="00952910">
      <w:pPr>
        <w:pStyle w:val="Heading2"/>
      </w:pPr>
      <w:r>
        <w:t>5.1 Summary of Findings</w:t>
      </w:r>
    </w:p>
    <w:p w14:paraId="25B539A4" w14:textId="77777777" w:rsidR="00952910" w:rsidRDefault="00952910" w:rsidP="00655FB6">
      <w:pPr>
        <w:jc w:val="both"/>
      </w:pPr>
      <w:r>
        <w:t>Our analysis shows that Spider is syntactically robust and almost perfectly executable, but it is not free of technical and semantic issues. Structural schema problems, especially in a subset of databases, coexist with near-perfect execution success. Semantic validation highlights that a substantial portion of examples exhibit questionable or ambiguous mappings between questions and queries, particularly in the training split.</w:t>
      </w:r>
    </w:p>
    <w:p w14:paraId="3470FFBA" w14:textId="77777777" w:rsidR="00952910" w:rsidRDefault="00952910" w:rsidP="00952910">
      <w:pPr>
        <w:pStyle w:val="Heading2"/>
      </w:pPr>
      <w:r>
        <w:t>5.2 Implications for Benchmark Use</w:t>
      </w:r>
    </w:p>
    <w:p w14:paraId="6E0F506B" w14:textId="74FB8A8E" w:rsidR="00952910" w:rsidRDefault="00952910" w:rsidP="00655FB6">
      <w:pPr>
        <w:spacing w:after="0"/>
        <w:ind w:firstLine="340"/>
        <w:jc w:val="both"/>
      </w:pPr>
      <w:r>
        <w:t xml:space="preserve">For researchers, these findings imply that benchmark scores on Spider should be interpreted with caution. Models might achieve high execution accuracy while being trained and evaluated on data that contains hidden inconsistencies or incorrect supervision. Comparisons across systems can be confounded when model </w:t>
      </w:r>
      <w:r w:rsidR="00655FB6">
        <w:t>behavior</w:t>
      </w:r>
      <w:r>
        <w:t xml:space="preserve"> on problematic examples is difficult to interpret. Our results suggest that the test split is the most reliable for reporting headline numbers, whereas training and development splits may benefit from targeted cleaning before use in fine-tuning.</w:t>
      </w:r>
    </w:p>
    <w:p w14:paraId="5C8D0E82" w14:textId="46C8E8B9" w:rsidR="00952910" w:rsidRDefault="00952910" w:rsidP="00655FB6">
      <w:pPr>
        <w:spacing w:after="0"/>
        <w:ind w:firstLine="340"/>
        <w:jc w:val="both"/>
      </w:pPr>
      <w:r>
        <w:t xml:space="preserve">For dataset maintainers, the </w:t>
      </w:r>
      <w:r w:rsidRPr="00655FB6">
        <w:t>identified</w:t>
      </w:r>
      <w:r>
        <w:t xml:space="preserve"> issues provide a concrete </w:t>
      </w:r>
      <w:r w:rsidR="00655FB6">
        <w:t>prioritized</w:t>
      </w:r>
      <w:r>
        <w:t xml:space="preserve"> roadmap. Addressing the two databases responsible for </w:t>
      </w:r>
      <w:r w:rsidR="00655FB6">
        <w:t>many</w:t>
      </w:r>
      <w:r>
        <w:t xml:space="preserve"> referential integrity violations would substantially improve structural quality. Repairing or removing clearly incorrect and partially correct examples would increase semantic reliability. Finally, extending the benchmark with queries using modern SQL features and more realistic data distributions would better reflect contemporary industrial workloads.</w:t>
      </w:r>
    </w:p>
    <w:p w14:paraId="2A7271D0" w14:textId="77777777" w:rsidR="00952910" w:rsidRDefault="00952910" w:rsidP="00952910">
      <w:pPr>
        <w:pStyle w:val="Heading2"/>
      </w:pPr>
      <w:r>
        <w:t>5.3 Threats to Validity</w:t>
      </w:r>
    </w:p>
    <w:p w14:paraId="0384F136" w14:textId="77777777" w:rsidR="00952910" w:rsidRPr="00F243BF" w:rsidRDefault="00952910" w:rsidP="00655FB6">
      <w:pPr>
        <w:pStyle w:val="NormalWeb"/>
        <w:spacing w:before="0" w:beforeAutospacing="0" w:after="0" w:afterAutospacing="0" w:line="276" w:lineRule="auto"/>
        <w:ind w:firstLine="340"/>
        <w:jc w:val="both"/>
        <w:rPr>
          <w:rFonts w:asciiTheme="minorHAnsi" w:hAnsiTheme="minorHAnsi"/>
          <w:sz w:val="22"/>
          <w:szCs w:val="22"/>
        </w:rPr>
      </w:pPr>
      <w:r w:rsidRPr="00F243BF">
        <w:rPr>
          <w:rFonts w:asciiTheme="minorHAnsi" w:hAnsiTheme="minorHAnsi"/>
          <w:sz w:val="22"/>
          <w:szCs w:val="22"/>
        </w:rPr>
        <w:t>The primary threat to validity in our study is that semantic validation relies on only two large language models as judges. Although we deliberately select models from different providers and require consensus for definitive labels, both models may still share systematic blind spots or biases. Some examples that we flag as incorrect may in fact be acceptable, and some that we mark as correct may contain subtle issues. Our framework supports larger and more diverse LLM committees, but due to budget constraints we limited the experiments in this paper to two models; using additional models could reduce the risk of systematic misclassification.</w:t>
      </w:r>
    </w:p>
    <w:p w14:paraId="1E266462" w14:textId="77777777" w:rsidR="00952910" w:rsidRDefault="00952910" w:rsidP="00655FB6">
      <w:pPr>
        <w:pStyle w:val="NormalWeb"/>
        <w:spacing w:before="0" w:beforeAutospacing="0" w:after="0" w:afterAutospacing="0" w:line="276" w:lineRule="auto"/>
        <w:ind w:firstLine="340"/>
        <w:jc w:val="both"/>
        <w:rPr>
          <w:rFonts w:asciiTheme="minorHAnsi" w:hAnsiTheme="minorHAnsi"/>
          <w:sz w:val="22"/>
          <w:szCs w:val="22"/>
        </w:rPr>
      </w:pPr>
      <w:r w:rsidRPr="00F243BF">
        <w:rPr>
          <w:rFonts w:asciiTheme="minorHAnsi" w:hAnsiTheme="minorHAnsi"/>
          <w:sz w:val="22"/>
          <w:szCs w:val="22"/>
        </w:rPr>
        <w:t xml:space="preserve">A second threat is the limited scope of human verification. Manual inspection was performed only for the </w:t>
      </w:r>
      <w:r w:rsidRPr="00FD16A7">
        <w:rPr>
          <w:rStyle w:val="Strong"/>
          <w:rFonts w:asciiTheme="minorHAnsi" w:hAnsiTheme="minorHAnsi"/>
          <w:b w:val="0"/>
          <w:bCs w:val="0"/>
          <w:sz w:val="22"/>
          <w:szCs w:val="22"/>
        </w:rPr>
        <w:t>Unanswerable</w:t>
      </w:r>
      <w:r w:rsidRPr="00F243BF">
        <w:rPr>
          <w:rFonts w:asciiTheme="minorHAnsi" w:hAnsiTheme="minorHAnsi"/>
          <w:sz w:val="22"/>
          <w:szCs w:val="22"/>
        </w:rPr>
        <w:t xml:space="preserve"> category, which constitutes a small fraction of all examples. While this focus is justified by the fact that Unanswerable cases are the most critical—representing queries where automatic judges are least confident or cannot determine correctness—it means that we have not systematically verified the larger sets of examples labelled as Partially correct, or Incorrect</w:t>
      </w:r>
      <w:r w:rsidRPr="00F243BF">
        <w:rPr>
          <w:rFonts w:asciiTheme="minorHAnsi" w:hAnsiTheme="minorHAnsi"/>
          <w:sz w:val="22"/>
          <w:szCs w:val="22"/>
          <w:lang w:val="uk-UA"/>
        </w:rPr>
        <w:t xml:space="preserve"> </w:t>
      </w:r>
      <w:r w:rsidRPr="00F243BF">
        <w:rPr>
          <w:rFonts w:asciiTheme="minorHAnsi" w:hAnsiTheme="minorHAnsi"/>
          <w:sz w:val="22"/>
          <w:szCs w:val="22"/>
          <w:lang w:val="en-GB"/>
        </w:rPr>
        <w:t>and Mixed Decision</w:t>
      </w:r>
      <w:r w:rsidRPr="00F243BF">
        <w:rPr>
          <w:rFonts w:asciiTheme="minorHAnsi" w:hAnsiTheme="minorHAnsi"/>
          <w:sz w:val="22"/>
          <w:szCs w:val="22"/>
        </w:rPr>
        <w:t>. Future work with broader human annotation would be necessary to fully calibrate and refine the semantic quality estimates reported here.</w:t>
      </w:r>
    </w:p>
    <w:p w14:paraId="05C2C5D8" w14:textId="77777777" w:rsidR="003236E4" w:rsidRPr="00F243BF" w:rsidRDefault="003236E4" w:rsidP="006B6FDC">
      <w:pPr>
        <w:pStyle w:val="NormalWeb"/>
        <w:spacing w:before="0" w:beforeAutospacing="0" w:after="0" w:afterAutospacing="0" w:line="276" w:lineRule="auto"/>
        <w:ind w:firstLine="340"/>
        <w:rPr>
          <w:rFonts w:asciiTheme="minorHAnsi" w:hAnsiTheme="minorHAnsi"/>
          <w:sz w:val="22"/>
          <w:szCs w:val="22"/>
        </w:rPr>
      </w:pPr>
    </w:p>
    <w:p w14:paraId="41E5CD2E" w14:textId="45194B8E" w:rsidR="00952910" w:rsidRDefault="00952910" w:rsidP="006B6FDC">
      <w:pPr>
        <w:pStyle w:val="Heading1"/>
        <w:spacing w:before="0"/>
        <w:jc w:val="both"/>
      </w:pPr>
      <w:r>
        <w:lastRenderedPageBreak/>
        <w:t>6</w:t>
      </w:r>
      <w:r w:rsidR="006B6FDC">
        <w:t>.</w:t>
      </w:r>
      <w:r>
        <w:t xml:space="preserve"> Conclusions and Further Work</w:t>
      </w:r>
    </w:p>
    <w:p w14:paraId="27FD45CA" w14:textId="50E33DF9" w:rsidR="00952910" w:rsidRDefault="00952910" w:rsidP="006B6FDC">
      <w:pPr>
        <w:spacing w:after="0"/>
        <w:ind w:firstLine="340"/>
        <w:jc w:val="both"/>
      </w:pPr>
      <w:r>
        <w:t xml:space="preserve">We presented text2sql-pipeline, </w:t>
      </w:r>
      <w:r w:rsidR="006B6FDC">
        <w:rPr>
          <w:lang w:val="en-GB"/>
        </w:rPr>
        <w:t>the first</w:t>
      </w:r>
      <w:r>
        <w:t xml:space="preserve"> open-source framework for comprehensive Text-to-SQL dataset </w:t>
      </w:r>
      <w:r w:rsidR="00655FB6">
        <w:t>validation and</w:t>
      </w:r>
      <w:r>
        <w:t xml:space="preserve"> applied it to a full-scale audit of the Spider 1.0 benchmark. The framework integrates schema checks, syntactic analysis, execution testing, antipattern detection and LLM-based semantic validation within a streaming architecture that scales to large datasets while preserving constant memory usage.</w:t>
      </w:r>
    </w:p>
    <w:p w14:paraId="3A6B1553" w14:textId="77777777" w:rsidR="00952910" w:rsidRDefault="00952910" w:rsidP="006B6FDC">
      <w:pPr>
        <w:spacing w:after="0"/>
        <w:ind w:firstLine="340"/>
        <w:jc w:val="both"/>
      </w:pPr>
      <w:r>
        <w:t>Our empirical study of all three Spider partitions shows that, although the benchmark is syntactically well-formed and almost perfectly executable, it contains non-trivial structural defects and a significant proportion of semantically problematic examples. Quality differences between partitions are systematic: the test split consistently exhibits higher structural and semantic quality than the dev and train splits. These findings highlight the need for more systematic dataset curation in Text-to-SQL research.</w:t>
      </w:r>
    </w:p>
    <w:p w14:paraId="391DDACF" w14:textId="77777777" w:rsidR="00952910" w:rsidRDefault="00952910" w:rsidP="006B6FDC">
      <w:pPr>
        <w:spacing w:after="0"/>
        <w:ind w:firstLine="340"/>
        <w:jc w:val="both"/>
      </w:pPr>
      <w:r>
        <w:t>Future work will extend the framework in several directions. First, we plan to add automatic repair suggestions for selected classes of problems, such as foreign key mismatches or simple semantic discrepancies, enabling semi-automatic dataset cleaning. Second, we aim to apply the framework to other benchmarks and large synthetic corpora to study how dataset origin (human-curated vs. generated) correlates with quality. Third, we intend to integrate validation checks into model training loops, allowing practitioners to dynamically filter or reweight training examples based on quality indicators.</w:t>
      </w:r>
    </w:p>
    <w:p w14:paraId="495FFFE1" w14:textId="77777777" w:rsidR="00952910" w:rsidRDefault="00952910" w:rsidP="006B6FDC">
      <w:pPr>
        <w:spacing w:after="0"/>
        <w:ind w:firstLine="340"/>
        <w:jc w:val="both"/>
      </w:pPr>
      <w:r>
        <w:t>We hope that making dataset validation tools widely available will encourage the community to treat benchmark quality as a first-class research concern, ultimately leading to more reliable Text-to-SQL systems and more meaningful empirical evidence.</w:t>
      </w:r>
    </w:p>
    <w:p w14:paraId="02E83BED" w14:textId="77777777" w:rsidR="00952910" w:rsidRDefault="00952910" w:rsidP="00952910">
      <w:pPr>
        <w:pStyle w:val="Heading1"/>
      </w:pPr>
      <w:r>
        <w:t>Acknowledgements</w:t>
      </w:r>
    </w:p>
    <w:p w14:paraId="627B26A8" w14:textId="77777777" w:rsidR="00E00B2C" w:rsidRDefault="00E00B2C" w:rsidP="00E00B2C">
      <w:pPr>
        <w:autoSpaceDE w:val="0"/>
        <w:autoSpaceDN w:val="0"/>
        <w:adjustRightInd w:val="0"/>
        <w:spacing w:after="0" w:line="240" w:lineRule="auto"/>
        <w:rPr>
          <w:rFonts w:ascii="Helvetica" w:hAnsi="Helvetica" w:cs="Helvetica"/>
          <w:color w:val="000000"/>
          <w:sz w:val="29"/>
          <w:szCs w:val="29"/>
          <w:lang w:val="en-GB"/>
        </w:rPr>
      </w:pPr>
      <w:r>
        <w:rPr>
          <w:rFonts w:ascii="Times-Roman" w:hAnsi="Times-Roman" w:cs="Times-Roman"/>
          <w:sz w:val="24"/>
          <w:szCs w:val="24"/>
          <w:lang w:val="en-GB"/>
        </w:rPr>
        <w:t xml:space="preserve">The authors gratefully acknowledge the financial support of </w:t>
      </w:r>
      <w:proofErr w:type="spellStart"/>
      <w:r>
        <w:rPr>
          <w:rFonts w:ascii="Times-Roman" w:hAnsi="Times-Roman" w:cs="Times-Roman"/>
          <w:sz w:val="24"/>
          <w:szCs w:val="24"/>
          <w:lang w:val="en-GB"/>
        </w:rPr>
        <w:t>Intellias</w:t>
      </w:r>
      <w:proofErr w:type="spellEnd"/>
      <w:r>
        <w:rPr>
          <w:rFonts w:ascii="Times-Roman" w:hAnsi="Times-Roman" w:cs="Times-Roman"/>
          <w:sz w:val="24"/>
          <w:szCs w:val="24"/>
          <w:lang w:val="en-GB"/>
        </w:rPr>
        <w:t>, which enabled the use of frontier large language models in this work.</w:t>
      </w:r>
    </w:p>
    <w:p w14:paraId="6257A25D" w14:textId="77777777" w:rsidR="00952910" w:rsidRDefault="00952910" w:rsidP="00952910">
      <w:pPr>
        <w:pStyle w:val="Heading1"/>
      </w:pPr>
      <w:proofErr w:type="spellStart"/>
      <w:r>
        <w:t>CRediT</w:t>
      </w:r>
      <w:proofErr w:type="spellEnd"/>
      <w:r>
        <w:t xml:space="preserve"> authorship contribution statement</w:t>
      </w:r>
    </w:p>
    <w:p w14:paraId="56FCAD5D" w14:textId="7176538A" w:rsidR="00952910" w:rsidRDefault="00952910" w:rsidP="00952910">
      <w:r>
        <w:t>Volodymyr Sabadosh: Conceptualization, Software</w:t>
      </w:r>
      <w:r w:rsidR="00E00B2C">
        <w:t xml:space="preserve"> Design</w:t>
      </w:r>
      <w:r>
        <w:t>, Data curation, Formal analysis, Methodology, Investigation, Visualization, Writing –</w:t>
      </w:r>
      <w:r w:rsidR="00E00B2C">
        <w:t xml:space="preserve"> </w:t>
      </w:r>
      <w:r>
        <w:t>original draft, Writing – review and editing.</w:t>
      </w:r>
    </w:p>
    <w:p w14:paraId="3693B1FC" w14:textId="77777777" w:rsidR="00952910" w:rsidRDefault="00952910" w:rsidP="00952910">
      <w:pPr>
        <w:pStyle w:val="Heading1"/>
      </w:pPr>
      <w:r>
        <w:t>Declaration of Generative AI and AI-assisted technologies in the writing process</w:t>
      </w:r>
    </w:p>
    <w:p w14:paraId="5B1FEB49" w14:textId="77777777" w:rsidR="00952910" w:rsidRDefault="00952910" w:rsidP="00952910">
      <w:r>
        <w:t>During the preparation of this work, the author used ChatGPT (OpenAI) to improve the grammar, clarity and structure of the manuscript. After using this tool, the author carefully checked and edited the content and takes full responsibility for the final version of the paper.</w:t>
      </w:r>
    </w:p>
    <w:p w14:paraId="72922815" w14:textId="77777777" w:rsidR="00952910" w:rsidRDefault="00952910" w:rsidP="00952910">
      <w:pPr>
        <w:pStyle w:val="Heading1"/>
      </w:pPr>
      <w:r>
        <w:lastRenderedPageBreak/>
        <w:t>Declaration of competing interest</w:t>
      </w:r>
    </w:p>
    <w:p w14:paraId="6C18A24A" w14:textId="77777777" w:rsidR="00952910" w:rsidRDefault="00952910" w:rsidP="00952910">
      <w:r>
        <w:t>The author declares that there are no known competing financial interests or personal relationships that could have appeared to influence the work reported in this paper.</w:t>
      </w:r>
    </w:p>
    <w:p w14:paraId="6C787B1A" w14:textId="77777777" w:rsidR="0073686F" w:rsidRDefault="00952910" w:rsidP="00DD794E">
      <w:pPr>
        <w:pStyle w:val="Heading1"/>
        <w:spacing w:before="0"/>
      </w:pPr>
      <w:r>
        <w:t>Data availability</w:t>
      </w:r>
    </w:p>
    <w:p w14:paraId="35082057" w14:textId="03DDD7CC" w:rsidR="00DD794E" w:rsidRPr="00DD794E" w:rsidRDefault="00DD794E" w:rsidP="00DD794E">
      <w:pPr>
        <w:pStyle w:val="Heading1"/>
        <w:spacing w:before="0"/>
        <w:jc w:val="both"/>
        <w:rPr>
          <w:rFonts w:asciiTheme="minorHAnsi" w:hAnsiTheme="minorHAnsi" w:cs="Times-Roman"/>
          <w:b w:val="0"/>
          <w:bCs w:val="0"/>
          <w:color w:val="000000" w:themeColor="text1"/>
          <w:sz w:val="22"/>
          <w:szCs w:val="22"/>
          <w:lang w:val="en-GB"/>
        </w:rPr>
      </w:pPr>
      <w:r w:rsidRPr="00DD794E">
        <w:rPr>
          <w:rFonts w:asciiTheme="minorHAnsi" w:hAnsiTheme="minorHAnsi" w:cs="Times-Roman"/>
          <w:b w:val="0"/>
          <w:bCs w:val="0"/>
          <w:color w:val="000000" w:themeColor="text1"/>
          <w:sz w:val="22"/>
          <w:szCs w:val="22"/>
          <w:lang w:val="en-GB"/>
        </w:rPr>
        <w:t xml:space="preserve">The developed Text-to-SQL analysis tool is available as open-source software on GitHub at </w:t>
      </w:r>
      <w:hyperlink r:id="rId16" w:history="1">
        <w:r w:rsidRPr="00DD794E">
          <w:rPr>
            <w:rFonts w:asciiTheme="minorHAnsi" w:hAnsiTheme="minorHAnsi" w:cs="Times-Roman"/>
            <w:b w:val="0"/>
            <w:bCs w:val="0"/>
            <w:color w:val="000000" w:themeColor="text1"/>
            <w:sz w:val="22"/>
            <w:szCs w:val="22"/>
            <w:u w:val="single" w:color="0000E9"/>
            <w:lang w:val="en-GB"/>
          </w:rPr>
          <w:t>https://github.com/vsabadosh/text2sql-dataset-analyzer</w:t>
        </w:r>
      </w:hyperlink>
      <w:r w:rsidRPr="00DD794E">
        <w:rPr>
          <w:rFonts w:asciiTheme="minorHAnsi" w:hAnsiTheme="minorHAnsi" w:cs="Times-Roman"/>
          <w:b w:val="0"/>
          <w:bCs w:val="0"/>
          <w:color w:val="000000" w:themeColor="text1"/>
          <w:sz w:val="22"/>
          <w:szCs w:val="22"/>
          <w:lang w:val="en-GB"/>
        </w:rPr>
        <w:t>. The repository contains all con</w:t>
      </w:r>
      <w:r>
        <w:rPr>
          <w:rFonts w:asciiTheme="minorHAnsi" w:hAnsiTheme="minorHAnsi" w:cs="Times-Roman"/>
          <w:b w:val="0"/>
          <w:bCs w:val="0"/>
          <w:color w:val="000000" w:themeColor="text1"/>
          <w:sz w:val="22"/>
          <w:szCs w:val="22"/>
          <w:lang w:val="en-GB"/>
        </w:rPr>
        <w:t>-</w:t>
      </w:r>
      <w:r w:rsidRPr="00DD794E">
        <w:rPr>
          <w:rFonts w:asciiTheme="minorHAnsi" w:hAnsiTheme="minorHAnsi" w:cs="Times-Roman"/>
          <w:b w:val="0"/>
          <w:bCs w:val="0"/>
          <w:color w:val="000000" w:themeColor="text1"/>
          <w:sz w:val="22"/>
          <w:szCs w:val="22"/>
          <w:lang w:val="en-GB"/>
        </w:rPr>
        <w:t>figuration files, scripts, precomputed metrics, and generated reports for the Spider 1.0 dataset. The underlying Spider 1.0 dataset is publicly available from the original authors.</w:t>
      </w:r>
    </w:p>
    <w:p w14:paraId="6F67134B" w14:textId="508FBB0F" w:rsidR="00952910" w:rsidRDefault="00952910" w:rsidP="00952910">
      <w:pPr>
        <w:pStyle w:val="Heading1"/>
      </w:pPr>
      <w:r>
        <w:t>Funding</w:t>
      </w:r>
    </w:p>
    <w:p w14:paraId="605C17DC" w14:textId="77777777" w:rsidR="00952910" w:rsidRDefault="00952910" w:rsidP="00952910">
      <w:r>
        <w:t>This research did not receive any specific grant from funding agencies in the public, commercial or not-for-profit sectors.</w:t>
      </w:r>
    </w:p>
    <w:p w14:paraId="480C3740" w14:textId="77777777" w:rsidR="00952910" w:rsidRDefault="00952910" w:rsidP="00952910">
      <w:pPr>
        <w:pStyle w:val="Heading1"/>
      </w:pPr>
      <w:r>
        <w:t>References</w:t>
      </w:r>
    </w:p>
    <w:p w14:paraId="73FD5C8D" w14:textId="5D302423" w:rsidR="00143A2A" w:rsidRPr="00143A2A" w:rsidRDefault="00143A2A" w:rsidP="00143A2A">
      <w:r>
        <w:t>TODO:</w:t>
      </w:r>
    </w:p>
    <w:p w14:paraId="17B07469" w14:textId="77777777" w:rsidR="00952910" w:rsidRDefault="00952910" w:rsidP="00952910">
      <w:r>
        <w:t xml:space="preserve">Please convert your existing reference list to the journal’s </w:t>
      </w:r>
      <w:proofErr w:type="spellStart"/>
      <w:r>
        <w:t>BibTeX</w:t>
      </w:r>
      <w:proofErr w:type="spellEnd"/>
      <w:r>
        <w:t>-based LaTeX style when preparing the final submission. All cited publications with an assigned DOI should include the DOI.</w:t>
      </w:r>
    </w:p>
    <w:p w14:paraId="41BDCC0C" w14:textId="77777777" w:rsidR="006B0352" w:rsidRDefault="006B0352" w:rsidP="006B0352">
      <w:pPr>
        <w:pStyle w:val="NormalWeb"/>
        <w:numPr>
          <w:ilvl w:val="0"/>
          <w:numId w:val="15"/>
        </w:numPr>
        <w:jc w:val="both"/>
      </w:pPr>
      <w:r>
        <w:t xml:space="preserve">Fürst J.; Kosten C.; Nooralahzadeh F.; Zhang Y.; Stockinger K. </w:t>
      </w:r>
      <w:r>
        <w:rPr>
          <w:rStyle w:val="Strong"/>
          <w:rFonts w:eastAsiaTheme="majorEastAsia"/>
        </w:rPr>
        <w:t>Evaluating the Data Model Robustness of Text-to-SQL Systems Based on Real User Queries</w:t>
      </w:r>
      <w:r>
        <w:t xml:space="preserve"> [Електронний ресурс]. – arXiv:2402.08349, 2024. – DOI: 10.48550/arXiv.2402.08349. – Режим доступу: </w:t>
      </w:r>
      <w:r>
        <w:fldChar w:fldCharType="begin"/>
      </w:r>
      <w:r>
        <w:instrText>HYPERLINK "https://arxiv.org/abs/2402.08349?utm_source=chatgpt.com" \t "_new"</w:instrText>
      </w:r>
      <w:r>
        <w:fldChar w:fldCharType="separate"/>
      </w:r>
      <w:r>
        <w:rPr>
          <w:rStyle w:val="Hyperlink"/>
          <w:rFonts w:eastAsiaTheme="majorEastAsia"/>
        </w:rPr>
        <w:t>https://arxiv.org/abs/2402.08349</w:t>
      </w:r>
      <w:r>
        <w:fldChar w:fldCharType="end"/>
      </w:r>
      <w:r>
        <w:t xml:space="preserve"> (дата звернення: 08.11.2025). </w:t>
      </w:r>
      <w:r>
        <w:fldChar w:fldCharType="begin"/>
      </w:r>
      <w:r>
        <w:instrText>HYPERLINK "https://arxiv.org/abs/2402.08349" \t "_blank"</w:instrText>
      </w:r>
      <w:r>
        <w:fldChar w:fldCharType="separate"/>
      </w:r>
      <w:r>
        <w:rPr>
          <w:rStyle w:val="max-w-15ch"/>
          <w:color w:val="0000FF"/>
          <w:u w:val="single"/>
        </w:rPr>
        <w:t>arXiv</w:t>
      </w:r>
      <w:r>
        <w:fldChar w:fldCharType="end"/>
      </w:r>
    </w:p>
    <w:p w14:paraId="2949B443" w14:textId="77777777" w:rsidR="006B0352" w:rsidRPr="00AD4AA8" w:rsidRDefault="006B0352" w:rsidP="006B0352">
      <w:pPr>
        <w:pStyle w:val="NormalWeb"/>
        <w:numPr>
          <w:ilvl w:val="0"/>
          <w:numId w:val="15"/>
        </w:numPr>
        <w:jc w:val="both"/>
        <w:rPr>
          <w:rStyle w:val="ms-1"/>
        </w:rPr>
      </w:pPr>
      <w:r>
        <w:t xml:space="preserve">Shi L.; Tang Z.; Zhang N.; Zhang X.; Yang Z. </w:t>
      </w:r>
      <w:r>
        <w:rPr>
          <w:rStyle w:val="Strong"/>
          <w:rFonts w:eastAsiaTheme="majorEastAsia"/>
        </w:rPr>
        <w:t>A Survey on Employing Large Language Models for Text-to-SQL Tasks</w:t>
      </w:r>
      <w:r>
        <w:t xml:space="preserve"> [Електронний ресурс]. – arXiv:2407.15186, 2025. – DOI: 10.48550/arXiv.2407.15186; пов’язаний DOI видання: 10.1145/3737873. – Режим доступу: </w:t>
      </w:r>
      <w:r>
        <w:fldChar w:fldCharType="begin"/>
      </w:r>
      <w:r>
        <w:instrText>HYPERLINK "https://arxiv.org/abs/2407.15186?utm_source=chatgpt.com" \t "_new"</w:instrText>
      </w:r>
      <w:r>
        <w:fldChar w:fldCharType="separate"/>
      </w:r>
      <w:r>
        <w:rPr>
          <w:rStyle w:val="Hyperlink"/>
          <w:rFonts w:eastAsiaTheme="majorEastAsia"/>
        </w:rPr>
        <w:t>https://arxiv.org/abs/2407.15186</w:t>
      </w:r>
      <w:r>
        <w:fldChar w:fldCharType="end"/>
      </w:r>
      <w:r>
        <w:t xml:space="preserve"> (дата звернення: 08.11.2025). </w:t>
      </w:r>
      <w:r>
        <w:fldChar w:fldCharType="begin"/>
      </w:r>
      <w:r>
        <w:instrText>HYPERLINK "https://arxiv.org/abs/2407.15186" \t "_blank"</w:instrText>
      </w:r>
      <w:r>
        <w:fldChar w:fldCharType="separate"/>
      </w:r>
      <w:r>
        <w:rPr>
          <w:rStyle w:val="max-w-15ch"/>
          <w:color w:val="0000FF"/>
          <w:u w:val="single"/>
        </w:rPr>
        <w:t>arXiv</w:t>
      </w:r>
      <w:r>
        <w:fldChar w:fldCharType="end"/>
      </w:r>
    </w:p>
    <w:p w14:paraId="0B954842" w14:textId="77777777" w:rsidR="006B0352" w:rsidRPr="00E20F10" w:rsidRDefault="006B0352" w:rsidP="006B0352">
      <w:pPr>
        <w:pStyle w:val="ListParagraph"/>
        <w:numPr>
          <w:ilvl w:val="0"/>
          <w:numId w:val="15"/>
        </w:numPr>
        <w:spacing w:before="100" w:beforeAutospacing="1" w:after="100" w:afterAutospacing="1" w:line="240" w:lineRule="auto"/>
        <w:jc w:val="both"/>
      </w:pPr>
      <w:r w:rsidRPr="00C620F0">
        <w:t xml:space="preserve">D. Gao, H. Wang, Y. Li, X. Sun, Y. Qian, B. Ding, and J. Zhou, “Text-to-SQL Empowered by Large Language Models: A Benchmark Evaluation,” </w:t>
      </w:r>
      <w:proofErr w:type="spellStart"/>
      <w:r w:rsidRPr="00AD4AA8">
        <w:rPr>
          <w:i/>
          <w:iCs/>
        </w:rPr>
        <w:t>arXiv</w:t>
      </w:r>
      <w:proofErr w:type="spellEnd"/>
      <w:r w:rsidRPr="00C620F0">
        <w:t xml:space="preserve">, 2308.15363, 2023. doi:10.48550/arXiv.2308.15363. [Online]. Available: </w:t>
      </w:r>
      <w:hyperlink r:id="rId17" w:tgtFrame="_new" w:history="1">
        <w:r w:rsidRPr="00AD4AA8">
          <w:rPr>
            <w:color w:val="0000FF"/>
            <w:u w:val="single"/>
          </w:rPr>
          <w:t>https://arxiv.org/abs/2308.15363</w:t>
        </w:r>
      </w:hyperlink>
      <w:r w:rsidRPr="00C620F0">
        <w:t>. Accessed: Nov. 8, 2025.</w:t>
      </w:r>
    </w:p>
    <w:p w14:paraId="7901BE40" w14:textId="77777777" w:rsidR="006B0352" w:rsidRPr="00E20F10" w:rsidRDefault="006B0352" w:rsidP="006B0352">
      <w:pPr>
        <w:pStyle w:val="ListParagraph"/>
        <w:numPr>
          <w:ilvl w:val="0"/>
          <w:numId w:val="15"/>
        </w:numPr>
        <w:spacing w:before="100" w:beforeAutospacing="1" w:after="100" w:afterAutospacing="1" w:line="240" w:lineRule="auto"/>
        <w:jc w:val="both"/>
      </w:pPr>
      <w:r w:rsidRPr="00E20F10">
        <w:rPr>
          <w:b/>
          <w:bCs/>
        </w:rPr>
        <w:t>Spider 1.0 — Leaderboard</w:t>
      </w:r>
      <w:r w:rsidRPr="00E20F10">
        <w:t xml:space="preserve"> (Yale LILY Group). [Online]. Available: </w:t>
      </w:r>
      <w:hyperlink r:id="rId18" w:tgtFrame="_new" w:history="1">
        <w:r w:rsidRPr="00E20F10">
          <w:rPr>
            <w:color w:val="0000FF"/>
            <w:u w:val="single"/>
          </w:rPr>
          <w:t>https://yale-lily.github.io/spider</w:t>
        </w:r>
      </w:hyperlink>
      <w:r w:rsidRPr="00C620F0">
        <w:t>. Accessed: Nov. 8, 2025.</w:t>
      </w:r>
    </w:p>
    <w:p w14:paraId="52EC98E1" w14:textId="77777777" w:rsidR="006B0352" w:rsidRDefault="006B0352" w:rsidP="006B0352">
      <w:pPr>
        <w:pStyle w:val="NormalWeb"/>
        <w:numPr>
          <w:ilvl w:val="0"/>
          <w:numId w:val="15"/>
        </w:numPr>
        <w:jc w:val="both"/>
      </w:pPr>
      <w:r w:rsidRPr="00C620F0">
        <w:t xml:space="preserve">V. Shkapenyuk, D. Srivastava, T. Johnson, and P. Ghane, “Automatic Metadata Extraction for Text-to-SQL,” </w:t>
      </w:r>
      <w:r w:rsidRPr="00AD4AA8">
        <w:rPr>
          <w:i/>
          <w:iCs/>
        </w:rPr>
        <w:t>arXiv</w:t>
      </w:r>
      <w:r w:rsidRPr="00C620F0">
        <w:t xml:space="preserve">, 2505.19988, 2025. doi:10.48550/arXiv.2505.19988. [Online]. Available: </w:t>
      </w:r>
      <w:hyperlink r:id="rId19" w:tgtFrame="_new" w:history="1">
        <w:r w:rsidRPr="00AD4AA8">
          <w:rPr>
            <w:color w:val="0000FF"/>
            <w:u w:val="single"/>
          </w:rPr>
          <w:t>https://arxiv.org/abs/2505.19988</w:t>
        </w:r>
      </w:hyperlink>
      <w:r w:rsidRPr="00C620F0">
        <w:t>. Accessed: Nov. 8, 2025.</w:t>
      </w:r>
    </w:p>
    <w:p w14:paraId="59B1E4B3" w14:textId="77777777" w:rsidR="006B0352" w:rsidRDefault="006B0352" w:rsidP="006B0352">
      <w:pPr>
        <w:pStyle w:val="NormalWeb"/>
        <w:numPr>
          <w:ilvl w:val="0"/>
          <w:numId w:val="15"/>
        </w:numPr>
        <w:jc w:val="both"/>
      </w:pPr>
      <w:r w:rsidRPr="00E20F10">
        <w:rPr>
          <w:b/>
          <w:bCs/>
        </w:rPr>
        <w:t>BIRD — Leaderboard.</w:t>
      </w:r>
      <w:r w:rsidRPr="00C620F0">
        <w:t xml:space="preserve"> [Online]. Available: </w:t>
      </w:r>
      <w:hyperlink r:id="rId20" w:tgtFrame="_new" w:history="1">
        <w:r w:rsidRPr="00E20F10">
          <w:rPr>
            <w:color w:val="0000FF"/>
            <w:u w:val="single"/>
          </w:rPr>
          <w:t>https://bird-bench.github.io/</w:t>
        </w:r>
      </w:hyperlink>
      <w:r w:rsidRPr="00C620F0">
        <w:t>. Accessed:</w:t>
      </w:r>
      <w:r>
        <w:t xml:space="preserve"> </w:t>
      </w:r>
      <w:r w:rsidRPr="00C620F0">
        <w:t>Nov. 8, 2025.</w:t>
      </w:r>
    </w:p>
    <w:p w14:paraId="189F95A0" w14:textId="77777777" w:rsidR="006B0352" w:rsidRPr="00E20F10" w:rsidRDefault="006B0352" w:rsidP="006B0352">
      <w:pPr>
        <w:pStyle w:val="NormalWeb"/>
        <w:numPr>
          <w:ilvl w:val="0"/>
          <w:numId w:val="15"/>
        </w:numPr>
        <w:jc w:val="both"/>
      </w:pPr>
      <w:r>
        <w:lastRenderedPageBreak/>
        <w:t xml:space="preserve">Yu T.; Zhang R.; Yang K.; Yasunaga M.; Wang D.; Li Z.; Ma J.; Li I.; Yao Q.; Roman S.; Zhang Z.; Radev D. </w:t>
      </w:r>
      <w:r>
        <w:rPr>
          <w:rStyle w:val="Strong"/>
          <w:rFonts w:eastAsiaTheme="majorEastAsia"/>
        </w:rPr>
        <w:t>Spider: A Large-Scale Human-Labeled Dataset for Complex and Cross-Domain Semantic Parsing and Text-to-SQL Task</w:t>
      </w:r>
      <w:r>
        <w:t xml:space="preserve"> [Електронний ресурс] // </w:t>
      </w:r>
      <w:r>
        <w:rPr>
          <w:rStyle w:val="Emphasis"/>
          <w:rFonts w:eastAsiaTheme="majorEastAsia"/>
        </w:rPr>
        <w:t>Proceedings of the 2018 Conference on Empirical Methods in Natural Language Processing (EMNLP 2018)</w:t>
      </w:r>
      <w:r>
        <w:t xml:space="preserve">. – Brussels, Belgium: Association for Computational Linguistics, 2018. – С. 3911–3921. – DOI: 10.18653/v1/D18-1425. – Режим доступу: </w:t>
      </w:r>
      <w:hyperlink r:id="rId21" w:tgtFrame="_new" w:history="1">
        <w:r>
          <w:rPr>
            <w:rStyle w:val="Hyperlink"/>
            <w:rFonts w:eastAsiaTheme="majorEastAsia"/>
          </w:rPr>
          <w:t>https://aclanthology.org/D18-1425/</w:t>
        </w:r>
      </w:hyperlink>
      <w:r>
        <w:t xml:space="preserve"> (дата звернення: 08.11.2025). </w:t>
      </w:r>
      <w:hyperlink r:id="rId22" w:tgtFrame="_blank" w:history="1">
        <w:r>
          <w:rPr>
            <w:rStyle w:val="max-w-15ch"/>
            <w:rFonts w:eastAsiaTheme="majorEastAsia"/>
            <w:color w:val="0000FF"/>
            <w:u w:val="single"/>
          </w:rPr>
          <w:t>ACL Anthology</w:t>
        </w:r>
        <w:r>
          <w:rPr>
            <w:rStyle w:val="-me-1"/>
          </w:rPr>
          <w:t>+1</w:t>
        </w:r>
      </w:hyperlink>
    </w:p>
    <w:p w14:paraId="3D3BD27F" w14:textId="77777777" w:rsidR="006B0352" w:rsidRPr="00E20F10" w:rsidRDefault="006B0352" w:rsidP="006B0352">
      <w:pPr>
        <w:pStyle w:val="NormalWeb"/>
        <w:numPr>
          <w:ilvl w:val="0"/>
          <w:numId w:val="15"/>
        </w:numPr>
        <w:jc w:val="both"/>
      </w:pPr>
      <w:r>
        <w:t xml:space="preserve">Snowflake Inc., “Using Snowflake Copilot inline,” </w:t>
      </w:r>
      <w:r w:rsidRPr="00E20F10">
        <w:rPr>
          <w:rStyle w:val="Emphasis"/>
          <w:rFonts w:eastAsiaTheme="majorEastAsia"/>
        </w:rPr>
        <w:t>Snowflake Documentation</w:t>
      </w:r>
      <w:r>
        <w:t xml:space="preserve">. [Online]. Available: docs.snowflake.com/en/user-guide/snowflake-copilot-inline. Accessed: Nov. 8, 2025. </w:t>
      </w:r>
      <w:hyperlink r:id="rId23" w:tgtFrame="_blank" w:history="1">
        <w:r w:rsidRPr="00E20F10">
          <w:rPr>
            <w:rStyle w:val="max-w-15ch"/>
            <w:rFonts w:eastAsiaTheme="majorEastAsia"/>
            <w:color w:val="0000FF"/>
            <w:u w:val="single"/>
          </w:rPr>
          <w:t>Snowflake Documentation</w:t>
        </w:r>
      </w:hyperlink>
      <w:r w:rsidRPr="00E20F10">
        <w:rPr>
          <w:rStyle w:val="ms-1"/>
          <w:rFonts w:eastAsiaTheme="majorEastAsia"/>
          <w:lang w:val="uk-UA"/>
        </w:rPr>
        <w:t>.</w:t>
      </w:r>
    </w:p>
    <w:p w14:paraId="3B0734E5" w14:textId="77777777" w:rsidR="006B0352" w:rsidRPr="00E20F10" w:rsidRDefault="006B0352" w:rsidP="006B0352">
      <w:pPr>
        <w:pStyle w:val="NormalWeb"/>
        <w:numPr>
          <w:ilvl w:val="0"/>
          <w:numId w:val="15"/>
        </w:numPr>
        <w:jc w:val="both"/>
      </w:pPr>
      <w:r>
        <w:t xml:space="preserve">Microsoft, “What is an AI/BI Genie space,” </w:t>
      </w:r>
      <w:r w:rsidRPr="00E20F10">
        <w:rPr>
          <w:rStyle w:val="Emphasis"/>
          <w:rFonts w:eastAsiaTheme="majorEastAsia"/>
        </w:rPr>
        <w:t>Azure Databricks Documentation</w:t>
      </w:r>
      <w:r>
        <w:t xml:space="preserve">. [Online]. Available: learn.microsoft.com/en-us/azure/databricks/genie/. Accessed: Nov. 8, 2025. </w:t>
      </w:r>
      <w:hyperlink r:id="rId24" w:tgtFrame="_blank" w:history="1">
        <w:r w:rsidRPr="00E20F10">
          <w:rPr>
            <w:rStyle w:val="max-w-15ch"/>
            <w:rFonts w:eastAsiaTheme="majorEastAsia"/>
            <w:color w:val="0000FF"/>
            <w:u w:val="single"/>
          </w:rPr>
          <w:t>Microsoft Learn</w:t>
        </w:r>
      </w:hyperlink>
      <w:r w:rsidRPr="00E20F10">
        <w:rPr>
          <w:rStyle w:val="ms-1"/>
          <w:rFonts w:eastAsiaTheme="majorEastAsia"/>
          <w:lang w:val="uk-UA"/>
        </w:rPr>
        <w:t>.</w:t>
      </w:r>
    </w:p>
    <w:p w14:paraId="1E84F81B" w14:textId="77777777" w:rsidR="006B0352" w:rsidRPr="002C130F" w:rsidRDefault="006B0352" w:rsidP="006B0352">
      <w:pPr>
        <w:pStyle w:val="NormalWeb"/>
        <w:numPr>
          <w:ilvl w:val="0"/>
          <w:numId w:val="15"/>
        </w:numPr>
        <w:jc w:val="both"/>
        <w:rPr>
          <w:rStyle w:val="ms-1"/>
        </w:rPr>
      </w:pPr>
      <w:r>
        <w:t xml:space="preserve">Microsoft, “Copilot in Fabric in the SQL database workload,” </w:t>
      </w:r>
      <w:r w:rsidRPr="00E20F10">
        <w:rPr>
          <w:rStyle w:val="Emphasis"/>
          <w:rFonts w:eastAsiaTheme="majorEastAsia"/>
        </w:rPr>
        <w:t>Microsoft Learn</w:t>
      </w:r>
      <w:r>
        <w:t xml:space="preserve">. [Online]. Available: learn.microsoft.com/en-us/fabric/database/sql/copilot-sql-database. Accessed: Nov. 8, 2025. </w:t>
      </w:r>
      <w:hyperlink r:id="rId25" w:tgtFrame="_blank" w:history="1">
        <w:r w:rsidRPr="00E20F10">
          <w:rPr>
            <w:rStyle w:val="max-w-15ch"/>
            <w:rFonts w:eastAsiaTheme="majorEastAsia"/>
            <w:color w:val="0000FF"/>
            <w:u w:val="single"/>
          </w:rPr>
          <w:t>Microsoft Learn</w:t>
        </w:r>
      </w:hyperlink>
      <w:r w:rsidRPr="00E20F10">
        <w:rPr>
          <w:rStyle w:val="ms-1"/>
          <w:rFonts w:eastAsiaTheme="majorEastAsia"/>
          <w:lang w:val="uk-UA"/>
        </w:rPr>
        <w:t>.</w:t>
      </w:r>
    </w:p>
    <w:p w14:paraId="6E2EDF26" w14:textId="77777777" w:rsidR="006B0352" w:rsidRDefault="006B0352" w:rsidP="006B0352">
      <w:pPr>
        <w:pStyle w:val="NormalWeb"/>
        <w:numPr>
          <w:ilvl w:val="0"/>
          <w:numId w:val="15"/>
        </w:numPr>
        <w:jc w:val="both"/>
      </w:pPr>
      <w:r>
        <w:t xml:space="preserve">Chang, S., Wang, J., Dong, M., Pan, L., Zhu, H., Li, A. H., Lan, W., Zhang, S., Jiang, J., Lilien, J., Ash, S., Wang, W. Y., Wang, Z., Castelli, V., Ng, P., &amp; Xiang, B. (2023). </w:t>
      </w:r>
      <w:r>
        <w:rPr>
          <w:rStyle w:val="Emphasis"/>
          <w:rFonts w:eastAsiaTheme="majorEastAsia"/>
        </w:rPr>
        <w:t>Dr.Spider: A Diagnostic Evaluation Benchmark towards Text-to-SQL Robustness</w:t>
      </w:r>
      <w:r>
        <w:t xml:space="preserve">. In </w:t>
      </w:r>
      <w:r>
        <w:rPr>
          <w:rStyle w:val="Strong"/>
          <w:rFonts w:eastAsiaTheme="majorEastAsia"/>
        </w:rPr>
        <w:t>International Conference on Learning Representations (ICLR 2023)</w:t>
      </w:r>
      <w:r>
        <w:t>. arXiv:2301.08881.</w:t>
      </w:r>
    </w:p>
    <w:p w14:paraId="1733AF9D" w14:textId="77777777" w:rsidR="006B0352" w:rsidRDefault="006B0352" w:rsidP="006B0352">
      <w:pPr>
        <w:pStyle w:val="NormalWeb"/>
        <w:numPr>
          <w:ilvl w:val="0"/>
          <w:numId w:val="15"/>
        </w:numPr>
        <w:jc w:val="both"/>
      </w:pPr>
      <w:r>
        <w:t xml:space="preserve">Yao, Z., Borchmann, Ł., Zhai, B., Zhang, H., He, Y. (2025). </w:t>
      </w:r>
      <w:r>
        <w:rPr>
          <w:rStyle w:val="Strong"/>
          <w:rFonts w:eastAsiaTheme="majorEastAsia"/>
        </w:rPr>
        <w:t>Arctic-Text2SQL-R1: Simple Rewards, Strong Reasoning in Text-to-SQL.</w:t>
      </w:r>
      <w:r>
        <w:t xml:space="preserve"> arXiv:2505.20315 (включає абляції з додаванням Gretel-Synth). Див. також інженерний блог Snowflake із коротким підсумком абляцій.</w:t>
      </w:r>
    </w:p>
    <w:p w14:paraId="34E4E8C9" w14:textId="77777777" w:rsidR="006B0352" w:rsidRDefault="006B0352" w:rsidP="006B0352">
      <w:pPr>
        <w:pStyle w:val="NormalWeb"/>
        <w:numPr>
          <w:ilvl w:val="0"/>
          <w:numId w:val="15"/>
        </w:numPr>
        <w:jc w:val="both"/>
      </w:pPr>
      <w:r>
        <w:t xml:space="preserve"> Victor Zhong, Caiming Xiong, and Richard Socher. "Seq2SQL: Generating Structured Queries from Natural Language Using Reinforcement Learning." In </w:t>
      </w:r>
      <w:r w:rsidRPr="005F78B8">
        <w:rPr>
          <w:rStyle w:val="Emphasis"/>
          <w:rFonts w:eastAsiaTheme="majorEastAsia"/>
        </w:rPr>
        <w:t>Proceedings of the 55th Annual Meeting of the Association for Computational Linguistics (ACL)</w:t>
      </w:r>
      <w:r>
        <w:t>, 2017</w:t>
      </w:r>
    </w:p>
    <w:p w14:paraId="4CC33D30" w14:textId="77777777" w:rsidR="006B0352" w:rsidRPr="00A3699B" w:rsidRDefault="006B0352" w:rsidP="006B0352">
      <w:pPr>
        <w:pStyle w:val="NormalWeb"/>
        <w:numPr>
          <w:ilvl w:val="0"/>
          <w:numId w:val="15"/>
        </w:numPr>
        <w:jc w:val="both"/>
      </w:pPr>
      <w:r>
        <w:t>Jinyang Li, Binyuan Hui, Ge Qu, Jiaxi Yang, Binhua Li, Bowen Li, Bailin Wang, Bowen Qin, Ruiying Geng, Nan Huo, Xuanhe Zhou, and et al. 2023. Can LLM Already Serve as A Database Interface? A BIg Bench for Large-Scale Database Grounded Text-to-SQLs. In Advances in Neural Information Processing Systems 36: Annual Conference on Neural Information Processing Systems 2023, NeurIPS 2023, New Orleans, LA, USA, December 10 - 16, 2023.</w:t>
      </w:r>
    </w:p>
    <w:p w14:paraId="790F2FED" w14:textId="77777777" w:rsidR="006B0352" w:rsidRDefault="006B0352" w:rsidP="006B0352">
      <w:pPr>
        <w:pStyle w:val="NormalWeb"/>
        <w:numPr>
          <w:ilvl w:val="0"/>
          <w:numId w:val="15"/>
        </w:numPr>
        <w:jc w:val="both"/>
      </w:pPr>
      <w:r>
        <w:t xml:space="preserve"> Gretel.ai (2024). </w:t>
      </w:r>
      <w:r>
        <w:rPr>
          <w:rStyle w:val="Strong"/>
          <w:rFonts w:eastAsiaTheme="majorEastAsia"/>
        </w:rPr>
        <w:t>Synthetic Text-to-SQL Dataset (Gretel-Synth).</w:t>
      </w:r>
      <w:r>
        <w:t xml:space="preserve"> Hugging Face dataset card.</w:t>
      </w:r>
    </w:p>
    <w:p w14:paraId="56AEA0F7" w14:textId="77777777" w:rsidR="006B0352" w:rsidRPr="00AC0E12" w:rsidRDefault="006B0352" w:rsidP="006B0352">
      <w:pPr>
        <w:pStyle w:val="NormalWeb"/>
        <w:numPr>
          <w:ilvl w:val="0"/>
          <w:numId w:val="15"/>
        </w:numPr>
        <w:jc w:val="both"/>
      </w:pPr>
      <w:r>
        <w:t xml:space="preserve">H. Li, S. Wu, X. Zhang, X. Huang, J. Zhang, F. Jiang, S. Wang, T. Zhang, J. Chen, R. Shi, H. Chen, and C. Li, “OmniSQL: Synthesizing High-quality Text-to-SQL Data at Scale,” </w:t>
      </w:r>
      <w:r>
        <w:rPr>
          <w:rStyle w:val="Emphasis"/>
          <w:rFonts w:eastAsiaTheme="majorEastAsia"/>
        </w:rPr>
        <w:t>arXiv preprint</w:t>
      </w:r>
      <w:r>
        <w:t xml:space="preserve">, arXiv:2503.02240 </w:t>
      </w:r>
      <m:oMath>
        <m:r>
          <w:rPr>
            <w:rFonts w:ascii="Cambria Math" w:hAnsi="Cambria Math"/>
          </w:rPr>
          <m:t>cs</m:t>
        </m:r>
        <m:r>
          <m:rPr>
            <m:sty m:val="p"/>
          </m:rPr>
          <w:rPr>
            <w:rFonts w:ascii="Cambria Math" w:hAnsi="Cambria Math"/>
          </w:rPr>
          <m:t>.</m:t>
        </m:r>
        <m:r>
          <w:rPr>
            <w:rFonts w:ascii="Cambria Math" w:hAnsi="Cambria Math"/>
          </w:rPr>
          <m:t>CL</m:t>
        </m:r>
      </m:oMath>
      <w:r>
        <w:t xml:space="preserve">, 2025. [Online]. Available: </w:t>
      </w:r>
      <w:hyperlink r:id="rId26" w:tgtFrame="_new" w:history="1">
        <w:r>
          <w:rPr>
            <w:rStyle w:val="Hyperlink"/>
            <w:rFonts w:eastAsiaTheme="majorEastAsia"/>
          </w:rPr>
          <w:t>https://arxiv.org/pdf/2503.02240</w:t>
        </w:r>
      </w:hyperlink>
      <w:r>
        <w:t>. Accessed: Nov. 8, 2025</w:t>
      </w:r>
      <w:r>
        <w:rPr>
          <w:lang w:val="uk-UA"/>
        </w:rPr>
        <w:t>.</w:t>
      </w:r>
    </w:p>
    <w:p w14:paraId="0C300173" w14:textId="3B16875E" w:rsidR="00AC0E12" w:rsidRDefault="00AC0E12" w:rsidP="00AC0E12">
      <w:pPr>
        <w:pStyle w:val="NormalWeb"/>
        <w:numPr>
          <w:ilvl w:val="0"/>
          <w:numId w:val="15"/>
        </w:numPr>
        <w:jc w:val="both"/>
      </w:pPr>
      <w:r>
        <w:t>Xinyu Liu, Shuyu Shen, Boyan Li, Nan Tang, and Yuyu Luo. “NL2SQL-BUGs: A Benchmark for Detecting Semantic Errors in NL2SQL Translation.” In: Proceedings of the 31st ACM SIGKDD Conference on Knowledge Discovery and Data Mining (KDD ’25), vol. 2, ACM, 2025, pp. 5662–5673.  doi:10.1145/3711896.3737427.</w:t>
      </w:r>
    </w:p>
    <w:p w14:paraId="046205F7" w14:textId="77777777" w:rsidR="006B0352" w:rsidRDefault="006B0352" w:rsidP="006B0352">
      <w:pPr>
        <w:pStyle w:val="NormalWeb"/>
        <w:numPr>
          <w:ilvl w:val="0"/>
          <w:numId w:val="15"/>
        </w:numPr>
        <w:jc w:val="both"/>
      </w:pPr>
      <w:r w:rsidRPr="00C620F0">
        <w:lastRenderedPageBreak/>
        <w:t xml:space="preserve">A. Mitsopoulou and G. Koutrika, “Analysis of Text-to-SQL Benchmarks: Limitations, Challenges and Opportunities,” in </w:t>
      </w:r>
      <w:r w:rsidRPr="006C5BC7">
        <w:rPr>
          <w:i/>
          <w:iCs/>
        </w:rPr>
        <w:t>Proc. 28th Int. Conf. on Extending Database Technology (EDBT 2025)</w:t>
      </w:r>
      <w:r w:rsidRPr="00C620F0">
        <w:t xml:space="preserve">, Barcelona, Spain, Mar. 25–28, 2025. [Online]. Available: </w:t>
      </w:r>
      <w:hyperlink r:id="rId27" w:tgtFrame="_new" w:history="1">
        <w:r w:rsidRPr="006C5BC7">
          <w:rPr>
            <w:color w:val="0000FF"/>
            <w:u w:val="single"/>
          </w:rPr>
          <w:t>https://openproceedings.org/2025/conf/edbt/paper-41.pdf</w:t>
        </w:r>
      </w:hyperlink>
      <w:r w:rsidRPr="00C620F0">
        <w:t>. Accessed: Nov. 8, 2025.</w:t>
      </w:r>
    </w:p>
    <w:p w14:paraId="3F8B8D3A" w14:textId="77777777" w:rsidR="006B0352" w:rsidRDefault="006B0352" w:rsidP="006B0352">
      <w:pPr>
        <w:pStyle w:val="NormalWeb"/>
        <w:numPr>
          <w:ilvl w:val="0"/>
          <w:numId w:val="15"/>
        </w:numPr>
      </w:pPr>
      <w:r>
        <w:t>P. Pandey, D. Patel, S. Mandvikar, and N. Kota,</w:t>
      </w:r>
      <w:r>
        <w:br/>
      </w:r>
      <w:r>
        <w:rPr>
          <w:rStyle w:val="Emphasis"/>
          <w:rFonts w:eastAsiaTheme="majorEastAsia"/>
        </w:rPr>
        <w:t>Ensuring Data Accuracy in Text-to-SQL Systems: A Comprehensive Validation Framework.</w:t>
      </w:r>
      <w:r>
        <w:rPr>
          <w:rStyle w:val="Emphasis"/>
          <w:rFonts w:eastAsiaTheme="majorEastAsia"/>
          <w:lang w:val="uk-UA"/>
        </w:rPr>
        <w:t xml:space="preserve"> </w:t>
      </w:r>
      <w:r>
        <w:t>International Journal of Computer Trends and Technology (IJCTT),</w:t>
      </w:r>
      <w:r>
        <w:br/>
        <w:t>vol. 72, no. 12, pp. 17–24, 2024.</w:t>
      </w:r>
      <w:r>
        <w:br/>
        <w:t xml:space="preserve">Available online: </w:t>
      </w:r>
      <w:hyperlink r:id="rId28" w:tgtFrame="_new" w:history="1">
        <w:r>
          <w:rPr>
            <w:rStyle w:val="Hyperlink"/>
            <w:rFonts w:eastAsiaTheme="majorEastAsia"/>
          </w:rPr>
          <w:t>https://www.researchgate.net/publication/387939936</w:t>
        </w:r>
      </w:hyperlink>
      <w:r>
        <w:br/>
        <w:t>(Accessed: Nov. 8, 2025).</w:t>
      </w:r>
    </w:p>
    <w:p w14:paraId="3813C423" w14:textId="2CDFDF33" w:rsidR="006B0352" w:rsidRDefault="006B0352" w:rsidP="006B0352">
      <w:pPr>
        <w:pStyle w:val="NormalWeb"/>
        <w:numPr>
          <w:ilvl w:val="0"/>
          <w:numId w:val="15"/>
        </w:numPr>
      </w:pPr>
      <w:r>
        <w:t xml:space="preserve"> Python Software Foundation. </w:t>
      </w:r>
      <w:r>
        <w:rPr>
          <w:rStyle w:val="Emphasis"/>
        </w:rPr>
        <w:t>Python 3.11 Documentation.</w:t>
      </w:r>
      <w:r>
        <w:t xml:space="preserve"> Available at: docs.python.org/3.11. </w:t>
      </w:r>
      <w:hyperlink r:id="rId29" w:tgtFrame="_blank" w:history="1">
        <w:r>
          <w:rPr>
            <w:rStyle w:val="max-w-15ch"/>
            <w:color w:val="0000FF"/>
            <w:u w:val="single"/>
          </w:rPr>
          <w:t>Python documentation</w:t>
        </w:r>
        <w:r>
          <w:rPr>
            <w:rStyle w:val="-me-1"/>
            <w:rFonts w:eastAsiaTheme="majorEastAsia"/>
            <w:color w:val="0000FF"/>
            <w:u w:val="single"/>
          </w:rPr>
          <w:t>+1</w:t>
        </w:r>
      </w:hyperlink>
    </w:p>
    <w:p w14:paraId="69585611" w14:textId="0E14EBE5" w:rsidR="006B0352" w:rsidRDefault="006B0352" w:rsidP="006B0352">
      <w:pPr>
        <w:pStyle w:val="NormalWeb"/>
        <w:numPr>
          <w:ilvl w:val="0"/>
          <w:numId w:val="15"/>
        </w:numPr>
      </w:pPr>
      <w:r>
        <w:t xml:space="preserve">DuckDB Foundation. </w:t>
      </w:r>
      <w:r>
        <w:rPr>
          <w:rStyle w:val="Emphasis"/>
        </w:rPr>
        <w:t>DuckDB Documentation.</w:t>
      </w:r>
      <w:r>
        <w:t xml:space="preserve"> Available at: duckdb.org/docs/stable. </w:t>
      </w:r>
      <w:hyperlink r:id="rId30" w:tgtFrame="_blank" w:history="1">
        <w:r>
          <w:rPr>
            <w:rStyle w:val="max-w-15ch"/>
            <w:color w:val="0000FF"/>
            <w:u w:val="single"/>
          </w:rPr>
          <w:t>DuckDB</w:t>
        </w:r>
        <w:r>
          <w:rPr>
            <w:rStyle w:val="-me-1"/>
            <w:rFonts w:eastAsiaTheme="majorEastAsia"/>
            <w:color w:val="0000FF"/>
            <w:u w:val="single"/>
          </w:rPr>
          <w:t>+1</w:t>
        </w:r>
      </w:hyperlink>
    </w:p>
    <w:p w14:paraId="7CEAC4D4" w14:textId="671817CD" w:rsidR="006B0352" w:rsidRDefault="006B0352" w:rsidP="006B0352">
      <w:pPr>
        <w:pStyle w:val="NormalWeb"/>
        <w:numPr>
          <w:ilvl w:val="0"/>
          <w:numId w:val="15"/>
        </w:numPr>
      </w:pPr>
      <w:r>
        <w:t xml:space="preserve">Mike Bayer et al. </w:t>
      </w:r>
      <w:r>
        <w:rPr>
          <w:rStyle w:val="Emphasis"/>
        </w:rPr>
        <w:t>SQLAlchemy 2.0 Documentation.</w:t>
      </w:r>
      <w:r>
        <w:t xml:space="preserve"> Available at: docs.sqlalchemy.org. </w:t>
      </w:r>
      <w:hyperlink r:id="rId31" w:tgtFrame="_blank" w:history="1">
        <w:r>
          <w:rPr>
            <w:rStyle w:val="max-w-15ch"/>
            <w:color w:val="0000FF"/>
            <w:u w:val="single"/>
          </w:rPr>
          <w:t>docs.sqlalchemy.org</w:t>
        </w:r>
        <w:r>
          <w:rPr>
            <w:rStyle w:val="-me-1"/>
            <w:rFonts w:eastAsiaTheme="majorEastAsia"/>
            <w:color w:val="0000FF"/>
            <w:u w:val="single"/>
          </w:rPr>
          <w:t>+2</w:t>
        </w:r>
        <w:r>
          <w:rPr>
            <w:rStyle w:val="max-w-15ch"/>
            <w:color w:val="0000FF"/>
            <w:u w:val="single"/>
          </w:rPr>
          <w:t>docs.sqlalchemy.org</w:t>
        </w:r>
        <w:r>
          <w:rPr>
            <w:rStyle w:val="-me-1"/>
            <w:rFonts w:eastAsiaTheme="majorEastAsia"/>
            <w:color w:val="0000FF"/>
            <w:u w:val="single"/>
          </w:rPr>
          <w:t>+2</w:t>
        </w:r>
      </w:hyperlink>
    </w:p>
    <w:p w14:paraId="558E067B" w14:textId="2255F901" w:rsidR="006B0352" w:rsidRDefault="006B0352" w:rsidP="006B0352">
      <w:pPr>
        <w:pStyle w:val="NormalWeb"/>
        <w:numPr>
          <w:ilvl w:val="0"/>
          <w:numId w:val="15"/>
        </w:numPr>
      </w:pPr>
      <w:r>
        <w:t xml:space="preserve">Toby Mao. </w:t>
      </w:r>
      <w:r>
        <w:rPr>
          <w:rStyle w:val="Emphasis"/>
        </w:rPr>
        <w:t>SQLGlot: Python SQL Parser and Transpiler.</w:t>
      </w:r>
      <w:r>
        <w:t xml:space="preserve"> GitHub repository. Available at: github.com/tobymao/sqlglot. </w:t>
      </w:r>
      <w:hyperlink r:id="rId32" w:tgtFrame="_blank" w:history="1">
        <w:r>
          <w:rPr>
            <w:rStyle w:val="max-w-15ch"/>
            <w:color w:val="0000FF"/>
            <w:u w:val="single"/>
          </w:rPr>
          <w:t>GitHub</w:t>
        </w:r>
      </w:hyperlink>
    </w:p>
    <w:p w14:paraId="449B7420" w14:textId="573E538F" w:rsidR="006B0352" w:rsidRDefault="006B0352" w:rsidP="006B0352">
      <w:pPr>
        <w:pStyle w:val="NormalWeb"/>
        <w:numPr>
          <w:ilvl w:val="0"/>
          <w:numId w:val="15"/>
        </w:numPr>
      </w:pPr>
      <w:r>
        <w:t xml:space="preserve">Roman Mogylatov. </w:t>
      </w:r>
      <w:r>
        <w:rPr>
          <w:rStyle w:val="Emphasis"/>
        </w:rPr>
        <w:t>Dependency Injector: Dependency Injection Framework for Python.</w:t>
      </w:r>
      <w:r>
        <w:t xml:space="preserve"> Official documentation. Available at: python-dependency-injector.ets-labs.org. </w:t>
      </w:r>
      <w:hyperlink r:id="rId33" w:tgtFrame="_blank" w:history="1">
        <w:r>
          <w:rPr>
            <w:rStyle w:val="max-w-15ch"/>
            <w:color w:val="0000FF"/>
            <w:u w:val="single"/>
          </w:rPr>
          <w:t>python-dependency-injector.ets-labs.org</w:t>
        </w:r>
        <w:r>
          <w:rPr>
            <w:rStyle w:val="-me-1"/>
            <w:rFonts w:eastAsiaTheme="majorEastAsia"/>
            <w:color w:val="0000FF"/>
            <w:u w:val="single"/>
          </w:rPr>
          <w:t>+2</w:t>
        </w:r>
        <w:r>
          <w:rPr>
            <w:rStyle w:val="max-w-15ch"/>
            <w:color w:val="0000FF"/>
            <w:u w:val="single"/>
          </w:rPr>
          <w:t>python-dependency-injector.ets-labs.org</w:t>
        </w:r>
        <w:r>
          <w:rPr>
            <w:rStyle w:val="-me-1"/>
            <w:rFonts w:eastAsiaTheme="majorEastAsia"/>
            <w:color w:val="0000FF"/>
            <w:u w:val="single"/>
          </w:rPr>
          <w:t>+2</w:t>
        </w:r>
      </w:hyperlink>
    </w:p>
    <w:p w14:paraId="5032AAB7" w14:textId="4B23F240" w:rsidR="006B0352" w:rsidRDefault="006B0352" w:rsidP="006B0352">
      <w:pPr>
        <w:pStyle w:val="NormalWeb"/>
        <w:numPr>
          <w:ilvl w:val="0"/>
          <w:numId w:val="15"/>
        </w:numPr>
      </w:pPr>
      <w:r>
        <w:t xml:space="preserve">PyYAML Developers. </w:t>
      </w:r>
      <w:r>
        <w:rPr>
          <w:rStyle w:val="Emphasis"/>
        </w:rPr>
        <w:t>PyYAML – YAML parser and emitter for Python.</w:t>
      </w:r>
      <w:r>
        <w:t xml:space="preserve"> Project site and documentation. Available at: pyyaml.org and pypi.org/project/PyYAML. </w:t>
      </w:r>
      <w:hyperlink r:id="rId34" w:tgtFrame="_blank" w:history="1">
        <w:r>
          <w:rPr>
            <w:rStyle w:val="max-w-15ch"/>
            <w:color w:val="0000FF"/>
            <w:u w:val="single"/>
          </w:rPr>
          <w:t>pyyaml.org</w:t>
        </w:r>
        <w:r>
          <w:rPr>
            <w:rStyle w:val="-me-1"/>
            <w:rFonts w:eastAsiaTheme="majorEastAsia"/>
            <w:color w:val="0000FF"/>
            <w:u w:val="single"/>
          </w:rPr>
          <w:t>+1</w:t>
        </w:r>
      </w:hyperlink>
    </w:p>
    <w:p w14:paraId="6D05219F" w14:textId="77777777" w:rsidR="006B0352" w:rsidRDefault="006B0352" w:rsidP="00952910"/>
    <w:p w14:paraId="6E48BC7F" w14:textId="77777777" w:rsidR="006B0352" w:rsidRDefault="006B0352" w:rsidP="00952910"/>
    <w:p w14:paraId="224DDA58" w14:textId="77777777" w:rsidR="0073686F" w:rsidRDefault="0073686F" w:rsidP="00952910"/>
    <w:p w14:paraId="22739832" w14:textId="2022C2CE" w:rsidR="00C138A9" w:rsidRDefault="00C138A9"/>
    <w:sectPr w:rsidR="00C138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C6C6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0"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EB3D57"/>
    <w:multiLevelType w:val="multilevel"/>
    <w:tmpl w:val="02B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1"/>
  </w:num>
  <w:num w:numId="11" w16cid:durableId="983047579">
    <w:abstractNumId w:val="14"/>
  </w:num>
  <w:num w:numId="12" w16cid:durableId="1358237684">
    <w:abstractNumId w:val="16"/>
  </w:num>
  <w:num w:numId="13" w16cid:durableId="704329135">
    <w:abstractNumId w:val="9"/>
  </w:num>
  <w:num w:numId="14" w16cid:durableId="1279948055">
    <w:abstractNumId w:val="13"/>
  </w:num>
  <w:num w:numId="15" w16cid:durableId="2141880149">
    <w:abstractNumId w:val="12"/>
  </w:num>
  <w:num w:numId="16" w16cid:durableId="1927112417">
    <w:abstractNumId w:val="15"/>
  </w:num>
  <w:num w:numId="17" w16cid:durableId="1598520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34616"/>
    <w:rsid w:val="0006063C"/>
    <w:rsid w:val="00072DBF"/>
    <w:rsid w:val="00096BB1"/>
    <w:rsid w:val="000A2E56"/>
    <w:rsid w:val="000B6617"/>
    <w:rsid w:val="000C5C82"/>
    <w:rsid w:val="000D1A65"/>
    <w:rsid w:val="000F4414"/>
    <w:rsid w:val="00110660"/>
    <w:rsid w:val="0012682A"/>
    <w:rsid w:val="001330FF"/>
    <w:rsid w:val="00143A2A"/>
    <w:rsid w:val="0015074B"/>
    <w:rsid w:val="0015423E"/>
    <w:rsid w:val="00171702"/>
    <w:rsid w:val="001955A8"/>
    <w:rsid w:val="001A0A4F"/>
    <w:rsid w:val="002138BD"/>
    <w:rsid w:val="00241355"/>
    <w:rsid w:val="00255FA0"/>
    <w:rsid w:val="002834F6"/>
    <w:rsid w:val="0029639D"/>
    <w:rsid w:val="002E3483"/>
    <w:rsid w:val="003014FD"/>
    <w:rsid w:val="00316111"/>
    <w:rsid w:val="003236E4"/>
    <w:rsid w:val="00326F90"/>
    <w:rsid w:val="003365C2"/>
    <w:rsid w:val="00345AB7"/>
    <w:rsid w:val="00346387"/>
    <w:rsid w:val="00353FF2"/>
    <w:rsid w:val="00375BFC"/>
    <w:rsid w:val="003D6E9E"/>
    <w:rsid w:val="003F009D"/>
    <w:rsid w:val="00417B7B"/>
    <w:rsid w:val="004203A8"/>
    <w:rsid w:val="0042441D"/>
    <w:rsid w:val="00433B3C"/>
    <w:rsid w:val="00473652"/>
    <w:rsid w:val="00474C9E"/>
    <w:rsid w:val="004A695D"/>
    <w:rsid w:val="004C524E"/>
    <w:rsid w:val="004C7AD2"/>
    <w:rsid w:val="00512059"/>
    <w:rsid w:val="005144C0"/>
    <w:rsid w:val="00524D5D"/>
    <w:rsid w:val="0052520C"/>
    <w:rsid w:val="0052631A"/>
    <w:rsid w:val="005505FD"/>
    <w:rsid w:val="005548DD"/>
    <w:rsid w:val="00575FE0"/>
    <w:rsid w:val="00582FAC"/>
    <w:rsid w:val="00593E40"/>
    <w:rsid w:val="005A67EF"/>
    <w:rsid w:val="005B57F6"/>
    <w:rsid w:val="005F04A3"/>
    <w:rsid w:val="005F28F4"/>
    <w:rsid w:val="005F6ED1"/>
    <w:rsid w:val="00602E15"/>
    <w:rsid w:val="00627115"/>
    <w:rsid w:val="00642587"/>
    <w:rsid w:val="0064269D"/>
    <w:rsid w:val="00642A18"/>
    <w:rsid w:val="00652F18"/>
    <w:rsid w:val="00655FB6"/>
    <w:rsid w:val="00687C5B"/>
    <w:rsid w:val="006B0352"/>
    <w:rsid w:val="006B6FDC"/>
    <w:rsid w:val="00713F99"/>
    <w:rsid w:val="0072497F"/>
    <w:rsid w:val="0073686F"/>
    <w:rsid w:val="00756B55"/>
    <w:rsid w:val="0075743D"/>
    <w:rsid w:val="007B3967"/>
    <w:rsid w:val="007E3970"/>
    <w:rsid w:val="00820178"/>
    <w:rsid w:val="008304B2"/>
    <w:rsid w:val="00845719"/>
    <w:rsid w:val="00865328"/>
    <w:rsid w:val="008D186B"/>
    <w:rsid w:val="008E725F"/>
    <w:rsid w:val="008F4815"/>
    <w:rsid w:val="00915807"/>
    <w:rsid w:val="00930B08"/>
    <w:rsid w:val="0094131D"/>
    <w:rsid w:val="00952910"/>
    <w:rsid w:val="009B7538"/>
    <w:rsid w:val="009C3C07"/>
    <w:rsid w:val="009C4046"/>
    <w:rsid w:val="009C6776"/>
    <w:rsid w:val="009E0AEF"/>
    <w:rsid w:val="009E73BB"/>
    <w:rsid w:val="00A05034"/>
    <w:rsid w:val="00A10F3D"/>
    <w:rsid w:val="00A23AEE"/>
    <w:rsid w:val="00A30048"/>
    <w:rsid w:val="00A31F14"/>
    <w:rsid w:val="00A36E44"/>
    <w:rsid w:val="00A525FE"/>
    <w:rsid w:val="00A6746E"/>
    <w:rsid w:val="00A71ED0"/>
    <w:rsid w:val="00A87719"/>
    <w:rsid w:val="00AA1D8D"/>
    <w:rsid w:val="00AC0E12"/>
    <w:rsid w:val="00AC6202"/>
    <w:rsid w:val="00AD0428"/>
    <w:rsid w:val="00AD1EF9"/>
    <w:rsid w:val="00AD653B"/>
    <w:rsid w:val="00AE70C0"/>
    <w:rsid w:val="00B05371"/>
    <w:rsid w:val="00B0625A"/>
    <w:rsid w:val="00B22A7C"/>
    <w:rsid w:val="00B47730"/>
    <w:rsid w:val="00B61633"/>
    <w:rsid w:val="00BB0063"/>
    <w:rsid w:val="00BB6540"/>
    <w:rsid w:val="00BB714D"/>
    <w:rsid w:val="00BC0746"/>
    <w:rsid w:val="00BF700D"/>
    <w:rsid w:val="00C10036"/>
    <w:rsid w:val="00C138A9"/>
    <w:rsid w:val="00C15DEE"/>
    <w:rsid w:val="00C2688B"/>
    <w:rsid w:val="00C633D8"/>
    <w:rsid w:val="00C71E71"/>
    <w:rsid w:val="00C72775"/>
    <w:rsid w:val="00CA5971"/>
    <w:rsid w:val="00CB0664"/>
    <w:rsid w:val="00CC4596"/>
    <w:rsid w:val="00CE4C4C"/>
    <w:rsid w:val="00CE6164"/>
    <w:rsid w:val="00D04A69"/>
    <w:rsid w:val="00D0523E"/>
    <w:rsid w:val="00D16DF4"/>
    <w:rsid w:val="00D237FD"/>
    <w:rsid w:val="00D807D1"/>
    <w:rsid w:val="00D8279D"/>
    <w:rsid w:val="00DA1A94"/>
    <w:rsid w:val="00DA219F"/>
    <w:rsid w:val="00DB3DD8"/>
    <w:rsid w:val="00DC4473"/>
    <w:rsid w:val="00DC46AD"/>
    <w:rsid w:val="00DC46CE"/>
    <w:rsid w:val="00DC46E7"/>
    <w:rsid w:val="00DD30F3"/>
    <w:rsid w:val="00DD794E"/>
    <w:rsid w:val="00DE55BD"/>
    <w:rsid w:val="00DF7AEF"/>
    <w:rsid w:val="00E00B2C"/>
    <w:rsid w:val="00E0322F"/>
    <w:rsid w:val="00E106BE"/>
    <w:rsid w:val="00E229BC"/>
    <w:rsid w:val="00E31D3F"/>
    <w:rsid w:val="00E45165"/>
    <w:rsid w:val="00E45F7E"/>
    <w:rsid w:val="00E54E71"/>
    <w:rsid w:val="00E60040"/>
    <w:rsid w:val="00E929F1"/>
    <w:rsid w:val="00E95E03"/>
    <w:rsid w:val="00EF1AD3"/>
    <w:rsid w:val="00F11D62"/>
    <w:rsid w:val="00F237C9"/>
    <w:rsid w:val="00F243BF"/>
    <w:rsid w:val="00F36B58"/>
    <w:rsid w:val="00F4208B"/>
    <w:rsid w:val="00F55C7B"/>
    <w:rsid w:val="00F733E3"/>
    <w:rsid w:val="00F830CE"/>
    <w:rsid w:val="00F95DA3"/>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0255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semiHidden/>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yale-lily.github.io/spider?utm_source=chatgpt.com" TargetMode="External"/><Relationship Id="rId26" Type="http://schemas.openxmlformats.org/officeDocument/2006/relationships/hyperlink" Target="https://arxiv.org/pdf/2503.02240?utm_source=chatgpt.com" TargetMode="External"/><Relationship Id="rId3" Type="http://schemas.openxmlformats.org/officeDocument/2006/relationships/styles" Target="styles.xml"/><Relationship Id="rId21" Type="http://schemas.openxmlformats.org/officeDocument/2006/relationships/hyperlink" Target="https://aclanthology.org/D18-1425/?utm_source=chatgpt.com" TargetMode="External"/><Relationship Id="rId34" Type="http://schemas.openxmlformats.org/officeDocument/2006/relationships/hyperlink" Target="https://pyyaml.org/?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rxiv.org/abs/2308.15363?utm_source=chatgpt.com" TargetMode="External"/><Relationship Id="rId25" Type="http://schemas.openxmlformats.org/officeDocument/2006/relationships/hyperlink" Target="https://learn.microsoft.com/en-us/fabric/database/sql/copilot-sql-database?utm_source=chatgpt.com" TargetMode="External"/><Relationship Id="rId33" Type="http://schemas.openxmlformats.org/officeDocument/2006/relationships/hyperlink" Target="https://python-dependency-injector.ets-labs.org/?utm_source=chatgpt.com" TargetMode="Externa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20" Type="http://schemas.openxmlformats.org/officeDocument/2006/relationships/hyperlink" Target="https://bird-bench.github.io/?utm_source=chatgpt.com" TargetMode="External"/><Relationship Id="rId29" Type="http://schemas.openxmlformats.org/officeDocument/2006/relationships/hyperlink" Target="https://docs.python.org/3.11/?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earn.microsoft.com/en-us/azure/databricks/genie/?utm_source=chatgpt.com" TargetMode="External"/><Relationship Id="rId32" Type="http://schemas.openxmlformats.org/officeDocument/2006/relationships/hyperlink" Target="https://github.com/tobymao/sqlglot?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snowflake.com/en/user-guide/snowflake-copilot-inline?utm_source=chatgpt.com" TargetMode="External"/><Relationship Id="rId28" Type="http://schemas.openxmlformats.org/officeDocument/2006/relationships/hyperlink" Target="https://www.researchgate.net/publication/387939936"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rxiv.org/abs/2505.19988?utm_source=chatgpt.com" TargetMode="External"/><Relationship Id="rId31" Type="http://schemas.openxmlformats.org/officeDocument/2006/relationships/hyperlink" Target="https://docs.sqlalchemy.org/?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clanthology.org/D18-1425/?utm_source=chatgpt.com" TargetMode="External"/><Relationship Id="rId27" Type="http://schemas.openxmlformats.org/officeDocument/2006/relationships/hyperlink" Target="https://openproceedings.org/2025/conf/edbt/paper-41.pdf" TargetMode="External"/><Relationship Id="rId30" Type="http://schemas.openxmlformats.org/officeDocument/2006/relationships/hyperlink" Target="https://duckdb.org/docs/stable/?utm_source=chatgpt.com"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39</Pages>
  <Words>16159</Words>
  <Characters>92107</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42</cp:revision>
  <dcterms:created xsi:type="dcterms:W3CDTF">2025-11-27T11:27:00Z</dcterms:created>
  <dcterms:modified xsi:type="dcterms:W3CDTF">2025-12-04T20:31:00Z</dcterms:modified>
  <cp:category/>
</cp:coreProperties>
</file>