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2"/>
        </w:rPr>
        <w:t>3. COMPARATIVE ANALYSIS OF SPIDER DATASET PARTITIONS</w:t>
      </w:r>
    </w:p>
    <w:p>
      <w:r>
        <w:rPr>
          <w:rFonts w:ascii="Times New Roman" w:hAnsi="Times New Roman"/>
          <w:b w:val="0"/>
          <w:i w:val="0"/>
          <w:sz w:val="22"/>
        </w:rPr>
        <w:t>This section reports an empirical, end-to-end quality assessment of Spider 1.0 using the multi-layer validation framework described in Section 2. Rather than restating benchmark background and system design, we focus on partition-level results (Test/Dev/Train), cross-partition consistency, and practical implications for dataset use.</w:t>
      </w:r>
    </w:p>
    <w:p>
      <w:r>
        <w:rPr>
          <w:rFonts w:ascii="Times New Roman" w:hAnsi="Times New Roman"/>
          <w:b w:val="0"/>
          <w:i w:val="0"/>
          <w:sz w:val="22"/>
        </w:rPr>
        <w:t>We structure the analysis along five complementary quality dimensions: (i) database schema integrity, (ii) SQL parsability and structural complexity, (iii) dynamic executability, (iv) SQL antipattern prevalence, and (v) semantic correspondence via LLM consensus. The goal is to identify failures that remain invisible to standard exact-match or execution-only evaluation and to derive a remediation roadmap prioritized by impact.</w:t>
      </w:r>
    </w:p>
    <w:p>
      <w:r>
        <w:br w:type="page"/>
      </w:r>
    </w:p>
    <w:p>
      <w:pPr>
        <w:pStyle w:val="Heading2"/>
      </w:pPr>
      <w:r>
        <w:rPr>
          <w:rFonts w:ascii="Times New Roman" w:hAnsi="Times New Roman"/>
          <w:b/>
          <w:sz w:val="24"/>
        </w:rPr>
        <w:t>3.1. Experimental Methodology</w:t>
      </w:r>
    </w:p>
    <w:p>
      <w:r>
        <w:rPr>
          <w:rFonts w:ascii="Times New Roman" w:hAnsi="Times New Roman"/>
          <w:b w:val="0"/>
          <w:i w:val="0"/>
          <w:sz w:val="22"/>
        </w:rPr>
        <w:t>We apply the full validation pipeline (Section 2) to all three Spider partitions (Test, Dev, Train) to measure overall quality and cross-partition consistency. This comparative design is essential because Dev is widely used for hyperparameter tuning while Test is used for reporting final results; partition-specific defects can therefore bias both model selection and published evaluation outcomes.</w:t>
      </w:r>
    </w:p>
    <w:p>
      <w:r>
        <w:rPr>
          <w:rFonts w:ascii="Times New Roman" w:hAnsi="Times New Roman"/>
          <w:b w:val="0"/>
          <w:i w:val="0"/>
          <w:sz w:val="22"/>
        </w:rPr>
        <w:t>The three analyzed partitions exhibit substantially different scales: Spider Test contains 2,147 examples spanning 40 unique databases, Spider Dev includes 1,034 examples across 20 databases, and Spider Train comprises 8,659 examples distributed over 146 databases. This scale disparity matters primarily for interpreting aggregate statistics and partition heterogeneity: Train covers substantially more database schemas, while Dev and Test concentrate evaluation on a smaller set of domains and databases.</w:t>
      </w:r>
    </w:p>
    <w:p>
      <w:r>
        <w:rPr>
          <w:rFonts w:ascii="Times New Roman" w:hAnsi="Times New Roman"/>
          <w:b w:val="0"/>
          <w:i w:val="0"/>
          <w:sz w:val="22"/>
        </w:rPr>
        <w:t>All analyses use SQLite (Spider’s native format). We enable schema validation, SQL syntax/structure analysis, execution testing, antipattern detection, and semantic validation via a two-model LLM committee (Gemini 2.5 Pro and GPT-5, temperature=0, equal voting weights). For semantic evaluation, we use full-schema mode (complete database schema context) augmented with a small sample of cell values per column, as defined in Section 2.8.</w:t>
      </w:r>
    </w:p>
    <w:p>
      <w:r>
        <w:rPr>
          <w:rFonts w:ascii="Times New Roman" w:hAnsi="Times New Roman"/>
          <w:b w:val="0"/>
          <w:i w:val="0"/>
          <w:sz w:val="22"/>
        </w:rPr>
        <w:t>We report performance and runtime characteristics separately in Section 3.7 to avoid conflating methodological setup with cost/throughput considerations.</w:t>
      </w:r>
    </w:p>
    <w:p>
      <w:r>
        <w:br w:type="page"/>
      </w:r>
    </w:p>
    <w:p>
      <w:pPr>
        <w:pStyle w:val="Heading2"/>
      </w:pPr>
      <w:r>
        <w:rPr>
          <w:rFonts w:ascii="Times New Roman" w:hAnsi="Times New Roman"/>
          <w:b/>
          <w:sz w:val="24"/>
        </w:rPr>
        <w:t>3.2. Database Schema Integrity Assessment</w:t>
      </w:r>
    </w:p>
    <w:p>
      <w:r>
        <w:rPr>
          <w:rFonts w:ascii="Times New Roman" w:hAnsi="Times New Roman"/>
          <w:b w:val="0"/>
          <w:i w:val="0"/>
          <w:sz w:val="22"/>
        </w:rPr>
        <w:t>Schema integrity validation examines the structural correctness of database definitions, detecting errors that could prevent successful query execution even for syntactically valid SQL statements. The validation framework implements comprehensive foreign key integrity checks (detailed methodology in Section 2.3) alongside detection of duplicate columns, type consistency issues, and referential integrity violations in actual data. This section presents comparative validation results across all three Spider partitions.</w:t>
      </w:r>
    </w:p>
    <w:p>
      <w:r>
        <w:rPr>
          <w:rFonts w:ascii="Times New Roman" w:hAnsi="Times New Roman"/>
          <w:b w:val="0"/>
          <w:i w:val="0"/>
          <w:sz w:val="22"/>
        </w:rPr>
        <w:t>Table 1 presents comparative schema validation results across all three Spider partitions, revealing substantial heterogeneity in schema quality that contradicts the common assumption of uniform data quality within professionally curated benchmarks.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Metric</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Best</w:t>
            </w:r>
          </w:p>
        </w:tc>
      </w:tr>
      <w:tr>
        <w:tc>
          <w:tcPr>
            <w:tcW w:type="dxa" w:w="1728"/>
          </w:tcPr>
          <w:p>
            <w:r>
              <w:rPr>
                <w:rFonts w:ascii="Times New Roman" w:hAnsi="Times New Roman"/>
                <w:sz w:val="20"/>
              </w:rPr>
              <w:t>Total databases</w:t>
            </w:r>
          </w:p>
        </w:tc>
        <w:tc>
          <w:tcPr>
            <w:tcW w:type="dxa" w:w="1728"/>
          </w:tcPr>
          <w:p>
            <w:pPr>
              <w:jc w:val="center"/>
            </w:pPr>
            <w:r>
              <w:rPr>
                <w:rFonts w:ascii="Times New Roman" w:hAnsi="Times New Roman"/>
                <w:sz w:val="20"/>
              </w:rPr>
              <w:t>40</w:t>
            </w:r>
          </w:p>
        </w:tc>
        <w:tc>
          <w:tcPr>
            <w:tcW w:type="dxa" w:w="1728"/>
          </w:tcPr>
          <w:p>
            <w:pPr>
              <w:jc w:val="center"/>
            </w:pPr>
            <w:r>
              <w:rPr>
                <w:rFonts w:ascii="Times New Roman" w:hAnsi="Times New Roman"/>
                <w:sz w:val="20"/>
              </w:rPr>
              <w:t>20</w:t>
            </w:r>
          </w:p>
        </w:tc>
        <w:tc>
          <w:tcPr>
            <w:tcW w:type="dxa" w:w="1728"/>
          </w:tcPr>
          <w:p>
            <w:pPr>
              <w:jc w:val="center"/>
            </w:pPr>
            <w:r>
              <w:rPr>
                <w:rFonts w:ascii="Times New Roman" w:hAnsi="Times New Roman"/>
                <w:sz w:val="20"/>
              </w:rPr>
              <w:t>146</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Valid DBs</w:t>
            </w:r>
          </w:p>
        </w:tc>
        <w:tc>
          <w:tcPr>
            <w:tcW w:type="dxa" w:w="1728"/>
          </w:tcPr>
          <w:p>
            <w:pPr>
              <w:jc w:val="center"/>
            </w:pPr>
            <w:r>
              <w:rPr>
                <w:rFonts w:ascii="Times New Roman" w:hAnsi="Times New Roman"/>
                <w:sz w:val="20"/>
              </w:rPr>
              <w:t>36 (90.0%)</w:t>
            </w:r>
          </w:p>
        </w:tc>
        <w:tc>
          <w:tcPr>
            <w:tcW w:type="dxa" w:w="1728"/>
          </w:tcPr>
          <w:p>
            <w:pPr>
              <w:jc w:val="center"/>
            </w:pPr>
            <w:r>
              <w:rPr>
                <w:rFonts w:ascii="Times New Roman" w:hAnsi="Times New Roman"/>
                <w:sz w:val="20"/>
              </w:rPr>
              <w:t>13 (65.0%)</w:t>
            </w:r>
          </w:p>
        </w:tc>
        <w:tc>
          <w:tcPr>
            <w:tcW w:type="dxa" w:w="1728"/>
          </w:tcPr>
          <w:p>
            <w:pPr>
              <w:jc w:val="center"/>
            </w:pPr>
            <w:r>
              <w:rPr>
                <w:rFonts w:ascii="Times New Roman" w:hAnsi="Times New Roman"/>
                <w:sz w:val="20"/>
              </w:rPr>
              <w:t>110 (75.3%)</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DBs with errors</w:t>
            </w:r>
          </w:p>
        </w:tc>
        <w:tc>
          <w:tcPr>
            <w:tcW w:type="dxa" w:w="1728"/>
          </w:tcPr>
          <w:p>
            <w:pPr>
              <w:jc w:val="center"/>
            </w:pPr>
            <w:r>
              <w:rPr>
                <w:rFonts w:ascii="Times New Roman" w:hAnsi="Times New Roman"/>
                <w:sz w:val="20"/>
              </w:rPr>
              <w:t>4 (10.0%)</w:t>
            </w:r>
          </w:p>
        </w:tc>
        <w:tc>
          <w:tcPr>
            <w:tcW w:type="dxa" w:w="1728"/>
          </w:tcPr>
          <w:p>
            <w:pPr>
              <w:jc w:val="center"/>
            </w:pPr>
            <w:r>
              <w:rPr>
                <w:rFonts w:ascii="Times New Roman" w:hAnsi="Times New Roman"/>
                <w:sz w:val="20"/>
              </w:rPr>
              <w:t>7 (35.0%)</w:t>
            </w:r>
          </w:p>
        </w:tc>
        <w:tc>
          <w:tcPr>
            <w:tcW w:type="dxa" w:w="1728"/>
          </w:tcPr>
          <w:p>
            <w:pPr>
              <w:jc w:val="center"/>
            </w:pPr>
            <w:r>
              <w:rPr>
                <w:rFonts w:ascii="Times New Roman" w:hAnsi="Times New Roman"/>
                <w:sz w:val="20"/>
              </w:rPr>
              <w:t>32 (21.9%)</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Total tables</w:t>
            </w:r>
          </w:p>
        </w:tc>
        <w:tc>
          <w:tcPr>
            <w:tcW w:type="dxa" w:w="1728"/>
          </w:tcPr>
          <w:p>
            <w:pPr>
              <w:jc w:val="center"/>
            </w:pPr>
            <w:r>
              <w:rPr>
                <w:rFonts w:ascii="Times New Roman" w:hAnsi="Times New Roman"/>
                <w:sz w:val="20"/>
              </w:rPr>
              <w:t>180</w:t>
            </w:r>
          </w:p>
        </w:tc>
        <w:tc>
          <w:tcPr>
            <w:tcW w:type="dxa" w:w="1728"/>
          </w:tcPr>
          <w:p>
            <w:pPr>
              <w:jc w:val="center"/>
            </w:pPr>
            <w:r>
              <w:rPr>
                <w:rFonts w:ascii="Times New Roman" w:hAnsi="Times New Roman"/>
                <w:sz w:val="20"/>
              </w:rPr>
              <w:t>80</w:t>
            </w:r>
          </w:p>
        </w:tc>
        <w:tc>
          <w:tcPr>
            <w:tcW w:type="dxa" w:w="1728"/>
          </w:tcPr>
          <w:p>
            <w:pPr>
              <w:jc w:val="center"/>
            </w:pPr>
            <w:r>
              <w:rPr>
                <w:rFonts w:ascii="Times New Roman" w:hAnsi="Times New Roman"/>
                <w:sz w:val="20"/>
              </w:rPr>
              <w:t>793</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Empty tables</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71 (9.0%)</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Total foreign keys</w:t>
            </w:r>
          </w:p>
        </w:tc>
        <w:tc>
          <w:tcPr>
            <w:tcW w:type="dxa" w:w="1728"/>
          </w:tcPr>
          <w:p>
            <w:pPr>
              <w:jc w:val="center"/>
            </w:pPr>
            <w:r>
              <w:rPr>
                <w:rFonts w:ascii="Times New Roman" w:hAnsi="Times New Roman"/>
                <w:sz w:val="20"/>
              </w:rPr>
              <w:t>146</w:t>
            </w:r>
          </w:p>
        </w:tc>
        <w:tc>
          <w:tcPr>
            <w:tcW w:type="dxa" w:w="1728"/>
          </w:tcPr>
          <w:p>
            <w:pPr>
              <w:jc w:val="center"/>
            </w:pPr>
            <w:r>
              <w:rPr>
                <w:rFonts w:ascii="Times New Roman" w:hAnsi="Times New Roman"/>
                <w:sz w:val="20"/>
              </w:rPr>
              <w:t>64</w:t>
            </w:r>
          </w:p>
        </w:tc>
        <w:tc>
          <w:tcPr>
            <w:tcW w:type="dxa" w:w="1728"/>
          </w:tcPr>
          <w:p>
            <w:pPr>
              <w:jc w:val="center"/>
            </w:pPr>
            <w:r>
              <w:rPr>
                <w:rFonts w:ascii="Times New Roman" w:hAnsi="Times New Roman"/>
                <w:sz w:val="20"/>
              </w:rPr>
              <w:t>717</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Invalid FKs</w:t>
            </w:r>
          </w:p>
        </w:tc>
        <w:tc>
          <w:tcPr>
            <w:tcW w:type="dxa" w:w="1728"/>
          </w:tcPr>
          <w:p>
            <w:pPr>
              <w:jc w:val="center"/>
            </w:pPr>
            <w:r>
              <w:rPr>
                <w:rFonts w:ascii="Times New Roman" w:hAnsi="Times New Roman"/>
                <w:sz w:val="20"/>
              </w:rPr>
              <w:t>4</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78</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DBs with FK violations</w:t>
            </w:r>
          </w:p>
        </w:tc>
        <w:tc>
          <w:tcPr>
            <w:tcW w:type="dxa" w:w="1728"/>
          </w:tcPr>
          <w:p>
            <w:pPr>
              <w:jc w:val="center"/>
            </w:pPr>
            <w:r>
              <w:rPr>
                <w:rFonts w:ascii="Times New Roman" w:hAnsi="Times New Roman"/>
                <w:sz w:val="20"/>
              </w:rPr>
              <w:t>1 (1 viol.)</w:t>
            </w:r>
          </w:p>
        </w:tc>
        <w:tc>
          <w:tcPr>
            <w:tcW w:type="dxa" w:w="1728"/>
          </w:tcPr>
          <w:p>
            <w:pPr>
              <w:jc w:val="center"/>
            </w:pPr>
            <w:r>
              <w:rPr>
                <w:rFonts w:ascii="Times New Roman" w:hAnsi="Times New Roman"/>
                <w:sz w:val="20"/>
              </w:rPr>
              <w:t>3 (2,403 viol.)</w:t>
            </w:r>
          </w:p>
        </w:tc>
        <w:tc>
          <w:tcPr>
            <w:tcW w:type="dxa" w:w="1728"/>
          </w:tcPr>
          <w:p>
            <w:pPr>
              <w:jc w:val="center"/>
            </w:pPr>
            <w:r>
              <w:rPr>
                <w:rFonts w:ascii="Times New Roman" w:hAnsi="Times New Roman"/>
                <w:sz w:val="20"/>
              </w:rPr>
              <w:t>6 (39,523 viol.)</w:t>
            </w:r>
          </w:p>
        </w:tc>
        <w:tc>
          <w:tcPr>
            <w:tcW w:type="dxa" w:w="1728"/>
          </w:tcPr>
          <w:p>
            <w:pPr>
              <w:jc w:val="center"/>
            </w:pPr>
            <w:r>
              <w:rPr>
                <w:rFonts w:ascii="Times New Roman" w:hAnsi="Times New Roman"/>
                <w:sz w:val="20"/>
              </w:rPr>
              <w:t>Test ✅</w:t>
            </w:r>
          </w:p>
        </w:tc>
      </w:tr>
    </w:tbl>
    <w:p>
      <w:pPr>
        <w:jc w:val="center"/>
      </w:pPr>
      <w:r>
        <w:rPr>
          <w:rFonts w:ascii="Times New Roman" w:hAnsi="Times New Roman"/>
          <w:i/>
          <w:sz w:val="20"/>
        </w:rPr>
        <w:t>Table 1. Comparative database schema validation results across Spider partitions</w:t>
      </w:r>
    </w:p>
    <w:p>
      <w:r>
        <w:rPr>
          <w:rFonts w:ascii="Times New Roman" w:hAnsi="Times New Roman"/>
          <w:b w:val="0"/>
          <w:i w:val="0"/>
          <w:sz w:val="22"/>
        </w:rPr>
        <w:t>The results reveal a clear quality gradient with Test achieving 90.0% schema validity, substantially exceeding Train at 75.3% and Dev at 65.0%. This contradicts expectations that the largest partition would exhibit highest quality. Dev's low validity rate (35% error rate) raises concerns given its role in hyperparameter tuning, where schema errors might obscure true performance differences between approaches.</w:t>
      </w:r>
    </w:p>
    <w:p>
      <w:r>
        <w:rPr>
          <w:rFonts w:ascii="Times New Roman" w:hAnsi="Times New Roman"/>
          <w:b w:val="0"/>
          <w:i w:val="0"/>
          <w:sz w:val="22"/>
        </w:rPr>
        <w:t>Table 2 presents foreign key validation results across partitions, distinguishing five structural error types and row-level data violations. FK Type Mismatch (38 total) and FK Target Not Key (43 total) dominate structural errors, while data violations concentrate in two databases (sakila_1: 38,273; flight_2: 2,403).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0"/>
              </w:rPr>
              <w:t>Error Type</w:t>
            </w:r>
          </w:p>
        </w:tc>
        <w:tc>
          <w:tcPr>
            <w:tcW w:type="dxa" w:w="1440"/>
          </w:tcPr>
          <w:p>
            <w:pPr>
              <w:jc w:val="center"/>
            </w:pPr>
            <w:r>
              <w:rPr>
                <w:rFonts w:ascii="Times New Roman" w:hAnsi="Times New Roman"/>
                <w:b/>
                <w:sz w:val="20"/>
              </w:rPr>
              <w:t>Spider Test</w:t>
            </w:r>
          </w:p>
        </w:tc>
        <w:tc>
          <w:tcPr>
            <w:tcW w:type="dxa" w:w="1440"/>
          </w:tcPr>
          <w:p>
            <w:pPr>
              <w:jc w:val="center"/>
            </w:pPr>
            <w:r>
              <w:rPr>
                <w:rFonts w:ascii="Times New Roman" w:hAnsi="Times New Roman"/>
                <w:b/>
                <w:sz w:val="20"/>
              </w:rPr>
              <w:t>Spider Dev</w:t>
            </w:r>
          </w:p>
        </w:tc>
        <w:tc>
          <w:tcPr>
            <w:tcW w:type="dxa" w:w="1440"/>
          </w:tcPr>
          <w:p>
            <w:pPr>
              <w:jc w:val="center"/>
            </w:pPr>
            <w:r>
              <w:rPr>
                <w:rFonts w:ascii="Times New Roman" w:hAnsi="Times New Roman"/>
                <w:b/>
                <w:sz w:val="20"/>
              </w:rPr>
              <w:t>Spider Train</w:t>
            </w:r>
          </w:p>
        </w:tc>
        <w:tc>
          <w:tcPr>
            <w:tcW w:type="dxa" w:w="1440"/>
          </w:tcPr>
          <w:p>
            <w:pPr>
              <w:jc w:val="center"/>
            </w:pPr>
            <w:r>
              <w:rPr>
                <w:rFonts w:ascii="Times New Roman" w:hAnsi="Times New Roman"/>
                <w:b/>
                <w:sz w:val="20"/>
              </w:rPr>
              <w:t>Total</w:t>
            </w:r>
          </w:p>
        </w:tc>
        <w:tc>
          <w:tcPr>
            <w:tcW w:type="dxa" w:w="1440"/>
          </w:tcPr>
          <w:p>
            <w:pPr>
              <w:jc w:val="center"/>
            </w:pPr>
            <w:r>
              <w:rPr>
                <w:rFonts w:ascii="Times New Roman" w:hAnsi="Times New Roman"/>
                <w:b/>
                <w:sz w:val="20"/>
              </w:rPr>
              <w:t>Severity</w:t>
            </w:r>
          </w:p>
        </w:tc>
      </w:tr>
      <w:tr>
        <w:tc>
          <w:tcPr>
            <w:tcW w:type="dxa" w:w="1440"/>
          </w:tcPr>
          <w:p>
            <w:r>
              <w:rPr>
                <w:rFonts w:ascii="Times New Roman" w:hAnsi="Times New Roman"/>
                <w:sz w:val="20"/>
              </w:rPr>
              <w:t>STRUCTURAL ERRORS</w:t>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r>
      <w:tr>
        <w:tc>
          <w:tcPr>
            <w:tcW w:type="dxa" w:w="1440"/>
          </w:tcPr>
          <w:p>
            <w:r>
              <w:rPr>
                <w:rFonts w:ascii="Times New Roman" w:hAnsi="Times New Roman"/>
                <w:sz w:val="20"/>
              </w:rPr>
              <w:t>FK Missing Table</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Critical</w:t>
            </w:r>
          </w:p>
        </w:tc>
      </w:tr>
      <w:tr>
        <w:tc>
          <w:tcPr>
            <w:tcW w:type="dxa" w:w="1440"/>
          </w:tcPr>
          <w:p>
            <w:r>
              <w:rPr>
                <w:rFonts w:ascii="Times New Roman" w:hAnsi="Times New Roman"/>
                <w:sz w:val="20"/>
              </w:rPr>
              <w:t>FK Missing Column</w:t>
            </w:r>
          </w:p>
        </w:tc>
        <w:tc>
          <w:tcPr>
            <w:tcW w:type="dxa" w:w="1440"/>
          </w:tcPr>
          <w:p>
            <w:pPr>
              <w:jc w:val="center"/>
            </w:pPr>
            <w:r>
              <w:rPr>
                <w:rFonts w:ascii="Times New Roman" w:hAnsi="Times New Roman"/>
                <w:sz w:val="20"/>
              </w:rPr>
              <w:t>3</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5</w:t>
            </w:r>
          </w:p>
        </w:tc>
        <w:tc>
          <w:tcPr>
            <w:tcW w:type="dxa" w:w="1440"/>
          </w:tcPr>
          <w:p>
            <w:pPr>
              <w:jc w:val="center"/>
            </w:pPr>
            <w:r>
              <w:rPr>
                <w:rFonts w:ascii="Times New Roman" w:hAnsi="Times New Roman"/>
                <w:sz w:val="20"/>
              </w:rPr>
              <w:t>8</w:t>
            </w:r>
          </w:p>
        </w:tc>
        <w:tc>
          <w:tcPr>
            <w:tcW w:type="dxa" w:w="1440"/>
          </w:tcPr>
          <w:p>
            <w:pPr>
              <w:jc w:val="center"/>
            </w:pPr>
            <w:r>
              <w:rPr>
                <w:rFonts w:ascii="Times New Roman" w:hAnsi="Times New Roman"/>
                <w:sz w:val="20"/>
              </w:rPr>
              <w:t>Critical</w:t>
            </w:r>
          </w:p>
        </w:tc>
      </w:tr>
      <w:tr>
        <w:tc>
          <w:tcPr>
            <w:tcW w:type="dxa" w:w="1440"/>
          </w:tcPr>
          <w:p>
            <w:r>
              <w:rPr>
                <w:rFonts w:ascii="Times New Roman" w:hAnsi="Times New Roman"/>
                <w:sz w:val="20"/>
              </w:rPr>
              <w:t>FK Arity Mismatch</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Critical</w:t>
            </w:r>
          </w:p>
        </w:tc>
      </w:tr>
      <w:tr>
        <w:tc>
          <w:tcPr>
            <w:tcW w:type="dxa" w:w="1440"/>
          </w:tcPr>
          <w:p>
            <w:r>
              <w:rPr>
                <w:rFonts w:ascii="Times New Roman" w:hAnsi="Times New Roman"/>
                <w:sz w:val="20"/>
              </w:rPr>
              <w:t>FK Type Mismatch</w:t>
            </w:r>
          </w:p>
        </w:tc>
        <w:tc>
          <w:tcPr>
            <w:tcW w:type="dxa" w:w="1440"/>
          </w:tcPr>
          <w:p>
            <w:pPr>
              <w:jc w:val="center"/>
            </w:pPr>
            <w:r>
              <w:rPr>
                <w:rFonts w:ascii="Times New Roman" w:hAnsi="Times New Roman"/>
                <w:sz w:val="20"/>
              </w:rPr>
              <w:t>1</w:t>
            </w:r>
          </w:p>
        </w:tc>
        <w:tc>
          <w:tcPr>
            <w:tcW w:type="dxa" w:w="1440"/>
          </w:tcPr>
          <w:p>
            <w:pPr>
              <w:jc w:val="center"/>
            </w:pPr>
            <w:r>
              <w:rPr>
                <w:rFonts w:ascii="Times New Roman" w:hAnsi="Times New Roman"/>
                <w:sz w:val="20"/>
              </w:rPr>
              <w:t>5</w:t>
            </w:r>
          </w:p>
        </w:tc>
        <w:tc>
          <w:tcPr>
            <w:tcW w:type="dxa" w:w="1440"/>
          </w:tcPr>
          <w:p>
            <w:pPr>
              <w:jc w:val="center"/>
            </w:pPr>
            <w:r>
              <w:rPr>
                <w:rFonts w:ascii="Times New Roman" w:hAnsi="Times New Roman"/>
                <w:sz w:val="20"/>
              </w:rPr>
              <w:t>32</w:t>
            </w:r>
          </w:p>
        </w:tc>
        <w:tc>
          <w:tcPr>
            <w:tcW w:type="dxa" w:w="1440"/>
          </w:tcPr>
          <w:p>
            <w:pPr>
              <w:jc w:val="center"/>
            </w:pPr>
            <w:r>
              <w:rPr>
                <w:rFonts w:ascii="Times New Roman" w:hAnsi="Times New Roman"/>
                <w:sz w:val="20"/>
              </w:rPr>
              <w:t>38</w:t>
            </w:r>
          </w:p>
        </w:tc>
        <w:tc>
          <w:tcPr>
            <w:tcW w:type="dxa" w:w="1440"/>
          </w:tcPr>
          <w:p>
            <w:pPr>
              <w:jc w:val="center"/>
            </w:pPr>
            <w:r>
              <w:rPr>
                <w:rFonts w:ascii="Times New Roman" w:hAnsi="Times New Roman"/>
                <w:sz w:val="20"/>
              </w:rPr>
              <w:t>High</w:t>
            </w:r>
          </w:p>
        </w:tc>
      </w:tr>
      <w:tr>
        <w:tc>
          <w:tcPr>
            <w:tcW w:type="dxa" w:w="1440"/>
          </w:tcPr>
          <w:p>
            <w:r>
              <w:rPr>
                <w:rFonts w:ascii="Times New Roman" w:hAnsi="Times New Roman"/>
                <w:sz w:val="20"/>
              </w:rPr>
              <w:t>FK Target Not Key</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2</w:t>
            </w:r>
          </w:p>
        </w:tc>
        <w:tc>
          <w:tcPr>
            <w:tcW w:type="dxa" w:w="1440"/>
          </w:tcPr>
          <w:p>
            <w:pPr>
              <w:jc w:val="center"/>
            </w:pPr>
            <w:r>
              <w:rPr>
                <w:rFonts w:ascii="Times New Roman" w:hAnsi="Times New Roman"/>
                <w:sz w:val="20"/>
              </w:rPr>
              <w:t>41</w:t>
            </w:r>
          </w:p>
        </w:tc>
        <w:tc>
          <w:tcPr>
            <w:tcW w:type="dxa" w:w="1440"/>
          </w:tcPr>
          <w:p>
            <w:pPr>
              <w:jc w:val="center"/>
            </w:pPr>
            <w:r>
              <w:rPr>
                <w:rFonts w:ascii="Times New Roman" w:hAnsi="Times New Roman"/>
                <w:sz w:val="20"/>
              </w:rPr>
              <w:t>43</w:t>
            </w:r>
          </w:p>
        </w:tc>
        <w:tc>
          <w:tcPr>
            <w:tcW w:type="dxa" w:w="1440"/>
          </w:tcPr>
          <w:p>
            <w:pPr>
              <w:jc w:val="center"/>
            </w:pPr>
            <w:r>
              <w:rPr>
                <w:rFonts w:ascii="Times New Roman" w:hAnsi="Times New Roman"/>
                <w:sz w:val="20"/>
              </w:rPr>
              <w:t>High</w:t>
            </w:r>
          </w:p>
        </w:tc>
      </w:tr>
      <w:tr>
        <w:tc>
          <w:tcPr>
            <w:tcW w:type="dxa" w:w="1440"/>
          </w:tcPr>
          <w:p>
            <w:r>
              <w:rPr>
                <w:rFonts w:ascii="Times New Roman" w:hAnsi="Times New Roman"/>
                <w:sz w:val="20"/>
              </w:rPr>
              <w:t>Duplicate Columns</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Medium</w:t>
            </w:r>
          </w:p>
        </w:tc>
      </w:tr>
      <w:tr>
        <w:tc>
          <w:tcPr>
            <w:tcW w:type="dxa" w:w="1440"/>
          </w:tcPr>
          <w:p>
            <w:r>
              <w:rPr>
                <w:rFonts w:ascii="Times New Roman" w:hAnsi="Times New Roman"/>
                <w:sz w:val="20"/>
              </w:rPr>
              <w:t>Unknown Data Types</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Low</w:t>
            </w:r>
          </w:p>
        </w:tc>
      </w:tr>
      <w:tr>
        <w:tc>
          <w:tcPr>
            <w:tcW w:type="dxa" w:w="1440"/>
          </w:tcPr>
          <w:p>
            <w:r>
              <w:rPr>
                <w:rFonts w:ascii="Times New Roman" w:hAnsi="Times New Roman"/>
                <w:sz w:val="20"/>
              </w:rPr>
              <w:t>Subtotal (Structural)</w:t>
            </w:r>
          </w:p>
        </w:tc>
        <w:tc>
          <w:tcPr>
            <w:tcW w:type="dxa" w:w="1440"/>
          </w:tcPr>
          <w:p>
            <w:pPr>
              <w:jc w:val="center"/>
            </w:pPr>
            <w:r>
              <w:rPr>
                <w:rFonts w:ascii="Times New Roman" w:hAnsi="Times New Roman"/>
                <w:sz w:val="20"/>
              </w:rPr>
              <w:t>4</w:t>
            </w:r>
          </w:p>
        </w:tc>
        <w:tc>
          <w:tcPr>
            <w:tcW w:type="dxa" w:w="1440"/>
          </w:tcPr>
          <w:p>
            <w:pPr>
              <w:jc w:val="center"/>
            </w:pPr>
            <w:r>
              <w:rPr>
                <w:rFonts w:ascii="Times New Roman" w:hAnsi="Times New Roman"/>
                <w:sz w:val="20"/>
              </w:rPr>
              <w:t>7</w:t>
            </w:r>
          </w:p>
        </w:tc>
        <w:tc>
          <w:tcPr>
            <w:tcW w:type="dxa" w:w="1440"/>
          </w:tcPr>
          <w:p>
            <w:pPr>
              <w:jc w:val="center"/>
            </w:pPr>
            <w:r>
              <w:rPr>
                <w:rFonts w:ascii="Times New Roman" w:hAnsi="Times New Roman"/>
                <w:sz w:val="20"/>
              </w:rPr>
              <w:t>78</w:t>
            </w:r>
          </w:p>
        </w:tc>
        <w:tc>
          <w:tcPr>
            <w:tcW w:type="dxa" w:w="1440"/>
          </w:tcPr>
          <w:p>
            <w:pPr>
              <w:jc w:val="center"/>
            </w:pPr>
            <w:r>
              <w:rPr>
                <w:rFonts w:ascii="Times New Roman" w:hAnsi="Times New Roman"/>
                <w:sz w:val="20"/>
              </w:rPr>
              <w:t>89</w:t>
            </w:r>
          </w:p>
        </w:tc>
        <w:tc>
          <w:tcPr>
            <w:tcW w:type="dxa" w:w="1440"/>
          </w:tcPr>
          <w:p>
            <w:pPr>
              <w:jc w:val="center"/>
            </w:pPr>
            <w:r>
              <w:rPr>
                <w:rFonts w:ascii="Times New Roman" w:hAnsi="Times New Roman"/>
                <w:sz w:val="20"/>
              </w:rPr>
              <w:t>—</w:t>
            </w:r>
          </w:p>
        </w:tc>
      </w:tr>
      <w:tr>
        <w:tc>
          <w:tcPr>
            <w:tcW w:type="dxa" w:w="1440"/>
          </w:tcPr>
          <w:p>
            <w:r>
              <w:rPr>
                <w:rFonts w:ascii="Times New Roman" w:hAnsi="Times New Roman"/>
                <w:sz w:val="20"/>
              </w:rPr>
              <w:t>DATA VIOLATIONS</w:t>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r>
      <w:tr>
        <w:tc>
          <w:tcPr>
            <w:tcW w:type="dxa" w:w="1440"/>
          </w:tcPr>
          <w:p>
            <w:r>
              <w:rPr>
                <w:rFonts w:ascii="Times New Roman" w:hAnsi="Times New Roman"/>
                <w:sz w:val="20"/>
              </w:rPr>
              <w:t>FK Data Violations (rows)</w:t>
            </w:r>
          </w:p>
        </w:tc>
        <w:tc>
          <w:tcPr>
            <w:tcW w:type="dxa" w:w="1440"/>
          </w:tcPr>
          <w:p>
            <w:pPr>
              <w:jc w:val="center"/>
            </w:pPr>
            <w:r>
              <w:rPr>
                <w:rFonts w:ascii="Times New Roman" w:hAnsi="Times New Roman"/>
                <w:sz w:val="20"/>
              </w:rPr>
              <w:t>1</w:t>
            </w:r>
          </w:p>
        </w:tc>
        <w:tc>
          <w:tcPr>
            <w:tcW w:type="dxa" w:w="1440"/>
          </w:tcPr>
          <w:p>
            <w:pPr>
              <w:jc w:val="center"/>
            </w:pPr>
            <w:r>
              <w:rPr>
                <w:rFonts w:ascii="Times New Roman" w:hAnsi="Times New Roman"/>
                <w:sz w:val="20"/>
              </w:rPr>
              <w:t>2,403</w:t>
            </w:r>
          </w:p>
        </w:tc>
        <w:tc>
          <w:tcPr>
            <w:tcW w:type="dxa" w:w="1440"/>
          </w:tcPr>
          <w:p>
            <w:pPr>
              <w:jc w:val="center"/>
            </w:pPr>
            <w:r>
              <w:rPr>
                <w:rFonts w:ascii="Times New Roman" w:hAnsi="Times New Roman"/>
                <w:sz w:val="20"/>
              </w:rPr>
              <w:t>39,523</w:t>
            </w:r>
          </w:p>
        </w:tc>
        <w:tc>
          <w:tcPr>
            <w:tcW w:type="dxa" w:w="1440"/>
          </w:tcPr>
          <w:p>
            <w:pPr>
              <w:jc w:val="center"/>
            </w:pPr>
            <w:r>
              <w:rPr>
                <w:rFonts w:ascii="Times New Roman" w:hAnsi="Times New Roman"/>
                <w:sz w:val="20"/>
              </w:rPr>
              <w:t>41,927</w:t>
            </w:r>
          </w:p>
        </w:tc>
        <w:tc>
          <w:tcPr>
            <w:tcW w:type="dxa" w:w="1440"/>
          </w:tcPr>
          <w:p>
            <w:pPr>
              <w:jc w:val="center"/>
            </w:pPr>
            <w:r>
              <w:rPr>
                <w:rFonts w:ascii="Times New Roman" w:hAnsi="Times New Roman"/>
                <w:sz w:val="20"/>
              </w:rPr>
              <w:t>CRITICAL</w:t>
            </w:r>
          </w:p>
        </w:tc>
      </w:tr>
      <w:tr>
        <w:tc>
          <w:tcPr>
            <w:tcW w:type="dxa" w:w="1440"/>
          </w:tcPr>
          <w:p>
            <w:r>
              <w:rPr>
                <w:rFonts w:ascii="Times New Roman" w:hAnsi="Times New Roman"/>
                <w:sz w:val="20"/>
              </w:rPr>
              <w:t>DBs with Data Violations</w:t>
            </w:r>
          </w:p>
        </w:tc>
        <w:tc>
          <w:tcPr>
            <w:tcW w:type="dxa" w:w="1440"/>
          </w:tcPr>
          <w:p>
            <w:pPr>
              <w:jc w:val="center"/>
            </w:pPr>
            <w:r>
              <w:rPr>
                <w:rFonts w:ascii="Times New Roman" w:hAnsi="Times New Roman"/>
                <w:sz w:val="20"/>
              </w:rPr>
              <w:t>1</w:t>
            </w:r>
          </w:p>
        </w:tc>
        <w:tc>
          <w:tcPr>
            <w:tcW w:type="dxa" w:w="1440"/>
          </w:tcPr>
          <w:p>
            <w:pPr>
              <w:jc w:val="center"/>
            </w:pPr>
            <w:r>
              <w:rPr>
                <w:rFonts w:ascii="Times New Roman" w:hAnsi="Times New Roman"/>
                <w:sz w:val="20"/>
              </w:rPr>
              <w:t>3</w:t>
            </w:r>
          </w:p>
        </w:tc>
        <w:tc>
          <w:tcPr>
            <w:tcW w:type="dxa" w:w="1440"/>
          </w:tcPr>
          <w:p>
            <w:pPr>
              <w:jc w:val="center"/>
            </w:pPr>
            <w:r>
              <w:rPr>
                <w:rFonts w:ascii="Times New Roman" w:hAnsi="Times New Roman"/>
                <w:sz w:val="20"/>
              </w:rPr>
              <w:t>6</w:t>
            </w:r>
          </w:p>
        </w:tc>
        <w:tc>
          <w:tcPr>
            <w:tcW w:type="dxa" w:w="1440"/>
          </w:tcPr>
          <w:p>
            <w:pPr>
              <w:jc w:val="center"/>
            </w:pPr>
            <w:r>
              <w:rPr>
                <w:rFonts w:ascii="Times New Roman" w:hAnsi="Times New Roman"/>
                <w:sz w:val="20"/>
              </w:rPr>
              <w:t>10</w:t>
            </w:r>
          </w:p>
        </w:tc>
        <w:tc>
          <w:tcPr>
            <w:tcW w:type="dxa" w:w="1440"/>
          </w:tcPr>
          <w:p>
            <w:pPr>
              <w:jc w:val="center"/>
            </w:pPr>
            <w:r>
              <w:rPr>
                <w:rFonts w:ascii="Times New Roman" w:hAnsi="Times New Roman"/>
                <w:sz w:val="20"/>
              </w:rPr>
              <w:t>—</w:t>
            </w:r>
          </w:p>
        </w:tc>
      </w:tr>
    </w:tbl>
    <w:p>
      <w:pPr>
        <w:jc w:val="center"/>
      </w:pPr>
      <w:r>
        <w:rPr>
          <w:rFonts w:ascii="Times New Roman" w:hAnsi="Times New Roman"/>
          <w:i/>
          <w:sz w:val="20"/>
        </w:rPr>
        <w:t>Table 2. Comprehensive foreign key error distribution across partitions</w:t>
      </w:r>
    </w:p>
    <w:p>
      <w:r>
        <w:rPr>
          <w:rFonts w:ascii="Times New Roman" w:hAnsi="Times New Roman"/>
          <w:b w:val="0"/>
          <w:i w:val="0"/>
          <w:sz w:val="22"/>
        </w:rPr>
        <w:t>Table 2-detailed enumerates the specific database identifiers associated with each foreign key error type, providing a practical reference for database maintainers and researchers seeking to understand which databases require which types of schema corrections. The table reveals error concentration patterns: certain databases (baseball_1, cre_Drama_Workshop_Groups, imdb, yelp) accumulate multiple error types simultaneously, while others exhibit single isolated issues.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Error Type</w:t>
            </w:r>
          </w:p>
        </w:tc>
        <w:tc>
          <w:tcPr>
            <w:tcW w:type="dxa" w:w="2160"/>
          </w:tcPr>
          <w:p>
            <w:pPr>
              <w:jc w:val="center"/>
            </w:pPr>
            <w:r>
              <w:rPr>
                <w:rFonts w:ascii="Times New Roman" w:hAnsi="Times New Roman"/>
                <w:b/>
                <w:sz w:val="20"/>
              </w:rPr>
              <w:t>Partition</w:t>
            </w:r>
          </w:p>
        </w:tc>
        <w:tc>
          <w:tcPr>
            <w:tcW w:type="dxa" w:w="2160"/>
          </w:tcPr>
          <w:p>
            <w:pPr>
              <w:jc w:val="center"/>
            </w:pPr>
            <w:r>
              <w:rPr>
                <w:rFonts w:ascii="Times New Roman" w:hAnsi="Times New Roman"/>
                <w:b/>
                <w:sz w:val="20"/>
              </w:rPr>
              <w:t>Count</w:t>
            </w:r>
          </w:p>
        </w:tc>
        <w:tc>
          <w:tcPr>
            <w:tcW w:type="dxa" w:w="2160"/>
          </w:tcPr>
          <w:p>
            <w:pPr>
              <w:jc w:val="center"/>
            </w:pPr>
            <w:r>
              <w:rPr>
                <w:rFonts w:ascii="Times New Roman" w:hAnsi="Times New Roman"/>
                <w:b/>
                <w:sz w:val="20"/>
              </w:rPr>
              <w:t>Database IDs</w:t>
            </w:r>
          </w:p>
        </w:tc>
      </w:tr>
      <w:tr>
        <w:tc>
          <w:tcPr>
            <w:tcW w:type="dxa" w:w="2160"/>
          </w:tcPr>
          <w:p>
            <w:r>
              <w:rPr>
                <w:rFonts w:ascii="Times New Roman" w:hAnsi="Times New Roman"/>
                <w:sz w:val="20"/>
              </w:rPr>
              <w:t>FK Missing Column</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3</w:t>
            </w:r>
          </w:p>
        </w:tc>
        <w:tc>
          <w:tcPr>
            <w:tcW w:type="dxa" w:w="2160"/>
          </w:tcPr>
          <w:p>
            <w:pPr>
              <w:jc w:val="center"/>
            </w:pPr>
            <w:r>
              <w:rPr>
                <w:rFonts w:ascii="Times New Roman" w:hAnsi="Times New Roman"/>
                <w:sz w:val="20"/>
              </w:rPr>
              <w:t>book_1 (2×), car_racing (1×)</w:t>
            </w:r>
          </w:p>
        </w:tc>
      </w:tr>
      <w:tr>
        <w:tc>
          <w:tcPr>
            <w:tcW w:type="dxa" w:w="2160"/>
          </w:tcPr>
          <w:p>
            <w:r>
              <w:rPr>
                <w:rFonts w:ascii="Times New Roman" w:hAnsi="Times New Roman"/>
                <w:sz w:val="20"/>
              </w:rPr>
              <w:t>FK Missing Column</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w:t>
            </w:r>
          </w:p>
        </w:tc>
      </w:tr>
      <w:tr>
        <w:tc>
          <w:tcPr>
            <w:tcW w:type="dxa" w:w="2160"/>
          </w:tcPr>
          <w:p>
            <w:r>
              <w:rPr>
                <w:rFonts w:ascii="Times New Roman" w:hAnsi="Times New Roman"/>
                <w:sz w:val="20"/>
              </w:rPr>
              <w:t>FK Missing Column</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5</w:t>
            </w:r>
          </w:p>
        </w:tc>
        <w:tc>
          <w:tcPr>
            <w:tcW w:type="dxa" w:w="2160"/>
          </w:tcPr>
          <w:p>
            <w:pPr>
              <w:jc w:val="center"/>
            </w:pPr>
            <w:r>
              <w:rPr>
                <w:rFonts w:ascii="Times New Roman" w:hAnsi="Times New Roman"/>
                <w:sz w:val="20"/>
              </w:rPr>
              <w:t>baseball_1, imdb, loan_1, restaurants, store_product</w:t>
            </w:r>
          </w:p>
        </w:tc>
      </w:tr>
      <w:tr>
        <w:tc>
          <w:tcPr>
            <w:tcW w:type="dxa" w:w="2160"/>
          </w:tcPr>
          <w:p>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FK Type Mismatch</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1</w:t>
            </w:r>
          </w:p>
        </w:tc>
        <w:tc>
          <w:tcPr>
            <w:tcW w:type="dxa" w:w="2160"/>
          </w:tcPr>
          <w:p>
            <w:pPr>
              <w:jc w:val="center"/>
            </w:pPr>
            <w:r>
              <w:rPr>
                <w:rFonts w:ascii="Times New Roman" w:hAnsi="Times New Roman"/>
                <w:sz w:val="20"/>
              </w:rPr>
              <w:t>government_shift</w:t>
            </w:r>
          </w:p>
        </w:tc>
      </w:tr>
      <w:tr>
        <w:tc>
          <w:tcPr>
            <w:tcW w:type="dxa" w:w="2160"/>
          </w:tcPr>
          <w:p>
            <w:r>
              <w:rPr>
                <w:rFonts w:ascii="Times New Roman" w:hAnsi="Times New Roman"/>
                <w:sz w:val="20"/>
              </w:rPr>
              <w:t>FK Type Mismatch</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5</w:t>
            </w:r>
          </w:p>
        </w:tc>
        <w:tc>
          <w:tcPr>
            <w:tcW w:type="dxa" w:w="2160"/>
          </w:tcPr>
          <w:p>
            <w:pPr>
              <w:jc w:val="center"/>
            </w:pPr>
            <w:r>
              <w:rPr>
                <w:rFonts w:ascii="Times New Roman" w:hAnsi="Times New Roman"/>
                <w:sz w:val="20"/>
              </w:rPr>
              <w:t>car_1, concert_singer (2×), employee_hire_evaluation, museum_visit</w:t>
            </w:r>
          </w:p>
        </w:tc>
      </w:tr>
      <w:tr>
        <w:tc>
          <w:tcPr>
            <w:tcW w:type="dxa" w:w="2160"/>
          </w:tcPr>
          <w:p>
            <w:r>
              <w:rPr>
                <w:rFonts w:ascii="Times New Roman" w:hAnsi="Times New Roman"/>
                <w:sz w:val="20"/>
              </w:rPr>
              <w:t>FK Type Mismatch</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32</w:t>
            </w:r>
          </w:p>
        </w:tc>
        <w:tc>
          <w:tcPr>
            <w:tcW w:type="dxa" w:w="2160"/>
          </w:tcPr>
          <w:p>
            <w:pPr>
              <w:jc w:val="center"/>
            </w:pPr>
            <w:r>
              <w:rPr>
                <w:rFonts w:ascii="Times New Roman" w:hAnsi="Times New Roman"/>
                <w:sz w:val="20"/>
              </w:rPr>
              <w:t>academic, aircraft (2×), architecture (2×), city_record, company_employee, cre_Drama_Workshop_Groups (9×), culture_company (2×), loan_1, machine_repair, party_people, performance_attendance (2×), phone_1, phone_market, race_track, school_finance (2×), shop_membership (2×), student_assessment, wrestler</w:t>
            </w:r>
          </w:p>
        </w:tc>
      </w:tr>
      <w:tr>
        <w:tc>
          <w:tcPr>
            <w:tcW w:type="dxa" w:w="2160"/>
          </w:tcPr>
          <w:p>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FK Target Not Key</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w:t>
            </w:r>
          </w:p>
        </w:tc>
      </w:tr>
      <w:tr>
        <w:tc>
          <w:tcPr>
            <w:tcW w:type="dxa" w:w="2160"/>
          </w:tcPr>
          <w:p>
            <w:r>
              <w:rPr>
                <w:rFonts w:ascii="Times New Roman" w:hAnsi="Times New Roman"/>
                <w:sz w:val="20"/>
              </w:rPr>
              <w:t>FK Target Not Key</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w:t>
            </w:r>
          </w:p>
        </w:tc>
        <w:tc>
          <w:tcPr>
            <w:tcW w:type="dxa" w:w="2160"/>
          </w:tcPr>
          <w:p>
            <w:pPr>
              <w:jc w:val="center"/>
            </w:pPr>
            <w:r>
              <w:rPr>
                <w:rFonts w:ascii="Times New Roman" w:hAnsi="Times New Roman"/>
                <w:sz w:val="20"/>
              </w:rPr>
              <w:t>car_1, voter_1</w:t>
            </w:r>
          </w:p>
        </w:tc>
      </w:tr>
      <w:tr>
        <w:tc>
          <w:tcPr>
            <w:tcW w:type="dxa" w:w="2160"/>
          </w:tcPr>
          <w:p>
            <w:r>
              <w:rPr>
                <w:rFonts w:ascii="Times New Roman" w:hAnsi="Times New Roman"/>
                <w:sz w:val="20"/>
              </w:rPr>
              <w:t>FK Target Not Key</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41</w:t>
            </w:r>
          </w:p>
        </w:tc>
        <w:tc>
          <w:tcPr>
            <w:tcW w:type="dxa" w:w="2160"/>
          </w:tcPr>
          <w:p>
            <w:pPr>
              <w:jc w:val="center"/>
            </w:pPr>
            <w:r>
              <w:rPr>
                <w:rFonts w:ascii="Times New Roman" w:hAnsi="Times New Roman"/>
                <w:sz w:val="20"/>
              </w:rPr>
              <w:t>baseball_1 (20×), dorm_1 (3×), imdb (6×), soccer_1 (4×), wine_1 (2×), yelp (7×)</w:t>
            </w:r>
          </w:p>
        </w:tc>
      </w:tr>
    </w:tbl>
    <w:p>
      <w:pPr>
        <w:jc w:val="center"/>
      </w:pPr>
      <w:r>
        <w:rPr>
          <w:rFonts w:ascii="Times New Roman" w:hAnsi="Times New Roman"/>
          <w:i/>
          <w:sz w:val="20"/>
        </w:rPr>
        <w:t>Table 2-detailed. Database identifiers by foreign key error type and partition (× denotes error count)</w:t>
      </w:r>
    </w:p>
    <w:p>
      <w:r>
        <w:rPr>
          <w:rFonts w:ascii="Times New Roman" w:hAnsi="Times New Roman"/>
          <w:b w:val="0"/>
          <w:i w:val="0"/>
          <w:sz w:val="22"/>
        </w:rPr>
        <w:t>FK Type Mismatch errors (38 total) affect 19 databases, with Train's cre_Drama_Workshop_Groups containing 9 instances (50% of Train's type mismatches). These arise from TEXT-to-INTEGER or INTEGER-to-REAL incompatibilities, suggesting inconsistent type selection or uncoordinated schema evolution. FK Target Not Key errors (43 total) concentrate in Train with baseball_1 (20×), yelp (7×), and imdb (6×) accounting for 80% of this error type, representing fundamental design flaws where foreign keys reference non-unique columns. FK Missing Column errors (8 total) appear sporadically in book_1, baseball_1, imdb, loan_1, restaurants, and store_product, indicating column renaming without foreign key updates.</w:t>
      </w:r>
    </w:p>
    <w:p>
      <w:r>
        <w:rPr>
          <w:rFonts w:ascii="Times New Roman" w:hAnsi="Times New Roman"/>
          <w:b w:val="0"/>
          <w:i w:val="0"/>
          <w:sz w:val="22"/>
        </w:rPr>
        <w:t>Beyond structural errors, 10 databases exhibit referential integrity violations where foreign key values lack corresponding primary key entries. Table 2a reveals extreme concentration: sakila_1 (38,273 violations) and flight_2 (2,403 violations) account for 97% of all 41,927 violations, indicating systematic data export failures. The remaining eight databases contain only 14 violations combined (&lt;0.1%), representing isolated issues.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Database ID</w:t>
            </w:r>
          </w:p>
        </w:tc>
        <w:tc>
          <w:tcPr>
            <w:tcW w:type="dxa" w:w="1728"/>
          </w:tcPr>
          <w:p>
            <w:pPr>
              <w:jc w:val="center"/>
            </w:pPr>
            <w:r>
              <w:rPr>
                <w:rFonts w:ascii="Times New Roman" w:hAnsi="Times New Roman"/>
                <w:b/>
                <w:sz w:val="20"/>
              </w:rPr>
              <w:t>Partition</w:t>
            </w:r>
          </w:p>
        </w:tc>
        <w:tc>
          <w:tcPr>
            <w:tcW w:type="dxa" w:w="1728"/>
          </w:tcPr>
          <w:p>
            <w:pPr>
              <w:jc w:val="center"/>
            </w:pPr>
            <w:r>
              <w:rPr>
                <w:rFonts w:ascii="Times New Roman" w:hAnsi="Times New Roman"/>
                <w:b/>
                <w:sz w:val="20"/>
              </w:rPr>
              <w:t>FK Data Violations</w:t>
            </w:r>
          </w:p>
        </w:tc>
        <w:tc>
          <w:tcPr>
            <w:tcW w:type="dxa" w:w="1728"/>
          </w:tcPr>
          <w:p>
            <w:pPr>
              <w:jc w:val="center"/>
            </w:pPr>
            <w:r>
              <w:rPr>
                <w:rFonts w:ascii="Times New Roman" w:hAnsi="Times New Roman"/>
                <w:b/>
                <w:sz w:val="20"/>
              </w:rPr>
              <w:t>% of Total</w:t>
            </w:r>
          </w:p>
        </w:tc>
        <w:tc>
          <w:tcPr>
            <w:tcW w:type="dxa" w:w="1728"/>
          </w:tcPr>
          <w:p>
            <w:pPr>
              <w:jc w:val="center"/>
            </w:pPr>
            <w:r>
              <w:rPr>
                <w:rFonts w:ascii="Times New Roman" w:hAnsi="Times New Roman"/>
                <w:b/>
                <w:sz w:val="20"/>
              </w:rPr>
              <w:t>Severity</w:t>
            </w:r>
          </w:p>
        </w:tc>
      </w:tr>
      <w:tr>
        <w:tc>
          <w:tcPr>
            <w:tcW w:type="dxa" w:w="1728"/>
          </w:tcPr>
          <w:p>
            <w:r>
              <w:rPr>
                <w:rFonts w:ascii="Times New Roman" w:hAnsi="Times New Roman"/>
                <w:sz w:val="20"/>
              </w:rPr>
              <w:t>sakila_1</w:t>
            </w:r>
          </w:p>
        </w:tc>
        <w:tc>
          <w:tcPr>
            <w:tcW w:type="dxa" w:w="1728"/>
          </w:tcPr>
          <w:p>
            <w:pPr>
              <w:jc w:val="center"/>
            </w:pPr>
            <w:r>
              <w:rPr>
                <w:rFonts w:ascii="Times New Roman" w:hAnsi="Times New Roman"/>
                <w:sz w:val="20"/>
              </w:rPr>
              <w:t>Train</w:t>
            </w:r>
          </w:p>
        </w:tc>
        <w:tc>
          <w:tcPr>
            <w:tcW w:type="dxa" w:w="1728"/>
          </w:tcPr>
          <w:p>
            <w:pPr>
              <w:jc w:val="center"/>
            </w:pPr>
            <w:r>
              <w:rPr>
                <w:rFonts w:ascii="Times New Roman" w:hAnsi="Times New Roman"/>
                <w:sz w:val="20"/>
              </w:rPr>
              <w:t>38,273</w:t>
            </w:r>
          </w:p>
        </w:tc>
        <w:tc>
          <w:tcPr>
            <w:tcW w:type="dxa" w:w="1728"/>
          </w:tcPr>
          <w:p>
            <w:pPr>
              <w:jc w:val="center"/>
            </w:pPr>
            <w:r>
              <w:rPr>
                <w:rFonts w:ascii="Times New Roman" w:hAnsi="Times New Roman"/>
                <w:sz w:val="20"/>
              </w:rPr>
              <w:t>91.3%</w:t>
            </w:r>
          </w:p>
        </w:tc>
        <w:tc>
          <w:tcPr>
            <w:tcW w:type="dxa" w:w="1728"/>
          </w:tcPr>
          <w:p>
            <w:pPr>
              <w:jc w:val="center"/>
            </w:pPr>
            <w:r>
              <w:rPr>
                <w:rFonts w:ascii="Times New Roman" w:hAnsi="Times New Roman"/>
                <w:sz w:val="20"/>
              </w:rPr>
              <w:t>CATASTROPHIC</w:t>
            </w:r>
          </w:p>
        </w:tc>
      </w:tr>
      <w:tr>
        <w:tc>
          <w:tcPr>
            <w:tcW w:type="dxa" w:w="1728"/>
          </w:tcPr>
          <w:p>
            <w:r>
              <w:rPr>
                <w:rFonts w:ascii="Times New Roman" w:hAnsi="Times New Roman"/>
                <w:sz w:val="20"/>
              </w:rPr>
              <w:t>flight_2</w:t>
            </w:r>
          </w:p>
        </w:tc>
        <w:tc>
          <w:tcPr>
            <w:tcW w:type="dxa" w:w="1728"/>
          </w:tcPr>
          <w:p>
            <w:pPr>
              <w:jc w:val="center"/>
            </w:pPr>
            <w:r>
              <w:rPr>
                <w:rFonts w:ascii="Times New Roman" w:hAnsi="Times New Roman"/>
                <w:sz w:val="20"/>
              </w:rPr>
              <w:t>Dev</w:t>
            </w:r>
          </w:p>
        </w:tc>
        <w:tc>
          <w:tcPr>
            <w:tcW w:type="dxa" w:w="1728"/>
          </w:tcPr>
          <w:p>
            <w:pPr>
              <w:jc w:val="center"/>
            </w:pPr>
            <w:r>
              <w:rPr>
                <w:rFonts w:ascii="Times New Roman" w:hAnsi="Times New Roman"/>
                <w:sz w:val="20"/>
              </w:rPr>
              <w:t>2,403</w:t>
            </w:r>
          </w:p>
        </w:tc>
        <w:tc>
          <w:tcPr>
            <w:tcW w:type="dxa" w:w="1728"/>
          </w:tcPr>
          <w:p>
            <w:pPr>
              <w:jc w:val="center"/>
            </w:pPr>
            <w:r>
              <w:rPr>
                <w:rFonts w:ascii="Times New Roman" w:hAnsi="Times New Roman"/>
                <w:sz w:val="20"/>
              </w:rPr>
              <w:t>5.7%</w:t>
            </w:r>
          </w:p>
        </w:tc>
        <w:tc>
          <w:tcPr>
            <w:tcW w:type="dxa" w:w="1728"/>
          </w:tcPr>
          <w:p>
            <w:pPr>
              <w:jc w:val="center"/>
            </w:pPr>
            <w:r>
              <w:rPr>
                <w:rFonts w:ascii="Times New Roman" w:hAnsi="Times New Roman"/>
                <w:sz w:val="20"/>
              </w:rPr>
              <w:t>CATASTROPHIC</w:t>
            </w:r>
          </w:p>
        </w:tc>
      </w:tr>
      <w:tr>
        <w:tc>
          <w:tcPr>
            <w:tcW w:type="dxa" w:w="1728"/>
          </w:tcPr>
          <w:p>
            <w:r>
              <w:rPr>
                <w:rFonts w:ascii="Times New Roman" w:hAnsi="Times New Roman"/>
                <w:sz w:val="20"/>
              </w:rPr>
              <w:t>flight_4</w:t>
            </w:r>
          </w:p>
        </w:tc>
        <w:tc>
          <w:tcPr>
            <w:tcW w:type="dxa" w:w="1728"/>
          </w:tcPr>
          <w:p>
            <w:pPr>
              <w:jc w:val="center"/>
            </w:pPr>
            <w:r>
              <w:rPr>
                <w:rFonts w:ascii="Times New Roman" w:hAnsi="Times New Roman"/>
                <w:sz w:val="20"/>
              </w:rPr>
              <w:t>Train</w:t>
            </w:r>
          </w:p>
        </w:tc>
        <w:tc>
          <w:tcPr>
            <w:tcW w:type="dxa" w:w="1728"/>
          </w:tcPr>
          <w:p>
            <w:pPr>
              <w:jc w:val="center"/>
            </w:pPr>
            <w:r>
              <w:rPr>
                <w:rFonts w:ascii="Times New Roman" w:hAnsi="Times New Roman"/>
                <w:sz w:val="20"/>
              </w:rPr>
              <w:t>1,240</w:t>
            </w:r>
          </w:p>
        </w:tc>
        <w:tc>
          <w:tcPr>
            <w:tcW w:type="dxa" w:w="1728"/>
          </w:tcPr>
          <w:p>
            <w:pPr>
              <w:jc w:val="center"/>
            </w:pPr>
            <w:r>
              <w:rPr>
                <w:rFonts w:ascii="Times New Roman" w:hAnsi="Times New Roman"/>
                <w:sz w:val="20"/>
              </w:rPr>
              <w:t>3.0%</w:t>
            </w:r>
          </w:p>
        </w:tc>
        <w:tc>
          <w:tcPr>
            <w:tcW w:type="dxa" w:w="1728"/>
          </w:tcPr>
          <w:p>
            <w:pPr>
              <w:jc w:val="center"/>
            </w:pPr>
            <w:r>
              <w:rPr>
                <w:rFonts w:ascii="Times New Roman" w:hAnsi="Times New Roman"/>
                <w:sz w:val="20"/>
              </w:rPr>
              <w:t>High</w:t>
            </w:r>
          </w:p>
        </w:tc>
      </w:tr>
      <w:tr>
        <w:tc>
          <w:tcPr>
            <w:tcW w:type="dxa" w:w="1728"/>
          </w:tcPr>
          <w:p>
            <w:r>
              <w:rPr>
                <w:rFonts w:ascii="Times New Roman" w:hAnsi="Times New Roman"/>
                <w:sz w:val="20"/>
              </w:rPr>
              <w:t>car_1</w:t>
            </w:r>
          </w:p>
        </w:tc>
        <w:tc>
          <w:tcPr>
            <w:tcW w:type="dxa" w:w="1728"/>
          </w:tcPr>
          <w:p>
            <w:pPr>
              <w:jc w:val="center"/>
            </w:pPr>
            <w:r>
              <w:rPr>
                <w:rFonts w:ascii="Times New Roman" w:hAnsi="Times New Roman"/>
                <w:sz w:val="20"/>
              </w:rPr>
              <w:t>Dev</w:t>
            </w:r>
          </w:p>
        </w:tc>
        <w:tc>
          <w:tcPr>
            <w:tcW w:type="dxa" w:w="1728"/>
          </w:tcPr>
          <w:p>
            <w:pPr>
              <w:jc w:val="center"/>
            </w:pPr>
            <w:r>
              <w:rPr>
                <w:rFonts w:ascii="Times New Roman" w:hAnsi="Times New Roman"/>
                <w:sz w:val="20"/>
              </w:rPr>
              <w:t>2</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hr_1</w:t>
            </w:r>
          </w:p>
        </w:tc>
        <w:tc>
          <w:tcPr>
            <w:tcW w:type="dxa" w:w="1728"/>
          </w:tcPr>
          <w:p>
            <w:pPr>
              <w:jc w:val="center"/>
            </w:pPr>
            <w:r>
              <w:rPr>
                <w:rFonts w:ascii="Times New Roman" w:hAnsi="Times New Roman"/>
                <w:sz w:val="20"/>
              </w:rPr>
              <w:t>Train</w:t>
            </w:r>
          </w:p>
        </w:tc>
        <w:tc>
          <w:tcPr>
            <w:tcW w:type="dxa" w:w="1728"/>
          </w:tcPr>
          <w:p>
            <w:pPr>
              <w:jc w:val="center"/>
            </w:pPr>
            <w:r>
              <w:rPr>
                <w:rFonts w:ascii="Times New Roman" w:hAnsi="Times New Roman"/>
                <w:sz w:val="20"/>
              </w:rPr>
              <w:t>6</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college_1</w:t>
            </w:r>
          </w:p>
        </w:tc>
        <w:tc>
          <w:tcPr>
            <w:tcW w:type="dxa" w:w="1728"/>
          </w:tcPr>
          <w:p>
            <w:pPr>
              <w:jc w:val="center"/>
            </w:pPr>
            <w:r>
              <w:rPr>
                <w:rFonts w:ascii="Times New Roman" w:hAnsi="Times New Roman"/>
                <w:sz w:val="20"/>
              </w:rPr>
              <w:t>Train</w:t>
            </w:r>
          </w:p>
        </w:tc>
        <w:tc>
          <w:tcPr>
            <w:tcW w:type="dxa" w:w="1728"/>
          </w:tcPr>
          <w:p>
            <w:pPr>
              <w:jc w:val="center"/>
            </w:pPr>
            <w:r>
              <w:rPr>
                <w:rFonts w:ascii="Times New Roman" w:hAnsi="Times New Roman"/>
                <w:sz w:val="20"/>
              </w:rPr>
              <w:t>2</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wta_1</w:t>
            </w:r>
          </w:p>
        </w:tc>
        <w:tc>
          <w:tcPr>
            <w:tcW w:type="dxa" w:w="1728"/>
          </w:tcPr>
          <w:p>
            <w:pPr>
              <w:jc w:val="center"/>
            </w:pPr>
            <w:r>
              <w:rPr>
                <w:rFonts w:ascii="Times New Roman" w:hAnsi="Times New Roman"/>
                <w:sz w:val="20"/>
              </w:rPr>
              <w:t>Dev</w:t>
            </w:r>
          </w:p>
        </w:tc>
        <w:tc>
          <w:tcPr>
            <w:tcW w:type="dxa" w:w="1728"/>
          </w:tcPr>
          <w:p>
            <w:pPr>
              <w:jc w:val="center"/>
            </w:pPr>
            <w:r>
              <w:rPr>
                <w:rFonts w:ascii="Times New Roman" w:hAnsi="Times New Roman"/>
                <w:sz w:val="20"/>
              </w:rPr>
              <w:t>1</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hospital_1</w:t>
            </w:r>
          </w:p>
        </w:tc>
        <w:tc>
          <w:tcPr>
            <w:tcW w:type="dxa" w:w="1728"/>
          </w:tcPr>
          <w:p>
            <w:pPr>
              <w:jc w:val="center"/>
            </w:pPr>
            <w:r>
              <w:rPr>
                <w:rFonts w:ascii="Times New Roman" w:hAnsi="Times New Roman"/>
                <w:sz w:val="20"/>
              </w:rPr>
              <w:t>Train</w:t>
            </w:r>
          </w:p>
        </w:tc>
        <w:tc>
          <w:tcPr>
            <w:tcW w:type="dxa" w:w="1728"/>
          </w:tcPr>
          <w:p>
            <w:pPr>
              <w:jc w:val="center"/>
            </w:pPr>
            <w:r>
              <w:rPr>
                <w:rFonts w:ascii="Times New Roman" w:hAnsi="Times New Roman"/>
                <w:sz w:val="20"/>
              </w:rPr>
              <w:t>1</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allergy_1</w:t>
            </w:r>
          </w:p>
        </w:tc>
        <w:tc>
          <w:tcPr>
            <w:tcW w:type="dxa" w:w="1728"/>
          </w:tcPr>
          <w:p>
            <w:pPr>
              <w:jc w:val="center"/>
            </w:pPr>
            <w:r>
              <w:rPr>
                <w:rFonts w:ascii="Times New Roman" w:hAnsi="Times New Roman"/>
                <w:sz w:val="20"/>
              </w:rPr>
              <w:t>Train</w:t>
            </w:r>
          </w:p>
        </w:tc>
        <w:tc>
          <w:tcPr>
            <w:tcW w:type="dxa" w:w="1728"/>
          </w:tcPr>
          <w:p>
            <w:pPr>
              <w:jc w:val="center"/>
            </w:pPr>
            <w:r>
              <w:rPr>
                <w:rFonts w:ascii="Times New Roman" w:hAnsi="Times New Roman"/>
                <w:sz w:val="20"/>
              </w:rPr>
              <w:t>1</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pilot_1</w:t>
            </w:r>
          </w:p>
        </w:tc>
        <w:tc>
          <w:tcPr>
            <w:tcW w:type="dxa" w:w="1728"/>
          </w:tcPr>
          <w:p>
            <w:pPr>
              <w:jc w:val="center"/>
            </w:pPr>
            <w:r>
              <w:rPr>
                <w:rFonts w:ascii="Times New Roman" w:hAnsi="Times New Roman"/>
                <w:sz w:val="20"/>
              </w:rPr>
              <w:t>Test</w:t>
            </w:r>
          </w:p>
        </w:tc>
        <w:tc>
          <w:tcPr>
            <w:tcW w:type="dxa" w:w="1728"/>
          </w:tcPr>
          <w:p>
            <w:pPr>
              <w:jc w:val="center"/>
            </w:pPr>
            <w:r>
              <w:rPr>
                <w:rFonts w:ascii="Times New Roman" w:hAnsi="Times New Roman"/>
                <w:sz w:val="20"/>
              </w:rPr>
              <w:t>1</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TOTAL</w:t>
            </w:r>
          </w:p>
        </w:tc>
        <w:tc>
          <w:tcPr>
            <w:tcW w:type="dxa" w:w="1728"/>
          </w:tcPr>
          <w:p>
            <w:pPr>
              <w:jc w:val="center"/>
            </w:pPr>
            <w:r>
              <w:rPr>
                <w:rFonts w:ascii="Times New Roman" w:hAnsi="Times New Roman"/>
                <w:sz w:val="20"/>
              </w:rPr>
              <w:t>—</w:t>
            </w:r>
          </w:p>
        </w:tc>
        <w:tc>
          <w:tcPr>
            <w:tcW w:type="dxa" w:w="1728"/>
          </w:tcPr>
          <w:p>
            <w:pPr>
              <w:jc w:val="center"/>
            </w:pPr>
            <w:r>
              <w:rPr>
                <w:rFonts w:ascii="Times New Roman" w:hAnsi="Times New Roman"/>
                <w:sz w:val="20"/>
              </w:rPr>
              <w:t>41,927</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w:t>
            </w:r>
          </w:p>
        </w:tc>
      </w:tr>
    </w:tbl>
    <w:p>
      <w:pPr>
        <w:jc w:val="center"/>
      </w:pPr>
      <w:r>
        <w:rPr>
          <w:rFonts w:ascii="Times New Roman" w:hAnsi="Times New Roman"/>
          <w:i/>
          <w:sz w:val="20"/>
        </w:rPr>
        <w:t>Table 2a. Complete enumeration of databases with foreign key data violations across all partitions</w:t>
      </w:r>
    </w:p>
    <w:p>
      <w:r>
        <w:rPr>
          <w:rFonts w:ascii="Times New Roman" w:hAnsi="Times New Roman"/>
          <w:b w:val="0"/>
          <w:i w:val="0"/>
          <w:sz w:val="22"/>
        </w:rPr>
        <w:t>CATASTROPHIC severity applies to sakila_1 and flight_2, whose pervasive violations render JOIN operations unreliable. The sakila_1 database (modified MySQL sample) suggests incomplete data migration, while flight_2 indicates export errors. HIGH severity assigns to flight_4 (1,240 violations), suggesting systematic issues with flight-domain databases. The remaining eight LOW severity databases (1-6 violations each) likely represent isolated data entry errors or constraint addition after data insertion.</w:t>
      </w:r>
    </w:p>
    <w:p>
      <w:r>
        <w:rPr>
          <w:rFonts w:ascii="Times New Roman" w:hAnsi="Times New Roman"/>
          <w:b w:val="0"/>
          <w:i w:val="0"/>
          <w:sz w:val="22"/>
        </w:rPr>
        <w:t>The CRITICAL severity classification for FK data violations reflects their direct impact on model evaluation reliability, particularly in Test and Dev partitions. Standard Text-to-SQL evaluation employs Execution Match (EX) metrics that compare predicted query results against ground truth results by executing both queries and measuring set equivalence. When databases contain referential integrity violations, JOIN operations produce incorrect results differing from those assumed during annotation, introducing systematic evaluation bias. Specifically, flight_2 in Dev with 2,403 violations affects 35.6% of Dev's validation examples, potentially invalidating hyperparameter tuning decisions based on corrupted evaluation signals. Models optimized against such biased metrics may exhibit degraded performance on clean data while appearing superior during validation. The Test partition's single violation represents minimal bias risk, while Train's violations (though numerous) primarily affect training dynamics rather than evaluation integrity. This asymmetry underscores the urgent need to repair Dev's flight_2 database before conducting model selection or publishing benchmark results.</w:t>
      </w:r>
    </w:p>
    <w:p>
      <w:r>
        <w:rPr>
          <w:rFonts w:ascii="Times New Roman" w:hAnsi="Times New Roman"/>
          <w:b w:val="0"/>
          <w:i w:val="0"/>
          <w:sz w:val="22"/>
        </w:rPr>
        <w:t>Train exhibits 71 empty tables (9.0% of Train tables) absent from Test and Dev. Table 2b shows seven databases with 0% data coverage (academic, imdb, yelp, restaurants, geo, music_2, scholar) totaling 65 empty tables, plus partial emptiness in sakila_1 (4 empty) and formula_1 (2 empty). Empty tables preclude semantic validation and may confuse training.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Database ID</w:t>
            </w:r>
          </w:p>
        </w:tc>
        <w:tc>
          <w:tcPr>
            <w:tcW w:type="dxa" w:w="1728"/>
          </w:tcPr>
          <w:p>
            <w:pPr>
              <w:jc w:val="center"/>
            </w:pPr>
            <w:r>
              <w:rPr>
                <w:rFonts w:ascii="Times New Roman" w:hAnsi="Times New Roman"/>
                <w:b/>
                <w:sz w:val="20"/>
              </w:rPr>
              <w:t>Total Tables</w:t>
            </w:r>
          </w:p>
        </w:tc>
        <w:tc>
          <w:tcPr>
            <w:tcW w:type="dxa" w:w="1728"/>
          </w:tcPr>
          <w:p>
            <w:pPr>
              <w:jc w:val="center"/>
            </w:pPr>
            <w:r>
              <w:rPr>
                <w:rFonts w:ascii="Times New Roman" w:hAnsi="Times New Roman"/>
                <w:b/>
                <w:sz w:val="20"/>
              </w:rPr>
              <w:t>Empty Tables</w:t>
            </w:r>
          </w:p>
        </w:tc>
        <w:tc>
          <w:tcPr>
            <w:tcW w:type="dxa" w:w="1728"/>
          </w:tcPr>
          <w:p>
            <w:pPr>
              <w:jc w:val="center"/>
            </w:pPr>
            <w:r>
              <w:rPr>
                <w:rFonts w:ascii="Times New Roman" w:hAnsi="Times New Roman"/>
                <w:b/>
                <w:sz w:val="20"/>
              </w:rPr>
              <w:t>Data Coverage</w:t>
            </w:r>
          </w:p>
        </w:tc>
        <w:tc>
          <w:tcPr>
            <w:tcW w:type="dxa" w:w="1728"/>
          </w:tcPr>
          <w:p>
            <w:pPr>
              <w:jc w:val="center"/>
            </w:pPr>
            <w:r>
              <w:rPr>
                <w:rFonts w:ascii="Times New Roman" w:hAnsi="Times New Roman"/>
                <w:b/>
                <w:sz w:val="20"/>
              </w:rPr>
              <w:t>Status</w:t>
            </w:r>
          </w:p>
        </w:tc>
      </w:tr>
      <w:tr>
        <w:tc>
          <w:tcPr>
            <w:tcW w:type="dxa" w:w="1728"/>
          </w:tcPr>
          <w:p>
            <w:r>
              <w:rPr>
                <w:rFonts w:ascii="Times New Roman" w:hAnsi="Times New Roman"/>
                <w:sz w:val="20"/>
              </w:rPr>
              <w:t>academic</w:t>
            </w:r>
          </w:p>
        </w:tc>
        <w:tc>
          <w:tcPr>
            <w:tcW w:type="dxa" w:w="1728"/>
          </w:tcPr>
          <w:p>
            <w:pPr>
              <w:jc w:val="center"/>
            </w:pPr>
            <w:r>
              <w:rPr>
                <w:rFonts w:ascii="Times New Roman" w:hAnsi="Times New Roman"/>
                <w:sz w:val="20"/>
              </w:rPr>
              <w:t>15</w:t>
            </w:r>
          </w:p>
        </w:tc>
        <w:tc>
          <w:tcPr>
            <w:tcW w:type="dxa" w:w="1728"/>
          </w:tcPr>
          <w:p>
            <w:pPr>
              <w:jc w:val="center"/>
            </w:pPr>
            <w:r>
              <w:rPr>
                <w:rFonts w:ascii="Times New Roman" w:hAnsi="Times New Roman"/>
                <w:sz w:val="20"/>
              </w:rPr>
              <w:t>15</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Error + All Empty</w:t>
            </w:r>
          </w:p>
        </w:tc>
      </w:tr>
      <w:tr>
        <w:tc>
          <w:tcPr>
            <w:tcW w:type="dxa" w:w="1728"/>
          </w:tcPr>
          <w:p>
            <w:r>
              <w:rPr>
                <w:rFonts w:ascii="Times New Roman" w:hAnsi="Times New Roman"/>
                <w:sz w:val="20"/>
              </w:rPr>
              <w:t>imdb</w:t>
            </w:r>
          </w:p>
        </w:tc>
        <w:tc>
          <w:tcPr>
            <w:tcW w:type="dxa" w:w="1728"/>
          </w:tcPr>
          <w:p>
            <w:pPr>
              <w:jc w:val="center"/>
            </w:pPr>
            <w:r>
              <w:rPr>
                <w:rFonts w:ascii="Times New Roman" w:hAnsi="Times New Roman"/>
                <w:sz w:val="20"/>
              </w:rPr>
              <w:t>16</w:t>
            </w:r>
          </w:p>
        </w:tc>
        <w:tc>
          <w:tcPr>
            <w:tcW w:type="dxa" w:w="1728"/>
          </w:tcPr>
          <w:p>
            <w:pPr>
              <w:jc w:val="center"/>
            </w:pPr>
            <w:r>
              <w:rPr>
                <w:rFonts w:ascii="Times New Roman" w:hAnsi="Times New Roman"/>
                <w:sz w:val="20"/>
              </w:rPr>
              <w:t>16</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Error + All Empty</w:t>
            </w:r>
          </w:p>
        </w:tc>
      </w:tr>
      <w:tr>
        <w:tc>
          <w:tcPr>
            <w:tcW w:type="dxa" w:w="1728"/>
          </w:tcPr>
          <w:p>
            <w:r>
              <w:rPr>
                <w:rFonts w:ascii="Times New Roman" w:hAnsi="Times New Roman"/>
                <w:sz w:val="20"/>
              </w:rPr>
              <w:t>yelp</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Error + All Empty</w:t>
            </w:r>
          </w:p>
        </w:tc>
      </w:tr>
      <w:tr>
        <w:tc>
          <w:tcPr>
            <w:tcW w:type="dxa" w:w="1728"/>
          </w:tcPr>
          <w:p>
            <w:r>
              <w:rPr>
                <w:rFonts w:ascii="Times New Roman" w:hAnsi="Times New Roman"/>
                <w:sz w:val="20"/>
              </w:rPr>
              <w:t>restaurants</w:t>
            </w:r>
          </w:p>
        </w:tc>
        <w:tc>
          <w:tcPr>
            <w:tcW w:type="dxa" w:w="1728"/>
          </w:tcPr>
          <w:p>
            <w:pPr>
              <w:jc w:val="center"/>
            </w:pPr>
            <w:r>
              <w:rPr>
                <w:rFonts w:ascii="Times New Roman" w:hAnsi="Times New Roman"/>
                <w:sz w:val="20"/>
              </w:rPr>
              <w:t>3</w:t>
            </w:r>
          </w:p>
        </w:tc>
        <w:tc>
          <w:tcPr>
            <w:tcW w:type="dxa" w:w="1728"/>
          </w:tcPr>
          <w:p>
            <w:pPr>
              <w:jc w:val="center"/>
            </w:pPr>
            <w:r>
              <w:rPr>
                <w:rFonts w:ascii="Times New Roman" w:hAnsi="Times New Roman"/>
                <w:sz w:val="20"/>
              </w:rPr>
              <w:t>3</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Error + All Empty</w:t>
            </w:r>
          </w:p>
        </w:tc>
      </w:tr>
      <w:tr>
        <w:tc>
          <w:tcPr>
            <w:tcW w:type="dxa" w:w="1728"/>
          </w:tcPr>
          <w:p>
            <w:r>
              <w:rPr>
                <w:rFonts w:ascii="Times New Roman" w:hAnsi="Times New Roman"/>
                <w:sz w:val="20"/>
              </w:rPr>
              <w:t>geo</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Warning (All Empty)</w:t>
            </w:r>
          </w:p>
        </w:tc>
      </w:tr>
      <w:tr>
        <w:tc>
          <w:tcPr>
            <w:tcW w:type="dxa" w:w="1728"/>
          </w:tcPr>
          <w:p>
            <w:r>
              <w:rPr>
                <w:rFonts w:ascii="Times New Roman" w:hAnsi="Times New Roman"/>
                <w:sz w:val="20"/>
              </w:rPr>
              <w:t>music_2</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Warning (All Empty)</w:t>
            </w:r>
          </w:p>
        </w:tc>
      </w:tr>
      <w:tr>
        <w:tc>
          <w:tcPr>
            <w:tcW w:type="dxa" w:w="1728"/>
          </w:tcPr>
          <w:p>
            <w:r>
              <w:rPr>
                <w:rFonts w:ascii="Times New Roman" w:hAnsi="Times New Roman"/>
                <w:sz w:val="20"/>
              </w:rPr>
              <w:t>scholar</w:t>
            </w:r>
          </w:p>
        </w:tc>
        <w:tc>
          <w:tcPr>
            <w:tcW w:type="dxa" w:w="1728"/>
          </w:tcPr>
          <w:p>
            <w:pPr>
              <w:jc w:val="center"/>
            </w:pPr>
            <w:r>
              <w:rPr>
                <w:rFonts w:ascii="Times New Roman" w:hAnsi="Times New Roman"/>
                <w:sz w:val="20"/>
              </w:rPr>
              <w:t>10</w:t>
            </w:r>
          </w:p>
        </w:tc>
        <w:tc>
          <w:tcPr>
            <w:tcW w:type="dxa" w:w="1728"/>
          </w:tcPr>
          <w:p>
            <w:pPr>
              <w:jc w:val="center"/>
            </w:pPr>
            <w:r>
              <w:rPr>
                <w:rFonts w:ascii="Times New Roman" w:hAnsi="Times New Roman"/>
                <w:sz w:val="20"/>
              </w:rPr>
              <w:t>10</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Warning (All Empty)</w:t>
            </w:r>
          </w:p>
        </w:tc>
      </w:tr>
      <w:tr>
        <w:tc>
          <w:tcPr>
            <w:tcW w:type="dxa" w:w="1728"/>
          </w:tcPr>
          <w:p>
            <w:r>
              <w:rPr>
                <w:rFonts w:ascii="Times New Roman" w:hAnsi="Times New Roman"/>
                <w:sz w:val="20"/>
              </w:rPr>
              <w:t>sakila_1</w:t>
            </w:r>
          </w:p>
        </w:tc>
        <w:tc>
          <w:tcPr>
            <w:tcW w:type="dxa" w:w="1728"/>
          </w:tcPr>
          <w:p>
            <w:pPr>
              <w:jc w:val="center"/>
            </w:pPr>
            <w:r>
              <w:rPr>
                <w:rFonts w:ascii="Times New Roman" w:hAnsi="Times New Roman"/>
                <w:sz w:val="20"/>
              </w:rPr>
              <w:t>16</w:t>
            </w:r>
          </w:p>
        </w:tc>
        <w:tc>
          <w:tcPr>
            <w:tcW w:type="dxa" w:w="1728"/>
          </w:tcPr>
          <w:p>
            <w:pPr>
              <w:jc w:val="center"/>
            </w:pPr>
            <w:r>
              <w:rPr>
                <w:rFonts w:ascii="Times New Roman" w:hAnsi="Times New Roman"/>
                <w:sz w:val="20"/>
              </w:rPr>
              <w:t>4</w:t>
            </w:r>
          </w:p>
        </w:tc>
        <w:tc>
          <w:tcPr>
            <w:tcW w:type="dxa" w:w="1728"/>
          </w:tcPr>
          <w:p>
            <w:pPr>
              <w:jc w:val="center"/>
            </w:pPr>
            <w:r>
              <w:rPr>
                <w:rFonts w:ascii="Times New Roman" w:hAnsi="Times New Roman"/>
                <w:sz w:val="20"/>
              </w:rPr>
              <w:t>75%</w:t>
            </w:r>
          </w:p>
        </w:tc>
        <w:tc>
          <w:tcPr>
            <w:tcW w:type="dxa" w:w="1728"/>
          </w:tcPr>
          <w:p>
            <w:pPr>
              <w:jc w:val="center"/>
            </w:pPr>
            <w:r>
              <w:rPr>
                <w:rFonts w:ascii="Times New Roman" w:hAnsi="Times New Roman"/>
                <w:sz w:val="20"/>
              </w:rPr>
              <w:t>Error + Partial Data</w:t>
            </w:r>
          </w:p>
        </w:tc>
      </w:tr>
      <w:tr>
        <w:tc>
          <w:tcPr>
            <w:tcW w:type="dxa" w:w="1728"/>
          </w:tcPr>
          <w:p>
            <w:r>
              <w:rPr>
                <w:rFonts w:ascii="Times New Roman" w:hAnsi="Times New Roman"/>
                <w:sz w:val="20"/>
              </w:rPr>
              <w:t>formula_1</w:t>
            </w:r>
          </w:p>
        </w:tc>
        <w:tc>
          <w:tcPr>
            <w:tcW w:type="dxa" w:w="1728"/>
          </w:tcPr>
          <w:p>
            <w:pPr>
              <w:jc w:val="center"/>
            </w:pPr>
            <w:r>
              <w:rPr>
                <w:rFonts w:ascii="Times New Roman" w:hAnsi="Times New Roman"/>
                <w:sz w:val="20"/>
              </w:rPr>
              <w:t>13</w:t>
            </w:r>
          </w:p>
        </w:tc>
        <w:tc>
          <w:tcPr>
            <w:tcW w:type="dxa" w:w="1728"/>
          </w:tcPr>
          <w:p>
            <w:pPr>
              <w:jc w:val="center"/>
            </w:pPr>
            <w:r>
              <w:rPr>
                <w:rFonts w:ascii="Times New Roman" w:hAnsi="Times New Roman"/>
                <w:sz w:val="20"/>
              </w:rPr>
              <w:t>2</w:t>
            </w:r>
          </w:p>
        </w:tc>
        <w:tc>
          <w:tcPr>
            <w:tcW w:type="dxa" w:w="1728"/>
          </w:tcPr>
          <w:p>
            <w:pPr>
              <w:jc w:val="center"/>
            </w:pPr>
            <w:r>
              <w:rPr>
                <w:rFonts w:ascii="Times New Roman" w:hAnsi="Times New Roman"/>
                <w:sz w:val="20"/>
              </w:rPr>
              <w:t>85%</w:t>
            </w:r>
          </w:p>
        </w:tc>
        <w:tc>
          <w:tcPr>
            <w:tcW w:type="dxa" w:w="1728"/>
          </w:tcPr>
          <w:p>
            <w:pPr>
              <w:jc w:val="center"/>
            </w:pPr>
            <w:r>
              <w:rPr>
                <w:rFonts w:ascii="Times New Roman" w:hAnsi="Times New Roman"/>
                <w:sz w:val="20"/>
              </w:rPr>
              <w:t>Warning (Partial Data)</w:t>
            </w:r>
          </w:p>
        </w:tc>
      </w:tr>
      <w:tr>
        <w:tc>
          <w:tcPr>
            <w:tcW w:type="dxa" w:w="1728"/>
          </w:tcPr>
          <w:p>
            <w:r>
              <w:rPr>
                <w:rFonts w:ascii="Times New Roman" w:hAnsi="Times New Roman"/>
                <w:sz w:val="20"/>
              </w:rPr>
              <w:t>TOTAL (Train only)</w:t>
            </w:r>
          </w:p>
        </w:tc>
        <w:tc>
          <w:tcPr>
            <w:tcW w:type="dxa" w:w="1728"/>
          </w:tcPr>
          <w:p>
            <w:pPr>
              <w:jc w:val="center"/>
            </w:pPr>
            <w:r>
              <w:rPr>
                <w:rFonts w:ascii="Times New Roman" w:hAnsi="Times New Roman"/>
                <w:sz w:val="20"/>
              </w:rPr>
              <w:t>94</w:t>
            </w:r>
          </w:p>
        </w:tc>
        <w:tc>
          <w:tcPr>
            <w:tcW w:type="dxa" w:w="1728"/>
          </w:tcPr>
          <w:p>
            <w:pPr>
              <w:jc w:val="center"/>
            </w:pPr>
            <w:r>
              <w:rPr>
                <w:rFonts w:ascii="Times New Roman" w:hAnsi="Times New Roman"/>
                <w:sz w:val="20"/>
              </w:rPr>
              <w:t>71</w:t>
            </w:r>
          </w:p>
        </w:tc>
        <w:tc>
          <w:tcPr>
            <w:tcW w:type="dxa" w:w="1728"/>
          </w:tcPr>
          <w:p>
            <w:pPr>
              <w:jc w:val="center"/>
            </w:pPr>
            <w:r>
              <w:rPr>
                <w:rFonts w:ascii="Times New Roman" w:hAnsi="Times New Roman"/>
                <w:sz w:val="20"/>
              </w:rPr>
              <w:t>24.5%</w:t>
            </w:r>
          </w:p>
        </w:tc>
        <w:tc>
          <w:tcPr>
            <w:tcW w:type="dxa" w:w="1728"/>
          </w:tcPr>
          <w:p>
            <w:pPr>
              <w:jc w:val="center"/>
            </w:pPr>
            <w:r>
              <w:rPr>
                <w:rFonts w:ascii="Times New Roman" w:hAnsi="Times New Roman"/>
                <w:sz w:val="20"/>
              </w:rPr>
              <w:t>—</w:t>
            </w:r>
          </w:p>
        </w:tc>
      </w:tr>
    </w:tbl>
    <w:p>
      <w:pPr>
        <w:jc w:val="center"/>
      </w:pPr>
      <w:r>
        <w:rPr>
          <w:rFonts w:ascii="Times New Roman" w:hAnsi="Times New Roman"/>
          <w:i/>
          <w:sz w:val="20"/>
        </w:rPr>
        <w:t>Table 2b. Databases with empty tables in Spider Train partition</w:t>
      </w:r>
    </w:p>
    <w:p>
      <w:r>
        <w:rPr>
          <w:rFonts w:ascii="Times New Roman" w:hAnsi="Times New Roman"/>
          <w:b w:val="0"/>
          <w:i w:val="0"/>
          <w:sz w:val="22"/>
        </w:rPr>
        <w:t>Seven databases exhibit 0% coverage (65 of 71 empty tables), likely representing schema-only databases for DDL testing, incomplete exports, or licensing-restricted data. Four of these (academic, imdb, yelp, restaurants) combine structural errors with complete emptiness, rendering them unsuitable beyond syntax checking. Partially empty databases (sakila_1: 75% coverage; formula_1: 85% coverage) may represent unpopulated optional features. The complete absence of empty tables in Test and Dev (100% coverage) indicates systematic quality assurance applied to evaluation partitions but not training.</w:t>
      </w:r>
    </w:p>
    <w:p>
      <w:r>
        <w:rPr>
          <w:rFonts w:ascii="Times New Roman" w:hAnsi="Times New Roman"/>
          <w:b w:val="0"/>
          <w:i w:val="0"/>
          <w:sz w:val="22"/>
        </w:rPr>
        <w:t>Impact scope estimation: Test's 4 error databases affect ~213 queries (9.9%), Dev's 7 affect ~368 queries (35.6%), and Train's 32 affect ~1,900 queries (22%). Dev's 35.6% impact rate indicates over one-third of validation examples involve structurally defective databases.</w:t>
      </w:r>
    </w:p>
    <w:p>
      <w:r>
        <w:br w:type="page"/>
      </w:r>
    </w:p>
    <w:p>
      <w:pPr>
        <w:pStyle w:val="Heading2"/>
      </w:pPr>
      <w:r>
        <w:rPr>
          <w:rFonts w:ascii="Times New Roman" w:hAnsi="Times New Roman"/>
          <w:b/>
          <w:sz w:val="24"/>
        </w:rPr>
        <w:t>3.3. Syntactic Structure and Complexity Analysis</w:t>
      </w:r>
    </w:p>
    <w:p>
      <w:r>
        <w:rPr>
          <w:rFonts w:ascii="Times New Roman" w:hAnsi="Times New Roman"/>
          <w:b w:val="0"/>
          <w:i w:val="0"/>
          <w:sz w:val="22"/>
        </w:rPr>
        <w:t>Syntactic analysis evaluates the structural characteristics of SQL queries independent of their semantic correctness, examining complexity, feature utilization, and parsing success rates. Table 3 demonstrates remarkable consistency across partitions in fundamental syntactic metrics, suggesting careful curation to maintain comparable difficulty distributions.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Metric</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Consistency</w:t>
            </w:r>
          </w:p>
        </w:tc>
      </w:tr>
      <w:tr>
        <w:tc>
          <w:tcPr>
            <w:tcW w:type="dxa" w:w="1728"/>
          </w:tcPr>
          <w:p>
            <w:r>
              <w:rPr>
                <w:rFonts w:ascii="Times New Roman" w:hAnsi="Times New Roman"/>
                <w:sz w:val="20"/>
              </w:rPr>
              <w:t>Total queries</w:t>
            </w:r>
          </w:p>
        </w:tc>
        <w:tc>
          <w:tcPr>
            <w:tcW w:type="dxa" w:w="1728"/>
          </w:tcPr>
          <w:p>
            <w:pPr>
              <w:jc w:val="center"/>
            </w:pPr>
            <w:r>
              <w:rPr>
                <w:rFonts w:ascii="Times New Roman" w:hAnsi="Times New Roman"/>
                <w:sz w:val="20"/>
              </w:rPr>
              <w:t>2,147</w:t>
            </w:r>
          </w:p>
        </w:tc>
        <w:tc>
          <w:tcPr>
            <w:tcW w:type="dxa" w:w="1728"/>
          </w:tcPr>
          <w:p>
            <w:pPr>
              <w:jc w:val="center"/>
            </w:pPr>
            <w:r>
              <w:rPr>
                <w:rFonts w:ascii="Times New Roman" w:hAnsi="Times New Roman"/>
                <w:sz w:val="20"/>
              </w:rPr>
              <w:t>1,034</w:t>
            </w:r>
          </w:p>
        </w:tc>
        <w:tc>
          <w:tcPr>
            <w:tcW w:type="dxa" w:w="1728"/>
          </w:tcPr>
          <w:p>
            <w:pPr>
              <w:jc w:val="center"/>
            </w:pPr>
            <w:r>
              <w:rPr>
                <w:rFonts w:ascii="Times New Roman" w:hAnsi="Times New Roman"/>
                <w:sz w:val="20"/>
              </w:rPr>
              <w:t>8,659</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Successfully parsed</w:t>
            </w:r>
          </w:p>
        </w:tc>
        <w:tc>
          <w:tcPr>
            <w:tcW w:type="dxa" w:w="1728"/>
          </w:tcPr>
          <w:p>
            <w:pPr>
              <w:jc w:val="center"/>
            </w:pPr>
            <w:r>
              <w:rPr>
                <w:rFonts w:ascii="Times New Roman" w:hAnsi="Times New Roman"/>
                <w:sz w:val="20"/>
              </w:rPr>
              <w:t>2,147 (100%)</w:t>
            </w:r>
          </w:p>
        </w:tc>
        <w:tc>
          <w:tcPr>
            <w:tcW w:type="dxa" w:w="1728"/>
          </w:tcPr>
          <w:p>
            <w:pPr>
              <w:jc w:val="center"/>
            </w:pPr>
            <w:r>
              <w:rPr>
                <w:rFonts w:ascii="Times New Roman" w:hAnsi="Times New Roman"/>
                <w:sz w:val="20"/>
              </w:rPr>
              <w:t>1,034 (100%)</w:t>
            </w:r>
          </w:p>
        </w:tc>
        <w:tc>
          <w:tcPr>
            <w:tcW w:type="dxa" w:w="1728"/>
          </w:tcPr>
          <w:p>
            <w:pPr>
              <w:jc w:val="center"/>
            </w:pPr>
            <w:r>
              <w:rPr>
                <w:rFonts w:ascii="Times New Roman" w:hAnsi="Times New Roman"/>
                <w:sz w:val="20"/>
              </w:rPr>
              <w:t>8,659 (100%)</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Parse failures</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Mean complexity</w:t>
            </w:r>
          </w:p>
        </w:tc>
        <w:tc>
          <w:tcPr>
            <w:tcW w:type="dxa" w:w="1728"/>
          </w:tcPr>
          <w:p>
            <w:pPr>
              <w:jc w:val="center"/>
            </w:pPr>
            <w:r>
              <w:rPr>
                <w:rFonts w:ascii="Times New Roman" w:hAnsi="Times New Roman"/>
                <w:sz w:val="20"/>
              </w:rPr>
              <w:t>39.5</w:t>
            </w:r>
          </w:p>
        </w:tc>
        <w:tc>
          <w:tcPr>
            <w:tcW w:type="dxa" w:w="1728"/>
          </w:tcPr>
          <w:p>
            <w:pPr>
              <w:jc w:val="center"/>
            </w:pPr>
            <w:r>
              <w:rPr>
                <w:rFonts w:ascii="Times New Roman" w:hAnsi="Times New Roman"/>
                <w:sz w:val="20"/>
              </w:rPr>
              <w:t>39.0</w:t>
            </w:r>
          </w:p>
        </w:tc>
        <w:tc>
          <w:tcPr>
            <w:tcW w:type="dxa" w:w="1728"/>
          </w:tcPr>
          <w:p>
            <w:pPr>
              <w:jc w:val="center"/>
            </w:pPr>
            <w:r>
              <w:rPr>
                <w:rFonts w:ascii="Times New Roman" w:hAnsi="Times New Roman"/>
                <w:sz w:val="20"/>
              </w:rPr>
              <w:t>40.7</w:t>
            </w:r>
          </w:p>
        </w:tc>
        <w:tc>
          <w:tcPr>
            <w:tcW w:type="dxa" w:w="1728"/>
          </w:tcPr>
          <w:p>
            <w:pPr>
              <w:jc w:val="center"/>
            </w:pPr>
            <w:r>
              <w:rPr>
                <w:rFonts w:ascii="Times New Roman" w:hAnsi="Times New Roman"/>
                <w:sz w:val="20"/>
              </w:rPr>
              <w:t>Max Δ=1.7</w:t>
            </w:r>
          </w:p>
        </w:tc>
      </w:tr>
      <w:tr>
        <w:tc>
          <w:tcPr>
            <w:tcW w:type="dxa" w:w="1728"/>
          </w:tcPr>
          <w:p>
            <w:r>
              <w:rPr>
                <w:rFonts w:ascii="Times New Roman" w:hAnsi="Times New Roman"/>
                <w:sz w:val="20"/>
              </w:rPr>
              <w:t>Median complexity</w:t>
            </w:r>
          </w:p>
        </w:tc>
        <w:tc>
          <w:tcPr>
            <w:tcW w:type="dxa" w:w="1728"/>
          </w:tcPr>
          <w:p>
            <w:pPr>
              <w:jc w:val="center"/>
            </w:pPr>
            <w:r>
              <w:rPr>
                <w:rFonts w:ascii="Times New Roman" w:hAnsi="Times New Roman"/>
                <w:sz w:val="20"/>
              </w:rPr>
              <w:t>41</w:t>
            </w:r>
          </w:p>
        </w:tc>
        <w:tc>
          <w:tcPr>
            <w:tcW w:type="dxa" w:w="1728"/>
          </w:tcPr>
          <w:p>
            <w:pPr>
              <w:jc w:val="center"/>
            </w:pPr>
            <w:r>
              <w:rPr>
                <w:rFonts w:ascii="Times New Roman" w:hAnsi="Times New Roman"/>
                <w:sz w:val="20"/>
              </w:rPr>
              <w:t>41</w:t>
            </w:r>
          </w:p>
        </w:tc>
        <w:tc>
          <w:tcPr>
            <w:tcW w:type="dxa" w:w="1728"/>
          </w:tcPr>
          <w:p>
            <w:pPr>
              <w:jc w:val="center"/>
            </w:pPr>
            <w:r>
              <w:rPr>
                <w:rFonts w:ascii="Times New Roman" w:hAnsi="Times New Roman"/>
                <w:sz w:val="20"/>
              </w:rPr>
              <w:t>41</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Std deviation</w:t>
            </w:r>
          </w:p>
        </w:tc>
        <w:tc>
          <w:tcPr>
            <w:tcW w:type="dxa" w:w="1728"/>
          </w:tcPr>
          <w:p>
            <w:pPr>
              <w:jc w:val="center"/>
            </w:pPr>
            <w:r>
              <w:rPr>
                <w:rFonts w:ascii="Times New Roman" w:hAnsi="Times New Roman"/>
                <w:sz w:val="20"/>
              </w:rPr>
              <w:t>20.2</w:t>
            </w:r>
          </w:p>
        </w:tc>
        <w:tc>
          <w:tcPr>
            <w:tcW w:type="dxa" w:w="1728"/>
          </w:tcPr>
          <w:p>
            <w:pPr>
              <w:jc w:val="center"/>
            </w:pPr>
            <w:r>
              <w:rPr>
                <w:rFonts w:ascii="Times New Roman" w:hAnsi="Times New Roman"/>
                <w:sz w:val="20"/>
              </w:rPr>
              <w:t>19.9</w:t>
            </w:r>
          </w:p>
        </w:tc>
        <w:tc>
          <w:tcPr>
            <w:tcW w:type="dxa" w:w="1728"/>
          </w:tcPr>
          <w:p>
            <w:pPr>
              <w:jc w:val="center"/>
            </w:pPr>
            <w:r>
              <w:rPr>
                <w:rFonts w:ascii="Times New Roman" w:hAnsi="Times New Roman"/>
                <w:sz w:val="20"/>
              </w:rPr>
              <w:t>21.2</w:t>
            </w:r>
          </w:p>
        </w:tc>
        <w:tc>
          <w:tcPr>
            <w:tcW w:type="dxa" w:w="1728"/>
          </w:tcPr>
          <w:p>
            <w:pPr>
              <w:jc w:val="center"/>
            </w:pPr>
            <w:r>
              <w:rPr>
                <w:rFonts w:ascii="Times New Roman" w:hAnsi="Times New Roman"/>
                <w:sz w:val="20"/>
              </w:rPr>
              <w:t>Max Δ=1.3</w:t>
            </w:r>
          </w:p>
        </w:tc>
      </w:tr>
    </w:tbl>
    <w:p>
      <w:pPr>
        <w:jc w:val="center"/>
      </w:pPr>
      <w:r>
        <w:rPr>
          <w:rFonts w:ascii="Times New Roman" w:hAnsi="Times New Roman"/>
          <w:i/>
          <w:sz w:val="20"/>
        </w:rPr>
        <w:t>Table 3. Overall syntactic analysis results showing strong cross-partition consistency</w:t>
      </w:r>
    </w:p>
    <w:p>
      <w:r>
        <w:rPr>
          <w:rFonts w:ascii="Times New Roman" w:hAnsi="Times New Roman"/>
          <w:b w:val="0"/>
          <w:i w:val="0"/>
          <w:sz w:val="22"/>
        </w:rPr>
        <w:t>The perfect parsing success rate (100% across all 11,840 queries) constitutes a significant achievement, indicating that all queries conform to valid SQL syntax without requiring dialect-specific workarounds or error correction. This result validates the sqlglot parser's robustness for SQLite dialect and confirms the syntactic correctness of Spider's SQL annotations. The near-identical complexity statistics (maximum difference of 1.7 points on a 100-point scale, maximum standard deviation difference of 1.3) demonstrate intentional balancing of difficulty distributions across partitions, ensuring that test set performance metrics reflect genuine model capabilities rather than artifacts of easier or harder query distributions.</w:t>
      </w:r>
    </w:p>
    <w:p>
      <w:r>
        <w:rPr>
          <w:rFonts w:ascii="Times New Roman" w:hAnsi="Times New Roman"/>
          <w:b w:val="0"/>
          <w:i w:val="0"/>
          <w:sz w:val="22"/>
        </w:rPr>
        <w:t>Examination of difficulty level distributions (Table 4) reinforces this consistency pattern, with Easy/Medium/Hard categories exhibiting nearly identical proportions across Test and Dev partitions. Train displays slightly higher Medium representation (55.7% vs. 58-59% in Test/Dev) balanced by correspondingly lower Easy percentages, differences that likely reflect statistical variation rather than systematic curation differences given the magnitudes involved.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Difficulty</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Range</w:t>
            </w:r>
          </w:p>
        </w:tc>
      </w:tr>
      <w:tr>
        <w:tc>
          <w:tcPr>
            <w:tcW w:type="dxa" w:w="1728"/>
          </w:tcPr>
          <w:p>
            <w:r>
              <w:rPr>
                <w:rFonts w:ascii="Times New Roman" w:hAnsi="Times New Roman"/>
                <w:sz w:val="20"/>
              </w:rPr>
              <w:t>Easy</w:t>
            </w:r>
          </w:p>
        </w:tc>
        <w:tc>
          <w:tcPr>
            <w:tcW w:type="dxa" w:w="1728"/>
          </w:tcPr>
          <w:p>
            <w:pPr>
              <w:jc w:val="center"/>
            </w:pPr>
            <w:r>
              <w:rPr>
                <w:rFonts w:ascii="Times New Roman" w:hAnsi="Times New Roman"/>
                <w:sz w:val="20"/>
              </w:rPr>
              <w:t>516 (24.0%)</w:t>
            </w:r>
          </w:p>
        </w:tc>
        <w:tc>
          <w:tcPr>
            <w:tcW w:type="dxa" w:w="1728"/>
          </w:tcPr>
          <w:p>
            <w:pPr>
              <w:jc w:val="center"/>
            </w:pPr>
            <w:r>
              <w:rPr>
                <w:rFonts w:ascii="Times New Roman" w:hAnsi="Times New Roman"/>
                <w:sz w:val="20"/>
              </w:rPr>
              <w:t>250 (24.2%)</w:t>
            </w:r>
          </w:p>
        </w:tc>
        <w:tc>
          <w:tcPr>
            <w:tcW w:type="dxa" w:w="1728"/>
          </w:tcPr>
          <w:p>
            <w:pPr>
              <w:jc w:val="center"/>
            </w:pPr>
            <w:r>
              <w:rPr>
                <w:rFonts w:ascii="Times New Roman" w:hAnsi="Times New Roman"/>
                <w:sz w:val="20"/>
              </w:rPr>
              <w:t>2,039 (23.5%)</w:t>
            </w:r>
          </w:p>
        </w:tc>
        <w:tc>
          <w:tcPr>
            <w:tcW w:type="dxa" w:w="1728"/>
          </w:tcPr>
          <w:p>
            <w:pPr>
              <w:jc w:val="center"/>
            </w:pPr>
            <w:r>
              <w:rPr>
                <w:rFonts w:ascii="Times New Roman" w:hAnsi="Times New Roman"/>
                <w:sz w:val="20"/>
              </w:rPr>
              <w:t>10-29</w:t>
            </w:r>
          </w:p>
        </w:tc>
      </w:tr>
      <w:tr>
        <w:tc>
          <w:tcPr>
            <w:tcW w:type="dxa" w:w="1728"/>
          </w:tcPr>
          <w:p>
            <w:r>
              <w:rPr>
                <w:rFonts w:ascii="Times New Roman" w:hAnsi="Times New Roman"/>
                <w:sz w:val="20"/>
              </w:rPr>
              <w:t>Medium</w:t>
            </w:r>
          </w:p>
        </w:tc>
        <w:tc>
          <w:tcPr>
            <w:tcW w:type="dxa" w:w="1728"/>
          </w:tcPr>
          <w:p>
            <w:pPr>
              <w:jc w:val="center"/>
            </w:pPr>
            <w:r>
              <w:rPr>
                <w:rFonts w:ascii="Times New Roman" w:hAnsi="Times New Roman"/>
                <w:sz w:val="20"/>
              </w:rPr>
              <w:t>1,246 (58.0%)</w:t>
            </w:r>
          </w:p>
        </w:tc>
        <w:tc>
          <w:tcPr>
            <w:tcW w:type="dxa" w:w="1728"/>
          </w:tcPr>
          <w:p>
            <w:pPr>
              <w:jc w:val="center"/>
            </w:pPr>
            <w:r>
              <w:rPr>
                <w:rFonts w:ascii="Times New Roman" w:hAnsi="Times New Roman"/>
                <w:sz w:val="20"/>
              </w:rPr>
              <w:t>612 (59.2%)</w:t>
            </w:r>
          </w:p>
        </w:tc>
        <w:tc>
          <w:tcPr>
            <w:tcW w:type="dxa" w:w="1728"/>
          </w:tcPr>
          <w:p>
            <w:pPr>
              <w:jc w:val="center"/>
            </w:pPr>
            <w:r>
              <w:rPr>
                <w:rFonts w:ascii="Times New Roman" w:hAnsi="Times New Roman"/>
                <w:sz w:val="20"/>
              </w:rPr>
              <w:t>4,827 (55.7%)</w:t>
            </w:r>
          </w:p>
        </w:tc>
        <w:tc>
          <w:tcPr>
            <w:tcW w:type="dxa" w:w="1728"/>
          </w:tcPr>
          <w:p>
            <w:pPr>
              <w:jc w:val="center"/>
            </w:pPr>
            <w:r>
              <w:rPr>
                <w:rFonts w:ascii="Times New Roman" w:hAnsi="Times New Roman"/>
                <w:sz w:val="20"/>
              </w:rPr>
              <w:t>30-59</w:t>
            </w:r>
          </w:p>
        </w:tc>
      </w:tr>
      <w:tr>
        <w:tc>
          <w:tcPr>
            <w:tcW w:type="dxa" w:w="1728"/>
          </w:tcPr>
          <w:p>
            <w:r>
              <w:rPr>
                <w:rFonts w:ascii="Times New Roman" w:hAnsi="Times New Roman"/>
                <w:sz w:val="20"/>
              </w:rPr>
              <w:t>Hard</w:t>
            </w:r>
          </w:p>
        </w:tc>
        <w:tc>
          <w:tcPr>
            <w:tcW w:type="dxa" w:w="1728"/>
          </w:tcPr>
          <w:p>
            <w:pPr>
              <w:jc w:val="center"/>
            </w:pPr>
            <w:r>
              <w:rPr>
                <w:rFonts w:ascii="Times New Roman" w:hAnsi="Times New Roman"/>
                <w:sz w:val="20"/>
              </w:rPr>
              <w:t>385 (17.9%)</w:t>
            </w:r>
          </w:p>
        </w:tc>
        <w:tc>
          <w:tcPr>
            <w:tcW w:type="dxa" w:w="1728"/>
          </w:tcPr>
          <w:p>
            <w:pPr>
              <w:jc w:val="center"/>
            </w:pPr>
            <w:r>
              <w:rPr>
                <w:rFonts w:ascii="Times New Roman" w:hAnsi="Times New Roman"/>
                <w:sz w:val="20"/>
              </w:rPr>
              <w:t>172 (16.6%)</w:t>
            </w:r>
          </w:p>
        </w:tc>
        <w:tc>
          <w:tcPr>
            <w:tcW w:type="dxa" w:w="1728"/>
          </w:tcPr>
          <w:p>
            <w:pPr>
              <w:jc w:val="center"/>
            </w:pPr>
            <w:r>
              <w:rPr>
                <w:rFonts w:ascii="Times New Roman" w:hAnsi="Times New Roman"/>
                <w:sz w:val="20"/>
              </w:rPr>
              <w:t>1,727 (19.9%)</w:t>
            </w:r>
          </w:p>
        </w:tc>
        <w:tc>
          <w:tcPr>
            <w:tcW w:type="dxa" w:w="1728"/>
          </w:tcPr>
          <w:p>
            <w:pPr>
              <w:jc w:val="center"/>
            </w:pPr>
            <w:r>
              <w:rPr>
                <w:rFonts w:ascii="Times New Roman" w:hAnsi="Times New Roman"/>
                <w:sz w:val="20"/>
              </w:rPr>
              <w:t>60-79</w:t>
            </w:r>
          </w:p>
        </w:tc>
      </w:tr>
      <w:tr>
        <w:tc>
          <w:tcPr>
            <w:tcW w:type="dxa" w:w="1728"/>
          </w:tcPr>
          <w:p>
            <w:r>
              <w:rPr>
                <w:rFonts w:ascii="Times New Roman" w:hAnsi="Times New Roman"/>
                <w:sz w:val="20"/>
              </w:rPr>
              <w:t>Expert</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66 (0.8%)</w:t>
            </w:r>
          </w:p>
        </w:tc>
        <w:tc>
          <w:tcPr>
            <w:tcW w:type="dxa" w:w="1728"/>
          </w:tcPr>
          <w:p>
            <w:pPr>
              <w:jc w:val="center"/>
            </w:pPr>
            <w:r>
              <w:rPr>
                <w:rFonts w:ascii="Times New Roman" w:hAnsi="Times New Roman"/>
                <w:sz w:val="20"/>
              </w:rPr>
              <w:t>80-100</w:t>
            </w:r>
          </w:p>
        </w:tc>
      </w:tr>
    </w:tbl>
    <w:p>
      <w:pPr>
        <w:jc w:val="center"/>
      </w:pPr>
      <w:r>
        <w:rPr>
          <w:rFonts w:ascii="Times New Roman" w:hAnsi="Times New Roman"/>
          <w:i/>
          <w:sz w:val="20"/>
        </w:rPr>
        <w:t>Table 4. Query difficulty distribution across partitions</w:t>
      </w:r>
    </w:p>
    <w:p>
      <w:r>
        <w:rPr>
          <w:rFonts w:ascii="Times New Roman" w:hAnsi="Times New Roman"/>
          <w:b w:val="0"/>
          <w:i w:val="0"/>
          <w:sz w:val="22"/>
        </w:rPr>
        <w:t>One notable exception to cross-partition consistency emerges in the Expert difficulty category: Train contains 66 Expert-level queries (0.8% of the partition) while Test and Dev contain none. These 66 queries, with complexity scores ranging from 80-100, represent the most structurally complex examples in the entire dataset, typically involving deeply nested subqueries (depth ≥3), multiple JOIN operations (≥4 tables), and combinations of advanced features. The restriction of Expert queries to Train likely reflects a deliberate design decision to reserve the most challenging examples for training while maintaining test/dev difficulty within bounds where human annotation reliability remains high, though this asymmetry means that models cannot be comprehensively evaluated on Expert-level complexity using the provided test partition.</w:t>
      </w:r>
    </w:p>
    <w:p>
      <w:r>
        <w:rPr>
          <w:rFonts w:ascii="Times New Roman" w:hAnsi="Times New Roman"/>
          <w:b w:val="0"/>
          <w:i w:val="0"/>
          <w:sz w:val="22"/>
        </w:rPr>
        <w:t>Analysis of JOIN distribution (Table 5) reveals a second dimension where Train exhibits systematically higher complexity compared to Test and Dev. Train contains a substantially larger proportion of multi-table queries (44.02% vs. approximately 40% in Test/Dev), with particularly pronounced differences in the 3-JOIN (4.15% vs. 1-2%) and 4+-JOIN (2.06% vs. 1%) categories. This pattern suggests that Train was specifically enriched with complex multi-table queries to provide training signal for JOIN operation learning, though the test/dev partitions' lower JOIN frequencies may underestimate models' capabilities on highly complex multi-table scenarios.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JOIN Count</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Best</w:t>
            </w:r>
          </w:p>
        </w:tc>
      </w:tr>
      <w:tr>
        <w:tc>
          <w:tcPr>
            <w:tcW w:type="dxa" w:w="1728"/>
          </w:tcPr>
          <w:p>
            <w:r>
              <w:rPr>
                <w:rFonts w:ascii="Times New Roman" w:hAnsi="Times New Roman"/>
                <w:sz w:val="20"/>
              </w:rPr>
              <w:t>0 (single-table)</w:t>
            </w:r>
          </w:p>
        </w:tc>
        <w:tc>
          <w:tcPr>
            <w:tcW w:type="dxa" w:w="1728"/>
          </w:tcPr>
          <w:p>
            <w:pPr>
              <w:jc w:val="center"/>
            </w:pPr>
            <w:r>
              <w:rPr>
                <w:rFonts w:ascii="Times New Roman" w:hAnsi="Times New Roman"/>
                <w:sz w:val="20"/>
              </w:rPr>
              <w:t>1,285 (59.85%)</w:t>
            </w:r>
          </w:p>
        </w:tc>
        <w:tc>
          <w:tcPr>
            <w:tcW w:type="dxa" w:w="1728"/>
          </w:tcPr>
          <w:p>
            <w:pPr>
              <w:jc w:val="center"/>
            </w:pPr>
            <w:r>
              <w:rPr>
                <w:rFonts w:ascii="Times New Roman" w:hAnsi="Times New Roman"/>
                <w:sz w:val="20"/>
              </w:rPr>
              <w:t>626 (60.54%)</w:t>
            </w:r>
          </w:p>
        </w:tc>
        <w:tc>
          <w:tcPr>
            <w:tcW w:type="dxa" w:w="1728"/>
          </w:tcPr>
          <w:p>
            <w:pPr>
              <w:jc w:val="center"/>
            </w:pPr>
            <w:r>
              <w:rPr>
                <w:rFonts w:ascii="Times New Roman" w:hAnsi="Times New Roman"/>
                <w:sz w:val="20"/>
              </w:rPr>
              <w:t>4,847 (55.98%)</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1 JOIN</w:t>
            </w:r>
          </w:p>
        </w:tc>
        <w:tc>
          <w:tcPr>
            <w:tcW w:type="dxa" w:w="1728"/>
          </w:tcPr>
          <w:p>
            <w:pPr>
              <w:jc w:val="center"/>
            </w:pPr>
            <w:r>
              <w:rPr>
                <w:rFonts w:ascii="Times New Roman" w:hAnsi="Times New Roman"/>
                <w:sz w:val="20"/>
              </w:rPr>
              <w:t>558 (25.99%)</w:t>
            </w:r>
          </w:p>
        </w:tc>
        <w:tc>
          <w:tcPr>
            <w:tcW w:type="dxa" w:w="1728"/>
          </w:tcPr>
          <w:p>
            <w:pPr>
              <w:jc w:val="center"/>
            </w:pPr>
            <w:r>
              <w:rPr>
                <w:rFonts w:ascii="Times New Roman" w:hAnsi="Times New Roman"/>
                <w:sz w:val="20"/>
              </w:rPr>
              <w:t>320 (30.95%)</w:t>
            </w:r>
          </w:p>
        </w:tc>
        <w:tc>
          <w:tcPr>
            <w:tcW w:type="dxa" w:w="1728"/>
          </w:tcPr>
          <w:p>
            <w:pPr>
              <w:jc w:val="center"/>
            </w:pPr>
            <w:r>
              <w:rPr>
                <w:rFonts w:ascii="Times New Roman" w:hAnsi="Times New Roman"/>
                <w:sz w:val="20"/>
              </w:rPr>
              <w:t>2,233 (25.79%)</w:t>
            </w:r>
          </w:p>
        </w:tc>
        <w:tc>
          <w:tcPr>
            <w:tcW w:type="dxa" w:w="1728"/>
          </w:tcPr>
          <w:p>
            <w:pPr>
              <w:jc w:val="center"/>
            </w:pPr>
            <w:r>
              <w:rPr>
                <w:rFonts w:ascii="Times New Roman" w:hAnsi="Times New Roman"/>
                <w:sz w:val="20"/>
              </w:rPr>
              <w:t>Balanced ✅</w:t>
            </w:r>
          </w:p>
        </w:tc>
      </w:tr>
      <w:tr>
        <w:tc>
          <w:tcPr>
            <w:tcW w:type="dxa" w:w="1728"/>
          </w:tcPr>
          <w:p>
            <w:r>
              <w:rPr>
                <w:rFonts w:ascii="Times New Roman" w:hAnsi="Times New Roman"/>
                <w:sz w:val="20"/>
              </w:rPr>
              <w:t>2 JOINs</w:t>
            </w:r>
          </w:p>
        </w:tc>
        <w:tc>
          <w:tcPr>
            <w:tcW w:type="dxa" w:w="1728"/>
          </w:tcPr>
          <w:p>
            <w:pPr>
              <w:jc w:val="center"/>
            </w:pPr>
            <w:r>
              <w:rPr>
                <w:rFonts w:ascii="Times New Roman" w:hAnsi="Times New Roman"/>
                <w:sz w:val="20"/>
              </w:rPr>
              <w:t>242 (11.27%)</w:t>
            </w:r>
          </w:p>
        </w:tc>
        <w:tc>
          <w:tcPr>
            <w:tcW w:type="dxa" w:w="1728"/>
          </w:tcPr>
          <w:p>
            <w:pPr>
              <w:jc w:val="center"/>
            </w:pPr>
            <w:r>
              <w:rPr>
                <w:rFonts w:ascii="Times New Roman" w:hAnsi="Times New Roman"/>
                <w:sz w:val="20"/>
              </w:rPr>
              <w:t>72 (6.96%)</w:t>
            </w:r>
          </w:p>
        </w:tc>
        <w:tc>
          <w:tcPr>
            <w:tcW w:type="dxa" w:w="1728"/>
          </w:tcPr>
          <w:p>
            <w:pPr>
              <w:jc w:val="center"/>
            </w:pPr>
            <w:r>
              <w:rPr>
                <w:rFonts w:ascii="Times New Roman" w:hAnsi="Times New Roman"/>
                <w:sz w:val="20"/>
              </w:rPr>
              <w:t>1,042 (12.03%)</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3 JOINs</w:t>
            </w:r>
          </w:p>
        </w:tc>
        <w:tc>
          <w:tcPr>
            <w:tcW w:type="dxa" w:w="1728"/>
          </w:tcPr>
          <w:p>
            <w:pPr>
              <w:jc w:val="center"/>
            </w:pPr>
            <w:r>
              <w:rPr>
                <w:rFonts w:ascii="Times New Roman" w:hAnsi="Times New Roman"/>
                <w:sz w:val="20"/>
              </w:rPr>
              <w:t>38 (1.77%)</w:t>
            </w:r>
          </w:p>
        </w:tc>
        <w:tc>
          <w:tcPr>
            <w:tcW w:type="dxa" w:w="1728"/>
          </w:tcPr>
          <w:p>
            <w:pPr>
              <w:jc w:val="center"/>
            </w:pPr>
            <w:r>
              <w:rPr>
                <w:rFonts w:ascii="Times New Roman" w:hAnsi="Times New Roman"/>
                <w:sz w:val="20"/>
              </w:rPr>
              <w:t>10 (0.97%)</w:t>
            </w:r>
          </w:p>
        </w:tc>
        <w:tc>
          <w:tcPr>
            <w:tcW w:type="dxa" w:w="1728"/>
          </w:tcPr>
          <w:p>
            <w:pPr>
              <w:jc w:val="center"/>
            </w:pPr>
            <w:r>
              <w:rPr>
                <w:rFonts w:ascii="Times New Roman" w:hAnsi="Times New Roman"/>
                <w:sz w:val="20"/>
              </w:rPr>
              <w:t>359 (4.15%)</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4+ JOINs</w:t>
            </w:r>
          </w:p>
        </w:tc>
        <w:tc>
          <w:tcPr>
            <w:tcW w:type="dxa" w:w="1728"/>
          </w:tcPr>
          <w:p>
            <w:pPr>
              <w:jc w:val="center"/>
            </w:pPr>
            <w:r>
              <w:rPr>
                <w:rFonts w:ascii="Times New Roman" w:hAnsi="Times New Roman"/>
                <w:sz w:val="20"/>
              </w:rPr>
              <w:t>24 (1.12%)</w:t>
            </w:r>
          </w:p>
        </w:tc>
        <w:tc>
          <w:tcPr>
            <w:tcW w:type="dxa" w:w="1728"/>
          </w:tcPr>
          <w:p>
            <w:pPr>
              <w:jc w:val="center"/>
            </w:pPr>
            <w:r>
              <w:rPr>
                <w:rFonts w:ascii="Times New Roman" w:hAnsi="Times New Roman"/>
                <w:sz w:val="20"/>
              </w:rPr>
              <w:t>6 (0.58%)</w:t>
            </w:r>
          </w:p>
        </w:tc>
        <w:tc>
          <w:tcPr>
            <w:tcW w:type="dxa" w:w="1728"/>
          </w:tcPr>
          <w:p>
            <w:pPr>
              <w:jc w:val="center"/>
            </w:pPr>
            <w:r>
              <w:rPr>
                <w:rFonts w:ascii="Times New Roman" w:hAnsi="Times New Roman"/>
                <w:sz w:val="20"/>
              </w:rPr>
              <w:t>178 (2.06%)</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Multi-table (≥1 J.)</w:t>
            </w:r>
          </w:p>
        </w:tc>
        <w:tc>
          <w:tcPr>
            <w:tcW w:type="dxa" w:w="1728"/>
          </w:tcPr>
          <w:p>
            <w:pPr>
              <w:jc w:val="center"/>
            </w:pPr>
            <w:r>
              <w:rPr>
                <w:rFonts w:ascii="Times New Roman" w:hAnsi="Times New Roman"/>
                <w:sz w:val="20"/>
              </w:rPr>
              <w:t>862 (40.15%)</w:t>
            </w:r>
          </w:p>
        </w:tc>
        <w:tc>
          <w:tcPr>
            <w:tcW w:type="dxa" w:w="1728"/>
          </w:tcPr>
          <w:p>
            <w:pPr>
              <w:jc w:val="center"/>
            </w:pPr>
            <w:r>
              <w:rPr>
                <w:rFonts w:ascii="Times New Roman" w:hAnsi="Times New Roman"/>
                <w:sz w:val="20"/>
              </w:rPr>
              <w:t>408 (39.46%)</w:t>
            </w:r>
          </w:p>
        </w:tc>
        <w:tc>
          <w:tcPr>
            <w:tcW w:type="dxa" w:w="1728"/>
          </w:tcPr>
          <w:p>
            <w:pPr>
              <w:jc w:val="center"/>
            </w:pPr>
            <w:r>
              <w:rPr>
                <w:rFonts w:ascii="Times New Roman" w:hAnsi="Times New Roman"/>
                <w:sz w:val="20"/>
              </w:rPr>
              <w:t>3,812 (44.02%)</w:t>
            </w:r>
          </w:p>
        </w:tc>
        <w:tc>
          <w:tcPr>
            <w:tcW w:type="dxa" w:w="1728"/>
          </w:tcPr>
          <w:p>
            <w:pPr>
              <w:jc w:val="center"/>
            </w:pPr>
            <w:r>
              <w:rPr>
                <w:rFonts w:ascii="Times New Roman" w:hAnsi="Times New Roman"/>
                <w:sz w:val="20"/>
              </w:rPr>
              <w:t>Train 🎯</w:t>
            </w:r>
          </w:p>
        </w:tc>
      </w:tr>
    </w:tbl>
    <w:p>
      <w:pPr>
        <w:jc w:val="center"/>
      </w:pPr>
      <w:r>
        <w:rPr>
          <w:rFonts w:ascii="Times New Roman" w:hAnsi="Times New Roman"/>
          <w:i/>
          <w:sz w:val="20"/>
        </w:rPr>
        <w:t>Table 5. JOIN distribution analysis showing Train's higher multi-table complexity</w:t>
      </w:r>
    </w:p>
    <w:p>
      <w:r>
        <w:rPr>
          <w:rFonts w:ascii="Times New Roman" w:hAnsi="Times New Roman"/>
          <w:b w:val="0"/>
          <w:i w:val="0"/>
          <w:sz w:val="22"/>
        </w:rPr>
        <w:t>Despite the rich structural variation in JOIN complexity and overall difficulty levels, Spider exhibits complete absence of certain advanced SQL features. No queries in any partition employ common table expressions (CTEs), recursive CTEs, or window functions (ROW_NUMBER, RANK, LAG, LEAD), features commonly found in modern SQL codebases and supported by all major database systems. This limitation reflects Spider's 2018 origins when window functions had more limited adoption, but represents a significant coverage gap for evaluating contemporary Text-to-SQL systems expected to support the full SQL feature set. The forthcoming Spider 2.0 reportedly addresses this limitation by including examples with modern SQL constructs.</w:t>
      </w:r>
    </w:p>
    <w:p>
      <w:r>
        <w:br w:type="page"/>
      </w:r>
    </w:p>
    <w:p>
      <w:pPr>
        <w:pStyle w:val="Heading2"/>
      </w:pPr>
      <w:r>
        <w:rPr>
          <w:rFonts w:ascii="Times New Roman" w:hAnsi="Times New Roman"/>
          <w:b/>
          <w:sz w:val="24"/>
        </w:rPr>
        <w:t>3.4. Dynamic Executability Validation</w:t>
      </w:r>
    </w:p>
    <w:p>
      <w:r>
        <w:rPr>
          <w:rFonts w:ascii="Times New Roman" w:hAnsi="Times New Roman"/>
          <w:b w:val="0"/>
          <w:i w:val="0"/>
          <w:sz w:val="22"/>
        </w:rPr>
        <w:t>Dynamic execution testing validates that syntactically correct queries can actually run against their associated databases, detecting semantic errors, missing tables/columns, type incompatibilities, and other runtime failures invisible to static analysis. Table 6 presents execution results demonstrating near-perfect executability across all partitions.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Metric</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Best</w:t>
            </w:r>
          </w:p>
        </w:tc>
      </w:tr>
      <w:tr>
        <w:tc>
          <w:tcPr>
            <w:tcW w:type="dxa" w:w="1728"/>
          </w:tcPr>
          <w:p>
            <w:r>
              <w:rPr>
                <w:rFonts w:ascii="Times New Roman" w:hAnsi="Times New Roman"/>
                <w:sz w:val="20"/>
              </w:rPr>
              <w:t>Total queries</w:t>
            </w:r>
          </w:p>
        </w:tc>
        <w:tc>
          <w:tcPr>
            <w:tcW w:type="dxa" w:w="1728"/>
          </w:tcPr>
          <w:p>
            <w:pPr>
              <w:jc w:val="center"/>
            </w:pPr>
            <w:r>
              <w:rPr>
                <w:rFonts w:ascii="Times New Roman" w:hAnsi="Times New Roman"/>
                <w:sz w:val="20"/>
              </w:rPr>
              <w:t>2,147</w:t>
            </w:r>
          </w:p>
        </w:tc>
        <w:tc>
          <w:tcPr>
            <w:tcW w:type="dxa" w:w="1728"/>
          </w:tcPr>
          <w:p>
            <w:pPr>
              <w:jc w:val="center"/>
            </w:pPr>
            <w:r>
              <w:rPr>
                <w:rFonts w:ascii="Times New Roman" w:hAnsi="Times New Roman"/>
                <w:sz w:val="20"/>
              </w:rPr>
              <w:t>1,034</w:t>
            </w:r>
          </w:p>
        </w:tc>
        <w:tc>
          <w:tcPr>
            <w:tcW w:type="dxa" w:w="1728"/>
          </w:tcPr>
          <w:p>
            <w:pPr>
              <w:jc w:val="center"/>
            </w:pPr>
            <w:r>
              <w:rPr>
                <w:rFonts w:ascii="Times New Roman" w:hAnsi="Times New Roman"/>
                <w:sz w:val="20"/>
              </w:rPr>
              <w:t>8,659</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Successfully executed</w:t>
            </w:r>
          </w:p>
        </w:tc>
        <w:tc>
          <w:tcPr>
            <w:tcW w:type="dxa" w:w="1728"/>
          </w:tcPr>
          <w:p>
            <w:pPr>
              <w:jc w:val="center"/>
            </w:pPr>
            <w:r>
              <w:rPr>
                <w:rFonts w:ascii="Times New Roman" w:hAnsi="Times New Roman"/>
                <w:sz w:val="20"/>
              </w:rPr>
              <w:t>2,147 (100%)</w:t>
            </w:r>
          </w:p>
        </w:tc>
        <w:tc>
          <w:tcPr>
            <w:tcW w:type="dxa" w:w="1728"/>
          </w:tcPr>
          <w:p>
            <w:pPr>
              <w:jc w:val="center"/>
            </w:pPr>
            <w:r>
              <w:rPr>
                <w:rFonts w:ascii="Times New Roman" w:hAnsi="Times New Roman"/>
                <w:sz w:val="20"/>
              </w:rPr>
              <w:t>1,034 (100%)</w:t>
            </w:r>
          </w:p>
        </w:tc>
        <w:tc>
          <w:tcPr>
            <w:tcW w:type="dxa" w:w="1728"/>
          </w:tcPr>
          <w:p>
            <w:pPr>
              <w:jc w:val="center"/>
            </w:pPr>
            <w:r>
              <w:rPr>
                <w:rFonts w:ascii="Times New Roman" w:hAnsi="Times New Roman"/>
                <w:sz w:val="20"/>
              </w:rPr>
              <w:t>8,656 (99.97%)</w:t>
            </w:r>
          </w:p>
        </w:tc>
        <w:tc>
          <w:tcPr>
            <w:tcW w:type="dxa" w:w="1728"/>
          </w:tcPr>
          <w:p>
            <w:pPr>
              <w:jc w:val="center"/>
            </w:pPr>
            <w:r>
              <w:rPr>
                <w:rFonts w:ascii="Times New Roman" w:hAnsi="Times New Roman"/>
                <w:sz w:val="20"/>
              </w:rPr>
              <w:t>Test/Dev ✅</w:t>
            </w:r>
          </w:p>
        </w:tc>
      </w:tr>
      <w:tr>
        <w:tc>
          <w:tcPr>
            <w:tcW w:type="dxa" w:w="1728"/>
          </w:tcPr>
          <w:p>
            <w:r>
              <w:rPr>
                <w:rFonts w:ascii="Times New Roman" w:hAnsi="Times New Roman"/>
                <w:sz w:val="20"/>
              </w:rPr>
              <w:t>Execution failures</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3 (0.03%)</w:t>
            </w:r>
          </w:p>
        </w:tc>
        <w:tc>
          <w:tcPr>
            <w:tcW w:type="dxa" w:w="1728"/>
          </w:tcPr>
          <w:p>
            <w:pPr>
              <w:jc w:val="center"/>
            </w:pPr>
            <w:r>
              <w:rPr>
                <w:rFonts w:ascii="Times New Roman" w:hAnsi="Times New Roman"/>
                <w:sz w:val="20"/>
              </w:rPr>
              <w:t>Test/Dev ✅</w:t>
            </w:r>
          </w:p>
        </w:tc>
      </w:tr>
      <w:tr>
        <w:tc>
          <w:tcPr>
            <w:tcW w:type="dxa" w:w="1728"/>
          </w:tcPr>
          <w:p>
            <w:r>
              <w:rPr>
                <w:rFonts w:ascii="Times New Roman" w:hAnsi="Times New Roman"/>
                <w:sz w:val="20"/>
              </w:rPr>
              <w:t>Skipped</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Mean time (ms)</w:t>
            </w:r>
          </w:p>
        </w:tc>
        <w:tc>
          <w:tcPr>
            <w:tcW w:type="dxa" w:w="1728"/>
          </w:tcPr>
          <w:p>
            <w:pPr>
              <w:jc w:val="center"/>
            </w:pPr>
            <w:r>
              <w:rPr>
                <w:rFonts w:ascii="Times New Roman" w:hAnsi="Times New Roman"/>
                <w:sz w:val="20"/>
              </w:rPr>
              <w:t>3.10</w:t>
            </w:r>
          </w:p>
        </w:tc>
        <w:tc>
          <w:tcPr>
            <w:tcW w:type="dxa" w:w="1728"/>
          </w:tcPr>
          <w:p>
            <w:pPr>
              <w:jc w:val="center"/>
            </w:pPr>
            <w:r>
              <w:rPr>
                <w:rFonts w:ascii="Times New Roman" w:hAnsi="Times New Roman"/>
                <w:sz w:val="20"/>
              </w:rPr>
              <w:t>2.49</w:t>
            </w:r>
          </w:p>
        </w:tc>
        <w:tc>
          <w:tcPr>
            <w:tcW w:type="dxa" w:w="1728"/>
          </w:tcPr>
          <w:p>
            <w:pPr>
              <w:jc w:val="center"/>
            </w:pPr>
            <w:r>
              <w:rPr>
                <w:rFonts w:ascii="Times New Roman" w:hAnsi="Times New Roman"/>
                <w:sz w:val="20"/>
              </w:rPr>
              <w:t>1.19</w:t>
            </w:r>
          </w:p>
        </w:tc>
        <w:tc>
          <w:tcPr>
            <w:tcW w:type="dxa" w:w="1728"/>
          </w:tcPr>
          <w:p>
            <w:pPr>
              <w:jc w:val="center"/>
            </w:pPr>
            <w:r>
              <w:rPr>
                <w:rFonts w:ascii="Times New Roman" w:hAnsi="Times New Roman"/>
                <w:sz w:val="20"/>
              </w:rPr>
              <w:t>Train ✅</w:t>
            </w:r>
          </w:p>
        </w:tc>
      </w:tr>
    </w:tbl>
    <w:p>
      <w:pPr>
        <w:jc w:val="center"/>
      </w:pPr>
      <w:r>
        <w:rPr>
          <w:rFonts w:ascii="Times New Roman" w:hAnsi="Times New Roman"/>
          <w:i/>
          <w:sz w:val="20"/>
        </w:rPr>
        <w:t>Table 6. Query execution results showing exceptional executability rates</w:t>
      </w:r>
    </w:p>
    <w:p>
      <w:r>
        <w:rPr>
          <w:rFonts w:ascii="Times New Roman" w:hAnsi="Times New Roman"/>
          <w:b w:val="0"/>
          <w:i w:val="0"/>
          <w:sz w:val="22"/>
        </w:rPr>
        <w:t>The execution success rates—100% for Test and Dev, 99.97% for Train—represent a remarkable achievement given the complexity of the queries and the schema integrity issues documented in Section 3.2. That queries execute successfully despite the presence of foreign key errors and referential integrity violations indicates either that most queries avoid JOIN operations that would expose these structural problems, or that SQLite's permissive handling of constraint violations prevents runtime errors even when referential integrity is compromised. The three failed executions in Train (0.03% of 8,659 queries) likely represent genuine semantic errors—references to non-existent columns or tables, incompatible type operations, or division-by-zero scenarios—warranting manual inspection to determine whether these represent annotation errors requiring correction.</w:t>
      </w:r>
    </w:p>
    <w:p>
      <w:r>
        <w:rPr>
          <w:rFonts w:ascii="Times New Roman" w:hAnsi="Times New Roman"/>
          <w:b w:val="0"/>
          <w:i w:val="0"/>
          <w:sz w:val="22"/>
        </w:rPr>
        <w:t>Execution time measurements reveal an unexpected pattern: Train queries execute fastest (mean 1.19ms), followed by Dev (2.49ms) and Test (3.10ms). This inverse relationship between partition size and execution time suggests that Train databases may contain smaller data volumes compared to Test/Dev databases, or that Train's database schemas include better indexing. The absolute magnitudes—all means under 3.5 milliseconds—indicate that execution testing contributes negligible overhead to overall pipeline runtime, validating the decision to include execution validation by default rather than making it optional.</w:t>
      </w:r>
    </w:p>
    <w:p>
      <w:r>
        <w:br w:type="page"/>
      </w:r>
    </w:p>
    <w:p>
      <w:pPr>
        <w:pStyle w:val="Heading2"/>
      </w:pPr>
      <w:r>
        <w:rPr>
          <w:rFonts w:ascii="Times New Roman" w:hAnsi="Times New Roman"/>
          <w:b/>
          <w:sz w:val="24"/>
        </w:rPr>
        <w:t>3.5. Code Quality Assessment via Antipattern Detection</w:t>
      </w:r>
    </w:p>
    <w:p>
      <w:r>
        <w:rPr>
          <w:rFonts w:ascii="Times New Roman" w:hAnsi="Times New Roman"/>
          <w:b w:val="0"/>
          <w:i w:val="0"/>
          <w:sz w:val="22"/>
        </w:rPr>
        <w:t>Antipattern detection identifies common SQL coding practices that, while syntactically valid and functionally correct, deviate from established best practices regarding performance, maintainability, SQL portability, or code clarity. It is important to emphasize that antipattern presence in training data does not constitute a critical flaw for Text-to-SQL model development—training objectives focus on semantic correspondence between questions and queries rather than production-ready code optimization. However, certain antipattern categories warrant attention because they impact SQL portability or can introduce subtle correctness risks. CRITICAL severity patterns (Cartesian products) often indicate unintended join conditions that can explode result cardinality. HIGH severity patterns (Missing GROUP BY; NOT IN with nullable columns) either rely on dialect-specific aggregate behavior or can produce incorrect filtering under SQL three-valued logic. MEDIUM severity patterns primarily affect performance (e.g., leading wildcard LIKE; function calls in WHERE that inhibit index usage). LOW severity patterns (SELECT *; redundant DISTINCT) tend to be stylistic or micro-optimization concerns in a benchmark setting.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Metric</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Best</w:t>
            </w:r>
          </w:p>
        </w:tc>
      </w:tr>
      <w:tr>
        <w:tc>
          <w:tcPr>
            <w:tcW w:type="dxa" w:w="1728"/>
          </w:tcPr>
          <w:p>
            <w:r>
              <w:rPr>
                <w:rFonts w:ascii="Times New Roman" w:hAnsi="Times New Roman"/>
                <w:sz w:val="20"/>
              </w:rPr>
              <w:t>Mean quality score</w:t>
            </w:r>
          </w:p>
        </w:tc>
        <w:tc>
          <w:tcPr>
            <w:tcW w:type="dxa" w:w="1728"/>
          </w:tcPr>
          <w:p>
            <w:pPr>
              <w:jc w:val="center"/>
            </w:pPr>
            <w:r>
              <w:rPr>
                <w:rFonts w:ascii="Times New Roman" w:hAnsi="Times New Roman"/>
                <w:sz w:val="20"/>
              </w:rPr>
              <w:t>97.7/100</w:t>
            </w:r>
          </w:p>
        </w:tc>
        <w:tc>
          <w:tcPr>
            <w:tcW w:type="dxa" w:w="1728"/>
          </w:tcPr>
          <w:p>
            <w:pPr>
              <w:jc w:val="center"/>
            </w:pPr>
            <w:r>
              <w:rPr>
                <w:rFonts w:ascii="Times New Roman" w:hAnsi="Times New Roman"/>
                <w:sz w:val="20"/>
              </w:rPr>
              <w:t>97.7/100</w:t>
            </w:r>
          </w:p>
        </w:tc>
        <w:tc>
          <w:tcPr>
            <w:tcW w:type="dxa" w:w="1728"/>
          </w:tcPr>
          <w:p>
            <w:pPr>
              <w:jc w:val="center"/>
            </w:pPr>
            <w:r>
              <w:rPr>
                <w:rFonts w:ascii="Times New Roman" w:hAnsi="Times New Roman"/>
                <w:sz w:val="20"/>
              </w:rPr>
              <w:t>98.4/100</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Avg antipatterns per query</w:t>
            </w:r>
          </w:p>
        </w:tc>
        <w:tc>
          <w:tcPr>
            <w:tcW w:type="dxa" w:w="1728"/>
          </w:tcPr>
          <w:p>
            <w:pPr>
              <w:jc w:val="center"/>
            </w:pPr>
            <w:r>
              <w:rPr>
                <w:rFonts w:ascii="Times New Roman" w:hAnsi="Times New Roman"/>
                <w:sz w:val="20"/>
              </w:rPr>
              <w:t>0.2</w:t>
            </w:r>
          </w:p>
        </w:tc>
        <w:tc>
          <w:tcPr>
            <w:tcW w:type="dxa" w:w="1728"/>
          </w:tcPr>
          <w:p>
            <w:pPr>
              <w:jc w:val="center"/>
            </w:pPr>
            <w:r>
              <w:rPr>
                <w:rFonts w:ascii="Times New Roman" w:hAnsi="Times New Roman"/>
                <w:sz w:val="20"/>
              </w:rPr>
              <w:t>0.2</w:t>
            </w:r>
          </w:p>
        </w:tc>
        <w:tc>
          <w:tcPr>
            <w:tcW w:type="dxa" w:w="1728"/>
          </w:tcPr>
          <w:p>
            <w:pPr>
              <w:jc w:val="center"/>
            </w:pPr>
            <w:r>
              <w:rPr>
                <w:rFonts w:ascii="Times New Roman" w:hAnsi="Times New Roman"/>
                <w:sz w:val="20"/>
              </w:rPr>
              <w:t>0.1</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Queries without antipatterns</w:t>
            </w:r>
          </w:p>
        </w:tc>
        <w:tc>
          <w:tcPr>
            <w:tcW w:type="dxa" w:w="1728"/>
          </w:tcPr>
          <w:p>
            <w:pPr>
              <w:jc w:val="center"/>
            </w:pPr>
            <w:r>
              <w:rPr>
                <w:rFonts w:ascii="Times New Roman" w:hAnsi="Times New Roman"/>
                <w:sz w:val="20"/>
              </w:rPr>
              <w:t>1,772 (82.5%)</w:t>
            </w:r>
          </w:p>
        </w:tc>
        <w:tc>
          <w:tcPr>
            <w:tcW w:type="dxa" w:w="1728"/>
          </w:tcPr>
          <w:p>
            <w:pPr>
              <w:jc w:val="center"/>
            </w:pPr>
            <w:r>
              <w:rPr>
                <w:rFonts w:ascii="Times New Roman" w:hAnsi="Times New Roman"/>
                <w:sz w:val="20"/>
              </w:rPr>
              <w:t>865 (83.7%)</w:t>
            </w:r>
          </w:p>
        </w:tc>
        <w:tc>
          <w:tcPr>
            <w:tcW w:type="dxa" w:w="1728"/>
          </w:tcPr>
          <w:p>
            <w:pPr>
              <w:jc w:val="center"/>
            </w:pPr>
            <w:r>
              <w:rPr>
                <w:rFonts w:ascii="Times New Roman" w:hAnsi="Times New Roman"/>
                <w:sz w:val="20"/>
              </w:rPr>
              <w:t>7,494 (86.5%)</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Total antipattern occurrences</w:t>
            </w:r>
          </w:p>
        </w:tc>
        <w:tc>
          <w:tcPr>
            <w:tcW w:type="dxa" w:w="1728"/>
          </w:tcPr>
          <w:p>
            <w:pPr>
              <w:jc w:val="center"/>
            </w:pPr>
            <w:r>
              <w:rPr>
                <w:rFonts w:ascii="Times New Roman" w:hAnsi="Times New Roman"/>
                <w:sz w:val="20"/>
              </w:rPr>
              <w:t>383</w:t>
            </w:r>
          </w:p>
        </w:tc>
        <w:tc>
          <w:tcPr>
            <w:tcW w:type="dxa" w:w="1728"/>
          </w:tcPr>
          <w:p>
            <w:pPr>
              <w:jc w:val="center"/>
            </w:pPr>
            <w:r>
              <w:rPr>
                <w:rFonts w:ascii="Times New Roman" w:hAnsi="Times New Roman"/>
                <w:sz w:val="20"/>
              </w:rPr>
              <w:t>169</w:t>
            </w:r>
          </w:p>
        </w:tc>
        <w:tc>
          <w:tcPr>
            <w:tcW w:type="dxa" w:w="1728"/>
          </w:tcPr>
          <w:p>
            <w:pPr>
              <w:jc w:val="center"/>
            </w:pPr>
            <w:r>
              <w:rPr>
                <w:rFonts w:ascii="Times New Roman" w:hAnsi="Times New Roman"/>
                <w:sz w:val="20"/>
              </w:rPr>
              <w:t>1,182</w:t>
            </w:r>
          </w:p>
        </w:tc>
        <w:tc>
          <w:tcPr>
            <w:tcW w:type="dxa" w:w="1728"/>
          </w:tcPr>
          <w:p>
            <w:pPr>
              <w:jc w:val="center"/>
            </w:pPr>
            <w:r>
              <w:rPr>
                <w:rFonts w:ascii="Times New Roman" w:hAnsi="Times New Roman"/>
                <w:sz w:val="20"/>
              </w:rPr>
              <w:t>—</w:t>
            </w:r>
          </w:p>
        </w:tc>
      </w:tr>
    </w:tbl>
    <w:p>
      <w:pPr>
        <w:jc w:val="center"/>
      </w:pPr>
      <w:r>
        <w:rPr>
          <w:rFonts w:ascii="Times New Roman" w:hAnsi="Times New Roman"/>
          <w:i/>
          <w:sz w:val="20"/>
        </w:rPr>
        <w:t>Table 7. Overall code quality metrics derived from SQL antipattern detection across Spider partitions</w:t>
      </w:r>
    </w:p>
    <w:p>
      <w:r>
        <w:rPr>
          <w:rFonts w:ascii="Times New Roman" w:hAnsi="Times New Roman"/>
          <w:b w:val="0"/>
          <w:i w:val="0"/>
          <w:sz w:val="22"/>
        </w:rPr>
        <w:t>Table 7 indicates consistently high SQL code quality across all three partitions. Mean quality scores reach 97.7/100 for Test and Dev and 98.4/100 for Train, while average antipattern density remains low (0.1–0.2 per query). Most importantly, the majority of queries contain no antipatterns at all: 82.5% (Test), 83.7% (Dev), and 86.5% (Train). These results suggest that antipatterns are concentrated in a relatively small subset of queries rather than being a systemic issue across the dataset.</w:t>
      </w:r>
    </w:p>
    <w:p>
      <w:r>
        <w:rPr>
          <w:rFonts w:ascii="Times New Roman" w:hAnsi="Times New Roman"/>
          <w:b w:val="0"/>
          <w:i w:val="0"/>
          <w:sz w:val="22"/>
        </w:rPr>
        <w:t>Table 8 reports the observed antipattern distribution across partitions. The dominant HIGH-severity antipattern is Missing GROUP BY (945 occurrences total), affecting 6.9% of Train queries and roughly one in ten queries in Test (11.1%) and Dev (10.3%). NOT IN with nullable columns forms the second major HIGH-severity category (348 occurrences total). Critical Cartesian products are rare across all partitions; these flags typically indicate missing or ineffective join conditions (i.e., at least one table is not connected to the join graph) and therefore should be treated as high-priority items for manual review because they can explode result cardinality and invalidate query intent.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Antipattern</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Severity</w:t>
            </w:r>
          </w:p>
        </w:tc>
      </w:tr>
      <w:tr>
        <w:tc>
          <w:tcPr>
            <w:tcW w:type="dxa" w:w="1728"/>
          </w:tcPr>
          <w:p>
            <w:r>
              <w:rPr>
                <w:rFonts w:ascii="Times New Roman" w:hAnsi="Times New Roman"/>
                <w:sz w:val="20"/>
              </w:rPr>
              <w:t>Cartesian product</w:t>
            </w:r>
          </w:p>
        </w:tc>
        <w:tc>
          <w:tcPr>
            <w:tcW w:type="dxa" w:w="1728"/>
          </w:tcPr>
          <w:p>
            <w:pPr>
              <w:jc w:val="center"/>
            </w:pPr>
            <w:r>
              <w:rPr>
                <w:rFonts w:ascii="Times New Roman" w:hAnsi="Times New Roman"/>
                <w:sz w:val="20"/>
              </w:rPr>
              <w:t>2 (0.1%)</w:t>
            </w:r>
          </w:p>
        </w:tc>
        <w:tc>
          <w:tcPr>
            <w:tcW w:type="dxa" w:w="1728"/>
          </w:tcPr>
          <w:p>
            <w:pPr>
              <w:jc w:val="center"/>
            </w:pPr>
            <w:r>
              <w:rPr>
                <w:rFonts w:ascii="Times New Roman" w:hAnsi="Times New Roman"/>
                <w:sz w:val="20"/>
              </w:rPr>
              <w:t>2 (0.2%)</w:t>
            </w:r>
          </w:p>
        </w:tc>
        <w:tc>
          <w:tcPr>
            <w:tcW w:type="dxa" w:w="1728"/>
          </w:tcPr>
          <w:p>
            <w:pPr>
              <w:jc w:val="center"/>
            </w:pPr>
            <w:r>
              <w:rPr>
                <w:rFonts w:ascii="Times New Roman" w:hAnsi="Times New Roman"/>
                <w:sz w:val="20"/>
              </w:rPr>
              <w:t>13 (0.2%)</w:t>
            </w:r>
          </w:p>
        </w:tc>
        <w:tc>
          <w:tcPr>
            <w:tcW w:type="dxa" w:w="1728"/>
          </w:tcPr>
          <w:p>
            <w:pPr>
              <w:jc w:val="center"/>
            </w:pPr>
            <w:r>
              <w:rPr>
                <w:rFonts w:ascii="Times New Roman" w:hAnsi="Times New Roman"/>
                <w:sz w:val="20"/>
              </w:rPr>
              <w:t>🔴 Critical</w:t>
            </w:r>
          </w:p>
        </w:tc>
      </w:tr>
      <w:tr>
        <w:tc>
          <w:tcPr>
            <w:tcW w:type="dxa" w:w="1728"/>
          </w:tcPr>
          <w:p>
            <w:r>
              <w:rPr>
                <w:rFonts w:ascii="Times New Roman" w:hAnsi="Times New Roman"/>
                <w:sz w:val="20"/>
              </w:rPr>
              <w:t>Missing GROUP BY</w:t>
            </w:r>
          </w:p>
        </w:tc>
        <w:tc>
          <w:tcPr>
            <w:tcW w:type="dxa" w:w="1728"/>
          </w:tcPr>
          <w:p>
            <w:pPr>
              <w:jc w:val="center"/>
            </w:pPr>
            <w:r>
              <w:rPr>
                <w:rFonts w:ascii="Times New Roman" w:hAnsi="Times New Roman"/>
                <w:sz w:val="20"/>
              </w:rPr>
              <w:t>239 (11.1%)</w:t>
            </w:r>
          </w:p>
        </w:tc>
        <w:tc>
          <w:tcPr>
            <w:tcW w:type="dxa" w:w="1728"/>
          </w:tcPr>
          <w:p>
            <w:pPr>
              <w:jc w:val="center"/>
            </w:pPr>
            <w:r>
              <w:rPr>
                <w:rFonts w:ascii="Times New Roman" w:hAnsi="Times New Roman"/>
                <w:sz w:val="20"/>
              </w:rPr>
              <w:t>106 (10.3%)</w:t>
            </w:r>
          </w:p>
        </w:tc>
        <w:tc>
          <w:tcPr>
            <w:tcW w:type="dxa" w:w="1728"/>
          </w:tcPr>
          <w:p>
            <w:pPr>
              <w:jc w:val="center"/>
            </w:pPr>
            <w:r>
              <w:rPr>
                <w:rFonts w:ascii="Times New Roman" w:hAnsi="Times New Roman"/>
                <w:sz w:val="20"/>
              </w:rPr>
              <w:t>600 (6.9%)</w:t>
            </w:r>
          </w:p>
        </w:tc>
        <w:tc>
          <w:tcPr>
            <w:tcW w:type="dxa" w:w="1728"/>
          </w:tcPr>
          <w:p>
            <w:pPr>
              <w:jc w:val="center"/>
            </w:pPr>
            <w:r>
              <w:rPr>
                <w:rFonts w:ascii="Times New Roman" w:hAnsi="Times New Roman"/>
                <w:sz w:val="20"/>
              </w:rPr>
              <w:t>⚠️ High</w:t>
            </w:r>
          </w:p>
        </w:tc>
      </w:tr>
      <w:tr>
        <w:tc>
          <w:tcPr>
            <w:tcW w:type="dxa" w:w="1728"/>
          </w:tcPr>
          <w:p>
            <w:r>
              <w:rPr>
                <w:rFonts w:ascii="Times New Roman" w:hAnsi="Times New Roman"/>
                <w:sz w:val="20"/>
              </w:rPr>
              <w:t>NOT IN with nullable</w:t>
            </w:r>
          </w:p>
        </w:tc>
        <w:tc>
          <w:tcPr>
            <w:tcW w:type="dxa" w:w="1728"/>
          </w:tcPr>
          <w:p>
            <w:pPr>
              <w:jc w:val="center"/>
            </w:pPr>
            <w:r>
              <w:rPr>
                <w:rFonts w:ascii="Times New Roman" w:hAnsi="Times New Roman"/>
                <w:sz w:val="20"/>
              </w:rPr>
              <w:t>74 (3.4%)</w:t>
            </w:r>
          </w:p>
        </w:tc>
        <w:tc>
          <w:tcPr>
            <w:tcW w:type="dxa" w:w="1728"/>
          </w:tcPr>
          <w:p>
            <w:pPr>
              <w:jc w:val="center"/>
            </w:pPr>
            <w:r>
              <w:rPr>
                <w:rFonts w:ascii="Times New Roman" w:hAnsi="Times New Roman"/>
                <w:sz w:val="20"/>
              </w:rPr>
              <w:t>46 (4.4%)</w:t>
            </w:r>
          </w:p>
        </w:tc>
        <w:tc>
          <w:tcPr>
            <w:tcW w:type="dxa" w:w="1728"/>
          </w:tcPr>
          <w:p>
            <w:pPr>
              <w:jc w:val="center"/>
            </w:pPr>
            <w:r>
              <w:rPr>
                <w:rFonts w:ascii="Times New Roman" w:hAnsi="Times New Roman"/>
                <w:sz w:val="20"/>
              </w:rPr>
              <w:t>228 (2.6%)</w:t>
            </w:r>
          </w:p>
        </w:tc>
        <w:tc>
          <w:tcPr>
            <w:tcW w:type="dxa" w:w="1728"/>
          </w:tcPr>
          <w:p>
            <w:pPr>
              <w:jc w:val="center"/>
            </w:pPr>
            <w:r>
              <w:rPr>
                <w:rFonts w:ascii="Times New Roman" w:hAnsi="Times New Roman"/>
                <w:sz w:val="20"/>
              </w:rPr>
              <w:t>⚠️ High</w:t>
            </w:r>
          </w:p>
        </w:tc>
      </w:tr>
      <w:tr>
        <w:tc>
          <w:tcPr>
            <w:tcW w:type="dxa" w:w="1728"/>
          </w:tcPr>
          <w:p>
            <w:r>
              <w:rPr>
                <w:rFonts w:ascii="Times New Roman" w:hAnsi="Times New Roman"/>
                <w:sz w:val="20"/>
              </w:rPr>
              <w:t>Leading wildcard LIKE</w:t>
            </w:r>
          </w:p>
        </w:tc>
        <w:tc>
          <w:tcPr>
            <w:tcW w:type="dxa" w:w="1728"/>
          </w:tcPr>
          <w:p>
            <w:pPr>
              <w:jc w:val="center"/>
            </w:pPr>
            <w:r>
              <w:rPr>
                <w:rFonts w:ascii="Times New Roman" w:hAnsi="Times New Roman"/>
                <w:sz w:val="20"/>
              </w:rPr>
              <w:t>50 (2.3%)</w:t>
            </w:r>
          </w:p>
        </w:tc>
        <w:tc>
          <w:tcPr>
            <w:tcW w:type="dxa" w:w="1728"/>
          </w:tcPr>
          <w:p>
            <w:pPr>
              <w:jc w:val="center"/>
            </w:pPr>
            <w:r>
              <w:rPr>
                <w:rFonts w:ascii="Times New Roman" w:hAnsi="Times New Roman"/>
                <w:sz w:val="20"/>
              </w:rPr>
              <w:t>12 (1.2%)</w:t>
            </w:r>
          </w:p>
        </w:tc>
        <w:tc>
          <w:tcPr>
            <w:tcW w:type="dxa" w:w="1728"/>
          </w:tcPr>
          <w:p>
            <w:pPr>
              <w:jc w:val="center"/>
            </w:pPr>
            <w:r>
              <w:rPr>
                <w:rFonts w:ascii="Times New Roman" w:hAnsi="Times New Roman"/>
                <w:sz w:val="20"/>
              </w:rPr>
              <w:t>140 (1.6%)</w:t>
            </w:r>
          </w:p>
        </w:tc>
        <w:tc>
          <w:tcPr>
            <w:tcW w:type="dxa" w:w="1728"/>
          </w:tcPr>
          <w:p>
            <w:pPr>
              <w:jc w:val="center"/>
            </w:pPr>
            <w:r>
              <w:rPr>
                <w:rFonts w:ascii="Times New Roman" w:hAnsi="Times New Roman"/>
                <w:sz w:val="20"/>
              </w:rPr>
              <w:t>🔵 Medium</w:t>
            </w:r>
          </w:p>
        </w:tc>
      </w:tr>
      <w:tr>
        <w:tc>
          <w:tcPr>
            <w:tcW w:type="dxa" w:w="1728"/>
          </w:tcPr>
          <w:p>
            <w:r>
              <w:rPr>
                <w:rFonts w:ascii="Times New Roman" w:hAnsi="Times New Roman"/>
                <w:sz w:val="20"/>
              </w:rPr>
              <w:t>Function in WHERE</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6 (0.1%)</w:t>
            </w:r>
          </w:p>
        </w:tc>
        <w:tc>
          <w:tcPr>
            <w:tcW w:type="dxa" w:w="1728"/>
          </w:tcPr>
          <w:p>
            <w:pPr>
              <w:jc w:val="center"/>
            </w:pPr>
            <w:r>
              <w:rPr>
                <w:rFonts w:ascii="Times New Roman" w:hAnsi="Times New Roman"/>
                <w:sz w:val="20"/>
              </w:rPr>
              <w:t>🔵 Medium</w:t>
            </w:r>
          </w:p>
        </w:tc>
      </w:tr>
      <w:tr>
        <w:tc>
          <w:tcPr>
            <w:tcW w:type="dxa" w:w="1728"/>
          </w:tcPr>
          <w:p>
            <w:r>
              <w:rPr>
                <w:rFonts w:ascii="Times New Roman" w:hAnsi="Times New Roman"/>
                <w:sz w:val="20"/>
              </w:rPr>
              <w:t>Redundant DISTINCT</w:t>
            </w:r>
          </w:p>
        </w:tc>
        <w:tc>
          <w:tcPr>
            <w:tcW w:type="dxa" w:w="1728"/>
          </w:tcPr>
          <w:p>
            <w:pPr>
              <w:jc w:val="center"/>
            </w:pPr>
            <w:r>
              <w:rPr>
                <w:rFonts w:ascii="Times New Roman" w:hAnsi="Times New Roman"/>
                <w:sz w:val="20"/>
              </w:rPr>
              <w:t>6 (0.3%)</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133 (1.5%)</w:t>
            </w:r>
          </w:p>
        </w:tc>
        <w:tc>
          <w:tcPr>
            <w:tcW w:type="dxa" w:w="1728"/>
          </w:tcPr>
          <w:p>
            <w:pPr>
              <w:jc w:val="center"/>
            </w:pPr>
            <w:r>
              <w:rPr>
                <w:rFonts w:ascii="Times New Roman" w:hAnsi="Times New Roman"/>
                <w:sz w:val="20"/>
              </w:rPr>
              <w:t>🟢 Low</w:t>
            </w:r>
          </w:p>
        </w:tc>
      </w:tr>
      <w:tr>
        <w:tc>
          <w:tcPr>
            <w:tcW w:type="dxa" w:w="1728"/>
          </w:tcPr>
          <w:p>
            <w:r>
              <w:rPr>
                <w:rFonts w:ascii="Times New Roman" w:hAnsi="Times New Roman"/>
                <w:sz w:val="20"/>
              </w:rPr>
              <w:t>SELECT *</w:t>
            </w:r>
          </w:p>
        </w:tc>
        <w:tc>
          <w:tcPr>
            <w:tcW w:type="dxa" w:w="1728"/>
          </w:tcPr>
          <w:p>
            <w:pPr>
              <w:jc w:val="center"/>
            </w:pPr>
            <w:r>
              <w:rPr>
                <w:rFonts w:ascii="Times New Roman" w:hAnsi="Times New Roman"/>
                <w:sz w:val="20"/>
              </w:rPr>
              <w:t>12 (0.6%)</w:t>
            </w:r>
          </w:p>
        </w:tc>
        <w:tc>
          <w:tcPr>
            <w:tcW w:type="dxa" w:w="1728"/>
          </w:tcPr>
          <w:p>
            <w:pPr>
              <w:jc w:val="center"/>
            </w:pPr>
            <w:r>
              <w:rPr>
                <w:rFonts w:ascii="Times New Roman" w:hAnsi="Times New Roman"/>
                <w:sz w:val="20"/>
              </w:rPr>
              <w:t>3 (0.3%)</w:t>
            </w:r>
          </w:p>
        </w:tc>
        <w:tc>
          <w:tcPr>
            <w:tcW w:type="dxa" w:w="1728"/>
          </w:tcPr>
          <w:p>
            <w:pPr>
              <w:jc w:val="center"/>
            </w:pPr>
            <w:r>
              <w:rPr>
                <w:rFonts w:ascii="Times New Roman" w:hAnsi="Times New Roman"/>
                <w:sz w:val="20"/>
              </w:rPr>
              <w:t>62 (0.7%)</w:t>
            </w:r>
          </w:p>
        </w:tc>
        <w:tc>
          <w:tcPr>
            <w:tcW w:type="dxa" w:w="1728"/>
          </w:tcPr>
          <w:p>
            <w:pPr>
              <w:jc w:val="center"/>
            </w:pPr>
            <w:r>
              <w:rPr>
                <w:rFonts w:ascii="Times New Roman" w:hAnsi="Times New Roman"/>
                <w:sz w:val="20"/>
              </w:rPr>
              <w:t>🟢 Low</w:t>
            </w:r>
          </w:p>
        </w:tc>
      </w:tr>
    </w:tbl>
    <w:p>
      <w:pPr>
        <w:jc w:val="center"/>
      </w:pPr>
      <w:r>
        <w:rPr>
          <w:rFonts w:ascii="Times New Roman" w:hAnsi="Times New Roman"/>
          <w:i/>
          <w:sz w:val="20"/>
        </w:rPr>
        <w:t>Table 8. Complete antipattern distribution by severity and partition</w:t>
      </w:r>
    </w:p>
    <w:p>
      <w:r>
        <w:rPr>
          <w:rFonts w:ascii="Times New Roman" w:hAnsi="Times New Roman"/>
          <w:b w:val="0"/>
          <w:i w:val="0"/>
          <w:sz w:val="22"/>
        </w:rPr>
        <w:t>Missing GROUP BY is the most frequent high-severity issue in all partitions. A large concentration of Missing GROUP BY cases reduces SQL portability and can introduce ambiguous semantics when multiple rows contribute to an aggregate. For cross-dialect Text-to-SQL applications, these cases should be prioritized for normalization into standard-compliant GROUP BY queries or rewritten using deterministic subqueries when the intent is to associate a value with an extremum.</w:t>
      </w:r>
    </w:p>
    <w:p>
      <w:r>
        <w:rPr>
          <w:rFonts w:ascii="Times New Roman" w:hAnsi="Times New Roman"/>
          <w:b w:val="0"/>
          <w:i w:val="0"/>
          <w:sz w:val="22"/>
        </w:rPr>
        <w:t>The NOT IN with nullable columns antipattern affects 348 queries total (74 in Test, 46 in Dev, 228 in Train), representing 2.6-4.4% of each partition. This pattern introduces subtle semantic bugs when the subquery returns NULL values due to SQL's three-valued logic: when the subquery result contains NULL, the predicate may evaluate to UNKNOWN and filter out rows unexpectedly. A standard mitigation is to either add explicit IS NOT NULL filters inside the subquery or to rewrite NOT IN as NOT EXISTS with a correlated predicate. Importantly, some flagged cases may be safe if the selected subquery column is guaranteed non-null (e.g., a primary key); therefore, these cases require schema-aware review to separate true defects from structurally safe patterns.</w:t>
      </w:r>
    </w:p>
    <w:p>
      <w:r>
        <w:rPr>
          <w:rFonts w:ascii="Times New Roman" w:hAnsi="Times New Roman"/>
          <w:b w:val="0"/>
          <w:i w:val="0"/>
          <w:sz w:val="22"/>
        </w:rPr>
        <w:t>MEDIUM severity antipatterns are relatively infrequent. Leading wildcard LIKE (1.2–2.3%) can prevent index usage in many engines, potentially increasing runtime on large tables. Function calls in WHERE are rare overall (0.1% in Train and absent from Test/Dev) but represent a similar optimization barrier: applying a function to a filtered column can inhibit index utilization unless functional indexes or specialized collations are used.</w:t>
      </w:r>
    </w:p>
    <w:p>
      <w:r>
        <w:rPr>
          <w:rFonts w:ascii="Times New Roman" w:hAnsi="Times New Roman"/>
          <w:b w:val="0"/>
          <w:i w:val="0"/>
          <w:sz w:val="22"/>
        </w:rPr>
        <w:t>LOW severity antipatterns are also limited in scope. Redundant DISTINCT affects 0.3% of Test queries and 1.5% of Train queries (absent in Dev), suggesting occasional unnecessary deduplication. SELECT * is rare (0.3–0.7%), indicating that most Spider queries explicitly enumerate selected columns. While these patterns can matter in production SQL, their low frequency here suggests they are not a primary driver of quality variation across partitions.</w:t>
      </w:r>
    </w:p>
    <w:p>
      <w:r>
        <w:rPr>
          <w:rFonts w:ascii="Times New Roman" w:hAnsi="Times New Roman"/>
          <w:b w:val="0"/>
          <w:i w:val="0"/>
          <w:sz w:val="22"/>
        </w:rPr>
        <w:t>In summary, antipattern detection confirms high SQL code quality in Spider: mean quality scores of 97.7–98.4/100 and 82.5–86.5% of queries free of detected antipatterns. The primary remediation opportunity concerns HIGH-severity patterns, especially Missing GROUP BY (945 occurrences) and NOT IN with nullable columns (348 occurrences). Although CRITICAL Cartesian products are rare (17 total), they should be treated as high-priority fixes, as they often indicate broken join logic. Overall, the results indicate that targeted correction of a small number of pattern categories could further improve portability and robustness without requiring broad changes to the dataset.</w:t>
      </w:r>
    </w:p>
    <w:p>
      <w:r>
        <w:br w:type="page"/>
      </w:r>
    </w:p>
    <w:p>
      <w:pPr>
        <w:pStyle w:val="Heading2"/>
      </w:pPr>
      <w:r>
        <w:rPr>
          <w:rFonts w:ascii="Times New Roman" w:hAnsi="Times New Roman"/>
          <w:b/>
          <w:sz w:val="24"/>
        </w:rPr>
        <w:t>3.6. Semantic Correctness via LLM Consensus</w:t>
      </w:r>
    </w:p>
    <w:p>
      <w:r>
        <w:rPr>
          <w:rFonts w:ascii="Times New Roman" w:hAnsi="Times New Roman"/>
          <w:b w:val="0"/>
          <w:i w:val="0"/>
          <w:sz w:val="22"/>
        </w:rPr>
        <w:t>Semantic validation represents the most critical quality dimension, as syntactically valid, successfully executing queries may nonetheless fail to correctly answer their associated natural language questions. This validation employs two large language models (Gemini 2.5 Pro and GPT-5) in a consensus voting configuration, with unanimous agreement required for definitive verdicts and disagreement cases classified as Mixed requiring human review. The analysis was successfully conducted across all three Spider partitions: Test (2,147 queries), Dev (1,034 queries), and Train (8,659 queries), providing comprehensive semantic quality assessment covering the entire dataset of 11,840 examples.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Consensus Verdict</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CORRECT</w:t>
            </w:r>
          </w:p>
        </w:tc>
        <w:tc>
          <w:tcPr>
            <w:tcW w:type="dxa" w:w="2160"/>
          </w:tcPr>
          <w:p>
            <w:pPr>
              <w:jc w:val="center"/>
            </w:pPr>
            <w:r>
              <w:rPr>
                <w:rFonts w:ascii="Times New Roman" w:hAnsi="Times New Roman"/>
                <w:sz w:val="20"/>
              </w:rPr>
              <w:t>1,409 (65.6%)</w:t>
            </w:r>
          </w:p>
        </w:tc>
        <w:tc>
          <w:tcPr>
            <w:tcW w:type="dxa" w:w="2160"/>
          </w:tcPr>
          <w:p>
            <w:pPr>
              <w:jc w:val="center"/>
            </w:pPr>
            <w:r>
              <w:rPr>
                <w:rFonts w:ascii="Times New Roman" w:hAnsi="Times New Roman"/>
                <w:sz w:val="20"/>
              </w:rPr>
              <w:t>684 (66.2%)</w:t>
            </w:r>
          </w:p>
        </w:tc>
        <w:tc>
          <w:tcPr>
            <w:tcW w:type="dxa" w:w="2160"/>
          </w:tcPr>
          <w:p>
            <w:pPr>
              <w:jc w:val="center"/>
            </w:pPr>
            <w:r>
              <w:rPr>
                <w:rFonts w:ascii="Times New Roman" w:hAnsi="Times New Roman"/>
                <w:sz w:val="20"/>
              </w:rPr>
              <w:t>5,188 (59.9%)</w:t>
            </w:r>
          </w:p>
        </w:tc>
      </w:tr>
      <w:tr>
        <w:tc>
          <w:tcPr>
            <w:tcW w:type="dxa" w:w="2160"/>
          </w:tcPr>
          <w:p>
            <w:r>
              <w:rPr>
                <w:rFonts w:ascii="Times New Roman" w:hAnsi="Times New Roman"/>
                <w:sz w:val="20"/>
              </w:rPr>
              <w:t>PARTIALLY_CORRECT</w:t>
            </w:r>
          </w:p>
        </w:tc>
        <w:tc>
          <w:tcPr>
            <w:tcW w:type="dxa" w:w="2160"/>
          </w:tcPr>
          <w:p>
            <w:pPr>
              <w:jc w:val="center"/>
            </w:pPr>
            <w:r>
              <w:rPr>
                <w:rFonts w:ascii="Times New Roman" w:hAnsi="Times New Roman"/>
                <w:sz w:val="20"/>
              </w:rPr>
              <w:t>43 (2.0%)</w:t>
            </w:r>
          </w:p>
        </w:tc>
        <w:tc>
          <w:tcPr>
            <w:tcW w:type="dxa" w:w="2160"/>
          </w:tcPr>
          <w:p>
            <w:pPr>
              <w:jc w:val="center"/>
            </w:pPr>
            <w:r>
              <w:rPr>
                <w:rFonts w:ascii="Times New Roman" w:hAnsi="Times New Roman"/>
                <w:sz w:val="20"/>
              </w:rPr>
              <w:t>14 (1.4%)</w:t>
            </w:r>
          </w:p>
        </w:tc>
        <w:tc>
          <w:tcPr>
            <w:tcW w:type="dxa" w:w="2160"/>
          </w:tcPr>
          <w:p>
            <w:pPr>
              <w:jc w:val="center"/>
            </w:pPr>
            <w:r>
              <w:rPr>
                <w:rFonts w:ascii="Times New Roman" w:hAnsi="Times New Roman"/>
                <w:sz w:val="20"/>
              </w:rPr>
              <w:t>259 (3.0%)</w:t>
            </w:r>
          </w:p>
        </w:tc>
      </w:tr>
      <w:tr>
        <w:tc>
          <w:tcPr>
            <w:tcW w:type="dxa" w:w="2160"/>
          </w:tcPr>
          <w:p>
            <w:r>
              <w:rPr>
                <w:rFonts w:ascii="Times New Roman" w:hAnsi="Times New Roman"/>
                <w:sz w:val="20"/>
              </w:rPr>
              <w:t>INCORRECT</w:t>
            </w:r>
          </w:p>
        </w:tc>
        <w:tc>
          <w:tcPr>
            <w:tcW w:type="dxa" w:w="2160"/>
          </w:tcPr>
          <w:p>
            <w:pPr>
              <w:jc w:val="center"/>
            </w:pPr>
            <w:r>
              <w:rPr>
                <w:rFonts w:ascii="Times New Roman" w:hAnsi="Times New Roman"/>
                <w:sz w:val="20"/>
              </w:rPr>
              <w:t>171 (8.0%)</w:t>
            </w:r>
          </w:p>
        </w:tc>
        <w:tc>
          <w:tcPr>
            <w:tcW w:type="dxa" w:w="2160"/>
          </w:tcPr>
          <w:p>
            <w:pPr>
              <w:jc w:val="center"/>
            </w:pPr>
            <w:r>
              <w:rPr>
                <w:rFonts w:ascii="Times New Roman" w:hAnsi="Times New Roman"/>
                <w:sz w:val="20"/>
              </w:rPr>
              <w:t>94 (9.1%)</w:t>
            </w:r>
          </w:p>
        </w:tc>
        <w:tc>
          <w:tcPr>
            <w:tcW w:type="dxa" w:w="2160"/>
          </w:tcPr>
          <w:p>
            <w:pPr>
              <w:jc w:val="center"/>
            </w:pPr>
            <w:r>
              <w:rPr>
                <w:rFonts w:ascii="Times New Roman" w:hAnsi="Times New Roman"/>
                <w:sz w:val="20"/>
              </w:rPr>
              <w:t>867 (10.0%)</w:t>
            </w:r>
          </w:p>
        </w:tc>
      </w:tr>
      <w:tr>
        <w:tc>
          <w:tcPr>
            <w:tcW w:type="dxa" w:w="2160"/>
          </w:tcPr>
          <w:p>
            <w:r>
              <w:rPr>
                <w:rFonts w:ascii="Times New Roman" w:hAnsi="Times New Roman"/>
                <w:sz w:val="20"/>
              </w:rPr>
              <w:t>Mixed (disagreement)</w:t>
            </w:r>
          </w:p>
        </w:tc>
        <w:tc>
          <w:tcPr>
            <w:tcW w:type="dxa" w:w="2160"/>
          </w:tcPr>
          <w:p>
            <w:pPr>
              <w:jc w:val="center"/>
            </w:pPr>
            <w:r>
              <w:rPr>
                <w:rFonts w:ascii="Times New Roman" w:hAnsi="Times New Roman"/>
                <w:sz w:val="20"/>
              </w:rPr>
              <w:t>522 (24.3%)</w:t>
            </w:r>
          </w:p>
        </w:tc>
        <w:tc>
          <w:tcPr>
            <w:tcW w:type="dxa" w:w="2160"/>
          </w:tcPr>
          <w:p>
            <w:pPr>
              <w:jc w:val="center"/>
            </w:pPr>
            <w:r>
              <w:rPr>
                <w:rFonts w:ascii="Times New Roman" w:hAnsi="Times New Roman"/>
                <w:sz w:val="20"/>
              </w:rPr>
              <w:t>242 (23.4%)</w:t>
            </w:r>
          </w:p>
        </w:tc>
        <w:tc>
          <w:tcPr>
            <w:tcW w:type="dxa" w:w="2160"/>
          </w:tcPr>
          <w:p>
            <w:pPr>
              <w:jc w:val="center"/>
            </w:pPr>
            <w:r>
              <w:rPr>
                <w:rFonts w:ascii="Times New Roman" w:hAnsi="Times New Roman"/>
                <w:sz w:val="20"/>
              </w:rPr>
              <w:t>2,316 (26.7%)</w:t>
            </w:r>
          </w:p>
        </w:tc>
      </w:tr>
      <w:tr>
        <w:tc>
          <w:tcPr>
            <w:tcW w:type="dxa" w:w="2160"/>
          </w:tcPr>
          <w:p>
            <w:r>
              <w:rPr>
                <w:rFonts w:ascii="Times New Roman" w:hAnsi="Times New Roman"/>
                <w:sz w:val="20"/>
              </w:rPr>
              <w:t>UNANSWERABLE</w:t>
            </w:r>
          </w:p>
        </w:tc>
        <w:tc>
          <w:tcPr>
            <w:tcW w:type="dxa" w:w="2160"/>
          </w:tcPr>
          <w:p>
            <w:pPr>
              <w:jc w:val="center"/>
            </w:pPr>
            <w:r>
              <w:rPr>
                <w:rFonts w:ascii="Times New Roman" w:hAnsi="Times New Roman"/>
                <w:sz w:val="20"/>
              </w:rPr>
              <w:t>2 (0.1%)</w:t>
            </w:r>
          </w:p>
        </w:tc>
        <w:tc>
          <w:tcPr>
            <w:tcW w:type="dxa" w:w="2160"/>
          </w:tcPr>
          <w:p>
            <w:pPr>
              <w:jc w:val="center"/>
            </w:pPr>
            <w:r>
              <w:rPr>
                <w:rFonts w:ascii="Times New Roman" w:hAnsi="Times New Roman"/>
                <w:sz w:val="20"/>
              </w:rPr>
              <w:t>0 (0.0%)</w:t>
            </w:r>
          </w:p>
        </w:tc>
        <w:tc>
          <w:tcPr>
            <w:tcW w:type="dxa" w:w="2160"/>
          </w:tcPr>
          <w:p>
            <w:pPr>
              <w:jc w:val="center"/>
            </w:pPr>
            <w:r>
              <w:rPr>
                <w:rFonts w:ascii="Times New Roman" w:hAnsi="Times New Roman"/>
                <w:sz w:val="20"/>
              </w:rPr>
              <w:t>29 (0.3%)</w:t>
            </w:r>
          </w:p>
        </w:tc>
      </w:tr>
      <w:tr>
        <w:tc>
          <w:tcPr>
            <w:tcW w:type="dxa" w:w="2160"/>
          </w:tcPr>
          <w:p>
            <w:r>
              <w:rPr>
                <w:rFonts w:ascii="Times New Roman" w:hAnsi="Times New Roman"/>
                <w:sz w:val="20"/>
              </w:rPr>
              <w:t>TOTAL</w:t>
            </w:r>
          </w:p>
        </w:tc>
        <w:tc>
          <w:tcPr>
            <w:tcW w:type="dxa" w:w="2160"/>
          </w:tcPr>
          <w:p>
            <w:pPr>
              <w:jc w:val="center"/>
            </w:pPr>
            <w:r>
              <w:rPr>
                <w:rFonts w:ascii="Times New Roman" w:hAnsi="Times New Roman"/>
                <w:sz w:val="20"/>
              </w:rPr>
              <w:t>2,147 (100%)</w:t>
            </w:r>
          </w:p>
        </w:tc>
        <w:tc>
          <w:tcPr>
            <w:tcW w:type="dxa" w:w="2160"/>
          </w:tcPr>
          <w:p>
            <w:pPr>
              <w:jc w:val="center"/>
            </w:pPr>
            <w:r>
              <w:rPr>
                <w:rFonts w:ascii="Times New Roman" w:hAnsi="Times New Roman"/>
                <w:sz w:val="20"/>
              </w:rPr>
              <w:t>1,034 (100%)</w:t>
            </w:r>
          </w:p>
        </w:tc>
        <w:tc>
          <w:tcPr>
            <w:tcW w:type="dxa" w:w="2160"/>
          </w:tcPr>
          <w:p>
            <w:pPr>
              <w:jc w:val="center"/>
            </w:pPr>
            <w:r>
              <w:rPr>
                <w:rFonts w:ascii="Times New Roman" w:hAnsi="Times New Roman"/>
                <w:sz w:val="20"/>
              </w:rPr>
              <w:t>8,659 (100%)</w:t>
            </w:r>
          </w:p>
        </w:tc>
      </w:tr>
    </w:tbl>
    <w:p>
      <w:pPr>
        <w:jc w:val="center"/>
      </w:pPr>
      <w:r>
        <w:rPr>
          <w:rFonts w:ascii="Times New Roman" w:hAnsi="Times New Roman"/>
          <w:i/>
          <w:sz w:val="20"/>
        </w:rPr>
        <w:t>Table 9. Semantic validation results via LLM consensus voting</w:t>
      </w:r>
    </w:p>
    <w:p>
      <w:r>
        <w:rPr>
          <w:rFonts w:ascii="Times New Roman" w:hAnsi="Times New Roman"/>
          <w:b w:val="0"/>
          <w:i w:val="0"/>
          <w:sz w:val="22"/>
        </w:rPr>
        <w:t>Table 9 indicates that Test and Dev exhibit comparable semantic correctness (65.6% vs. 66.2% CORRECT), while Train shows a lower correctness rate (59.9%). Train also exhibits the highest rates of both explicitly incorrect queries (10.0% vs. 8.0% in Test and 9.1% in Dev) and mixed/disputed cases (26.7% vs. 24.3% in Test and 23.4% in Dev), indicating that the largest partition contains the greatest proportion of semantically problematic or ambiguous examples. The unanimous agreement characteristic (all non-Mixed verdicts represent complete model consensus) reflects the two-model configuration, where only two outcome patterns are possible: both models agree (producing a definitive verdict) or models disagree (producing Mixed classification).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Disagreement pattern (Gemini → GPT-5)</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Share of Mixed (Test/Dev/Train)</w:t>
            </w:r>
          </w:p>
        </w:tc>
      </w:tr>
      <w:tr>
        <w:tc>
          <w:tcPr>
            <w:tcW w:type="dxa" w:w="1728"/>
          </w:tcPr>
          <w:p>
            <w:r>
              <w:rPr>
                <w:rFonts w:ascii="Times New Roman" w:hAnsi="Times New Roman"/>
                <w:sz w:val="20"/>
              </w:rPr>
              <w:t>CORRECT → PARTIALLY_CORRECT</w:t>
            </w:r>
          </w:p>
        </w:tc>
        <w:tc>
          <w:tcPr>
            <w:tcW w:type="dxa" w:w="1728"/>
          </w:tcPr>
          <w:p>
            <w:pPr>
              <w:jc w:val="center"/>
            </w:pPr>
            <w:r>
              <w:rPr>
                <w:rFonts w:ascii="Times New Roman" w:hAnsi="Times New Roman"/>
                <w:sz w:val="20"/>
              </w:rPr>
              <w:t>315</w:t>
            </w:r>
          </w:p>
        </w:tc>
        <w:tc>
          <w:tcPr>
            <w:tcW w:type="dxa" w:w="1728"/>
          </w:tcPr>
          <w:p>
            <w:pPr>
              <w:jc w:val="center"/>
            </w:pPr>
            <w:r>
              <w:rPr>
                <w:rFonts w:ascii="Times New Roman" w:hAnsi="Times New Roman"/>
                <w:sz w:val="20"/>
              </w:rPr>
              <w:t>144</w:t>
            </w:r>
          </w:p>
        </w:tc>
        <w:tc>
          <w:tcPr>
            <w:tcW w:type="dxa" w:w="1728"/>
          </w:tcPr>
          <w:p>
            <w:pPr>
              <w:jc w:val="center"/>
            </w:pPr>
            <w:r>
              <w:rPr>
                <w:rFonts w:ascii="Times New Roman" w:hAnsi="Times New Roman"/>
                <w:sz w:val="20"/>
              </w:rPr>
              <w:t>1,375</w:t>
            </w:r>
          </w:p>
        </w:tc>
        <w:tc>
          <w:tcPr>
            <w:tcW w:type="dxa" w:w="1728"/>
          </w:tcPr>
          <w:p>
            <w:pPr>
              <w:jc w:val="center"/>
            </w:pPr>
            <w:r>
              <w:rPr>
                <w:rFonts w:ascii="Times New Roman" w:hAnsi="Times New Roman"/>
                <w:sz w:val="20"/>
              </w:rPr>
              <w:t>60.3% / 59.5% / 59.4%</w:t>
            </w:r>
          </w:p>
        </w:tc>
      </w:tr>
      <w:tr>
        <w:tc>
          <w:tcPr>
            <w:tcW w:type="dxa" w:w="1728"/>
          </w:tcPr>
          <w:p>
            <w:r>
              <w:rPr>
                <w:rFonts w:ascii="Times New Roman" w:hAnsi="Times New Roman"/>
                <w:sz w:val="20"/>
              </w:rPr>
              <w:t>CORRECT → INCORRECT</w:t>
            </w:r>
          </w:p>
        </w:tc>
        <w:tc>
          <w:tcPr>
            <w:tcW w:type="dxa" w:w="1728"/>
          </w:tcPr>
          <w:p>
            <w:pPr>
              <w:jc w:val="center"/>
            </w:pPr>
            <w:r>
              <w:rPr>
                <w:rFonts w:ascii="Times New Roman" w:hAnsi="Times New Roman"/>
                <w:sz w:val="20"/>
              </w:rPr>
              <w:t>124</w:t>
            </w:r>
          </w:p>
        </w:tc>
        <w:tc>
          <w:tcPr>
            <w:tcW w:type="dxa" w:w="1728"/>
          </w:tcPr>
          <w:p>
            <w:pPr>
              <w:jc w:val="center"/>
            </w:pPr>
            <w:r>
              <w:rPr>
                <w:rFonts w:ascii="Times New Roman" w:hAnsi="Times New Roman"/>
                <w:sz w:val="20"/>
              </w:rPr>
              <w:t>57</w:t>
            </w:r>
          </w:p>
        </w:tc>
        <w:tc>
          <w:tcPr>
            <w:tcW w:type="dxa" w:w="1728"/>
          </w:tcPr>
          <w:p>
            <w:pPr>
              <w:jc w:val="center"/>
            </w:pPr>
            <w:r>
              <w:rPr>
                <w:rFonts w:ascii="Times New Roman" w:hAnsi="Times New Roman"/>
                <w:sz w:val="20"/>
              </w:rPr>
              <w:t>449</w:t>
            </w:r>
          </w:p>
        </w:tc>
        <w:tc>
          <w:tcPr>
            <w:tcW w:type="dxa" w:w="1728"/>
          </w:tcPr>
          <w:p>
            <w:pPr>
              <w:jc w:val="center"/>
            </w:pPr>
            <w:r>
              <w:rPr>
                <w:rFonts w:ascii="Times New Roman" w:hAnsi="Times New Roman"/>
                <w:sz w:val="20"/>
              </w:rPr>
              <w:t>23.8% / 23.6% / 19.4%</w:t>
            </w:r>
          </w:p>
        </w:tc>
      </w:tr>
      <w:tr>
        <w:tc>
          <w:tcPr>
            <w:tcW w:type="dxa" w:w="1728"/>
          </w:tcPr>
          <w:p>
            <w:r>
              <w:rPr>
                <w:rFonts w:ascii="Times New Roman" w:hAnsi="Times New Roman"/>
                <w:sz w:val="20"/>
              </w:rPr>
              <w:t>INCORRECT → PARTIALLY_CORRECT</w:t>
            </w:r>
          </w:p>
        </w:tc>
        <w:tc>
          <w:tcPr>
            <w:tcW w:type="dxa" w:w="1728"/>
          </w:tcPr>
          <w:p>
            <w:pPr>
              <w:jc w:val="center"/>
            </w:pPr>
            <w:r>
              <w:rPr>
                <w:rFonts w:ascii="Times New Roman" w:hAnsi="Times New Roman"/>
                <w:sz w:val="20"/>
              </w:rPr>
              <w:t>35</w:t>
            </w:r>
          </w:p>
        </w:tc>
        <w:tc>
          <w:tcPr>
            <w:tcW w:type="dxa" w:w="1728"/>
          </w:tcPr>
          <w:p>
            <w:pPr>
              <w:jc w:val="center"/>
            </w:pPr>
            <w:r>
              <w:rPr>
                <w:rFonts w:ascii="Times New Roman" w:hAnsi="Times New Roman"/>
                <w:sz w:val="20"/>
              </w:rPr>
              <w:t>17</w:t>
            </w:r>
          </w:p>
        </w:tc>
        <w:tc>
          <w:tcPr>
            <w:tcW w:type="dxa" w:w="1728"/>
          </w:tcPr>
          <w:p>
            <w:pPr>
              <w:jc w:val="center"/>
            </w:pPr>
            <w:r>
              <w:rPr>
                <w:rFonts w:ascii="Times New Roman" w:hAnsi="Times New Roman"/>
                <w:sz w:val="20"/>
              </w:rPr>
              <w:t>169</w:t>
            </w:r>
          </w:p>
        </w:tc>
        <w:tc>
          <w:tcPr>
            <w:tcW w:type="dxa" w:w="1728"/>
          </w:tcPr>
          <w:p>
            <w:pPr>
              <w:jc w:val="center"/>
            </w:pPr>
            <w:r>
              <w:rPr>
                <w:rFonts w:ascii="Times New Roman" w:hAnsi="Times New Roman"/>
                <w:sz w:val="20"/>
              </w:rPr>
              <w:t>6.7% / 7.0% / 7.3%</w:t>
            </w:r>
          </w:p>
        </w:tc>
      </w:tr>
      <w:tr>
        <w:tc>
          <w:tcPr>
            <w:tcW w:type="dxa" w:w="1728"/>
          </w:tcPr>
          <w:p>
            <w:r>
              <w:rPr>
                <w:rFonts w:ascii="Times New Roman" w:hAnsi="Times New Roman"/>
                <w:sz w:val="20"/>
              </w:rPr>
              <w:t>INCORRECT → CORRECT</w:t>
            </w:r>
          </w:p>
        </w:tc>
        <w:tc>
          <w:tcPr>
            <w:tcW w:type="dxa" w:w="1728"/>
          </w:tcPr>
          <w:p>
            <w:pPr>
              <w:jc w:val="center"/>
            </w:pPr>
            <w:r>
              <w:rPr>
                <w:rFonts w:ascii="Times New Roman" w:hAnsi="Times New Roman"/>
                <w:sz w:val="20"/>
              </w:rPr>
              <w:t>20</w:t>
            </w:r>
          </w:p>
        </w:tc>
        <w:tc>
          <w:tcPr>
            <w:tcW w:type="dxa" w:w="1728"/>
          </w:tcPr>
          <w:p>
            <w:pPr>
              <w:jc w:val="center"/>
            </w:pPr>
            <w:r>
              <w:rPr>
                <w:rFonts w:ascii="Times New Roman" w:hAnsi="Times New Roman"/>
                <w:sz w:val="20"/>
              </w:rPr>
              <w:t>14</w:t>
            </w:r>
          </w:p>
        </w:tc>
        <w:tc>
          <w:tcPr>
            <w:tcW w:type="dxa" w:w="1728"/>
          </w:tcPr>
          <w:p>
            <w:pPr>
              <w:jc w:val="center"/>
            </w:pPr>
            <w:r>
              <w:rPr>
                <w:rFonts w:ascii="Times New Roman" w:hAnsi="Times New Roman"/>
                <w:sz w:val="20"/>
              </w:rPr>
              <w:t>121</w:t>
            </w:r>
          </w:p>
        </w:tc>
        <w:tc>
          <w:tcPr>
            <w:tcW w:type="dxa" w:w="1728"/>
          </w:tcPr>
          <w:p>
            <w:pPr>
              <w:jc w:val="center"/>
            </w:pPr>
            <w:r>
              <w:rPr>
                <w:rFonts w:ascii="Times New Roman" w:hAnsi="Times New Roman"/>
                <w:sz w:val="20"/>
              </w:rPr>
              <w:t>3.8% / 5.8% / 5.2%</w:t>
            </w:r>
          </w:p>
        </w:tc>
      </w:tr>
      <w:tr>
        <w:tc>
          <w:tcPr>
            <w:tcW w:type="dxa" w:w="1728"/>
          </w:tcPr>
          <w:p>
            <w:r>
              <w:rPr>
                <w:rFonts w:ascii="Times New Roman" w:hAnsi="Times New Roman"/>
                <w:sz w:val="20"/>
              </w:rPr>
              <w:t>CORRECT → UNANSWERABLE</w:t>
            </w:r>
          </w:p>
        </w:tc>
        <w:tc>
          <w:tcPr>
            <w:tcW w:type="dxa" w:w="1728"/>
          </w:tcPr>
          <w:p>
            <w:pPr>
              <w:jc w:val="center"/>
            </w:pPr>
            <w:r>
              <w:rPr>
                <w:rFonts w:ascii="Times New Roman" w:hAnsi="Times New Roman"/>
                <w:sz w:val="20"/>
              </w:rPr>
              <w:t>14</w:t>
            </w:r>
          </w:p>
        </w:tc>
        <w:tc>
          <w:tcPr>
            <w:tcW w:type="dxa" w:w="1728"/>
          </w:tcPr>
          <w:p>
            <w:pPr>
              <w:jc w:val="center"/>
            </w:pPr>
            <w:r>
              <w:rPr>
                <w:rFonts w:ascii="Times New Roman" w:hAnsi="Times New Roman"/>
                <w:sz w:val="20"/>
              </w:rPr>
              <w:t>4</w:t>
            </w:r>
          </w:p>
        </w:tc>
        <w:tc>
          <w:tcPr>
            <w:tcW w:type="dxa" w:w="1728"/>
          </w:tcPr>
          <w:p>
            <w:pPr>
              <w:jc w:val="center"/>
            </w:pPr>
            <w:r>
              <w:rPr>
                <w:rFonts w:ascii="Times New Roman" w:hAnsi="Times New Roman"/>
                <w:sz w:val="20"/>
              </w:rPr>
              <w:t>94</w:t>
            </w:r>
          </w:p>
        </w:tc>
        <w:tc>
          <w:tcPr>
            <w:tcW w:type="dxa" w:w="1728"/>
          </w:tcPr>
          <w:p>
            <w:pPr>
              <w:jc w:val="center"/>
            </w:pPr>
            <w:r>
              <w:rPr>
                <w:rFonts w:ascii="Times New Roman" w:hAnsi="Times New Roman"/>
                <w:sz w:val="20"/>
              </w:rPr>
              <w:t>2.7% / 1.7% / 4.1%</w:t>
            </w:r>
          </w:p>
        </w:tc>
      </w:tr>
      <w:tr>
        <w:tc>
          <w:tcPr>
            <w:tcW w:type="dxa" w:w="1728"/>
          </w:tcPr>
          <w:p>
            <w:r>
              <w:rPr>
                <w:rFonts w:ascii="Times New Roman" w:hAnsi="Times New Roman"/>
                <w:sz w:val="20"/>
              </w:rPr>
              <w:t>INCORRECT → UNANSWERABLE</w:t>
            </w:r>
          </w:p>
        </w:tc>
        <w:tc>
          <w:tcPr>
            <w:tcW w:type="dxa" w:w="1728"/>
          </w:tcPr>
          <w:p>
            <w:pPr>
              <w:jc w:val="center"/>
            </w:pPr>
            <w:r>
              <w:rPr>
                <w:rFonts w:ascii="Times New Roman" w:hAnsi="Times New Roman"/>
                <w:sz w:val="20"/>
              </w:rPr>
              <w:t>1</w:t>
            </w:r>
          </w:p>
        </w:tc>
        <w:tc>
          <w:tcPr>
            <w:tcW w:type="dxa" w:w="1728"/>
          </w:tcPr>
          <w:p>
            <w:pPr>
              <w:jc w:val="center"/>
            </w:pPr>
            <w:r>
              <w:rPr>
                <w:rFonts w:ascii="Times New Roman" w:hAnsi="Times New Roman"/>
                <w:sz w:val="20"/>
              </w:rPr>
              <w:t>3</w:t>
            </w:r>
          </w:p>
        </w:tc>
        <w:tc>
          <w:tcPr>
            <w:tcW w:type="dxa" w:w="1728"/>
          </w:tcPr>
          <w:p>
            <w:pPr>
              <w:jc w:val="center"/>
            </w:pPr>
            <w:r>
              <w:rPr>
                <w:rFonts w:ascii="Times New Roman" w:hAnsi="Times New Roman"/>
                <w:sz w:val="20"/>
              </w:rPr>
              <w:t>40</w:t>
            </w:r>
          </w:p>
        </w:tc>
        <w:tc>
          <w:tcPr>
            <w:tcW w:type="dxa" w:w="1728"/>
          </w:tcPr>
          <w:p>
            <w:pPr>
              <w:jc w:val="center"/>
            </w:pPr>
            <w:r>
              <w:rPr>
                <w:rFonts w:ascii="Times New Roman" w:hAnsi="Times New Roman"/>
                <w:sz w:val="20"/>
              </w:rPr>
              <w:t>0.2% / 1.2% / 1.7%</w:t>
            </w:r>
          </w:p>
        </w:tc>
      </w:tr>
      <w:tr>
        <w:tc>
          <w:tcPr>
            <w:tcW w:type="dxa" w:w="1728"/>
          </w:tcPr>
          <w:p>
            <w:r>
              <w:rPr>
                <w:rFonts w:ascii="Times New Roman" w:hAnsi="Times New Roman"/>
                <w:sz w:val="20"/>
              </w:rPr>
              <w:t>PARTIALLY_CORRECT → INCORRECT</w:t>
            </w:r>
          </w:p>
        </w:tc>
        <w:tc>
          <w:tcPr>
            <w:tcW w:type="dxa" w:w="1728"/>
          </w:tcPr>
          <w:p>
            <w:pPr>
              <w:jc w:val="center"/>
            </w:pPr>
            <w:r>
              <w:rPr>
                <w:rFonts w:ascii="Times New Roman" w:hAnsi="Times New Roman"/>
                <w:sz w:val="20"/>
              </w:rPr>
              <w:t>6</w:t>
            </w:r>
          </w:p>
        </w:tc>
        <w:tc>
          <w:tcPr>
            <w:tcW w:type="dxa" w:w="1728"/>
          </w:tcPr>
          <w:p>
            <w:pPr>
              <w:jc w:val="center"/>
            </w:pPr>
            <w:r>
              <w:rPr>
                <w:rFonts w:ascii="Times New Roman" w:hAnsi="Times New Roman"/>
                <w:sz w:val="20"/>
              </w:rPr>
              <w:t>2</w:t>
            </w:r>
          </w:p>
        </w:tc>
        <w:tc>
          <w:tcPr>
            <w:tcW w:type="dxa" w:w="1728"/>
          </w:tcPr>
          <w:p>
            <w:pPr>
              <w:jc w:val="center"/>
            </w:pPr>
            <w:r>
              <w:rPr>
                <w:rFonts w:ascii="Times New Roman" w:hAnsi="Times New Roman"/>
                <w:sz w:val="20"/>
              </w:rPr>
              <w:t>30</w:t>
            </w:r>
          </w:p>
        </w:tc>
        <w:tc>
          <w:tcPr>
            <w:tcW w:type="dxa" w:w="1728"/>
          </w:tcPr>
          <w:p>
            <w:pPr>
              <w:jc w:val="center"/>
            </w:pPr>
            <w:r>
              <w:rPr>
                <w:rFonts w:ascii="Times New Roman" w:hAnsi="Times New Roman"/>
                <w:sz w:val="20"/>
              </w:rPr>
              <w:t>1.1% / 0.8% / 1.3%</w:t>
            </w:r>
          </w:p>
        </w:tc>
      </w:tr>
      <w:tr>
        <w:tc>
          <w:tcPr>
            <w:tcW w:type="dxa" w:w="1728"/>
          </w:tcPr>
          <w:p>
            <w:r>
              <w:rPr>
                <w:rFonts w:ascii="Times New Roman" w:hAnsi="Times New Roman"/>
                <w:sz w:val="20"/>
              </w:rPr>
              <w:t>PARTIALLY_CORRECT → CORRECT</w:t>
            </w:r>
          </w:p>
        </w:tc>
        <w:tc>
          <w:tcPr>
            <w:tcW w:type="dxa" w:w="1728"/>
          </w:tcPr>
          <w:p>
            <w:pPr>
              <w:jc w:val="center"/>
            </w:pPr>
            <w:r>
              <w:rPr>
                <w:rFonts w:ascii="Times New Roman" w:hAnsi="Times New Roman"/>
                <w:sz w:val="20"/>
              </w:rPr>
              <w:t>6</w:t>
            </w:r>
          </w:p>
        </w:tc>
        <w:tc>
          <w:tcPr>
            <w:tcW w:type="dxa" w:w="1728"/>
          </w:tcPr>
          <w:p>
            <w:pPr>
              <w:jc w:val="center"/>
            </w:pPr>
            <w:r>
              <w:rPr>
                <w:rFonts w:ascii="Times New Roman" w:hAnsi="Times New Roman"/>
                <w:sz w:val="20"/>
              </w:rPr>
              <w:t>1</w:t>
            </w:r>
          </w:p>
        </w:tc>
        <w:tc>
          <w:tcPr>
            <w:tcW w:type="dxa" w:w="1728"/>
          </w:tcPr>
          <w:p>
            <w:pPr>
              <w:jc w:val="center"/>
            </w:pPr>
            <w:r>
              <w:rPr>
                <w:rFonts w:ascii="Times New Roman" w:hAnsi="Times New Roman"/>
                <w:sz w:val="20"/>
              </w:rPr>
              <w:t>11</w:t>
            </w:r>
          </w:p>
        </w:tc>
        <w:tc>
          <w:tcPr>
            <w:tcW w:type="dxa" w:w="1728"/>
          </w:tcPr>
          <w:p>
            <w:pPr>
              <w:jc w:val="center"/>
            </w:pPr>
            <w:r>
              <w:rPr>
                <w:rFonts w:ascii="Times New Roman" w:hAnsi="Times New Roman"/>
                <w:sz w:val="20"/>
              </w:rPr>
              <w:t>1.1% / 0.4% / 0.5%</w:t>
            </w:r>
          </w:p>
        </w:tc>
      </w:tr>
      <w:tr>
        <w:tc>
          <w:tcPr>
            <w:tcW w:type="dxa" w:w="1728"/>
          </w:tcPr>
          <w:p>
            <w:r>
              <w:rPr>
                <w:rFonts w:ascii="Times New Roman" w:hAnsi="Times New Roman"/>
                <w:sz w:val="20"/>
              </w:rPr>
              <w:t>UNANSWERABLE → INCORRECT</w:t>
            </w:r>
          </w:p>
        </w:tc>
        <w:tc>
          <w:tcPr>
            <w:tcW w:type="dxa" w:w="1728"/>
          </w:tcPr>
          <w:p>
            <w:pPr>
              <w:jc w:val="center"/>
            </w:pPr>
            <w:r>
              <w:rPr>
                <w:rFonts w:ascii="Times New Roman" w:hAnsi="Times New Roman"/>
                <w:sz w:val="20"/>
              </w:rPr>
              <w:t>1</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2</w:t>
            </w:r>
          </w:p>
        </w:tc>
        <w:tc>
          <w:tcPr>
            <w:tcW w:type="dxa" w:w="1728"/>
          </w:tcPr>
          <w:p>
            <w:pPr>
              <w:jc w:val="center"/>
            </w:pPr>
            <w:r>
              <w:rPr>
                <w:rFonts w:ascii="Times New Roman" w:hAnsi="Times New Roman"/>
                <w:sz w:val="20"/>
              </w:rPr>
              <w:t>0.2% / 0.0% / 0.1%</w:t>
            </w:r>
          </w:p>
        </w:tc>
      </w:tr>
      <w:tr>
        <w:tc>
          <w:tcPr>
            <w:tcW w:type="dxa" w:w="1728"/>
          </w:tcPr>
          <w:p>
            <w:r>
              <w:rPr>
                <w:rFonts w:ascii="Times New Roman" w:hAnsi="Times New Roman"/>
                <w:sz w:val="20"/>
              </w:rPr>
              <w:t>UNANSWERABLE → CORRECT</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14</w:t>
            </w:r>
          </w:p>
        </w:tc>
        <w:tc>
          <w:tcPr>
            <w:tcW w:type="dxa" w:w="1728"/>
          </w:tcPr>
          <w:p>
            <w:pPr>
              <w:jc w:val="center"/>
            </w:pPr>
            <w:r>
              <w:rPr>
                <w:rFonts w:ascii="Times New Roman" w:hAnsi="Times New Roman"/>
                <w:sz w:val="20"/>
              </w:rPr>
              <w:t>0.0% / 0.0% / 0.6%</w:t>
            </w:r>
          </w:p>
        </w:tc>
      </w:tr>
      <w:tr>
        <w:tc>
          <w:tcPr>
            <w:tcW w:type="dxa" w:w="1728"/>
          </w:tcPr>
          <w:p>
            <w:r>
              <w:rPr>
                <w:rFonts w:ascii="Times New Roman" w:hAnsi="Times New Roman"/>
                <w:sz w:val="20"/>
              </w:rPr>
              <w:t>UNANSWERABLE → PARTIALLY_CORRECT</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6</w:t>
            </w:r>
          </w:p>
        </w:tc>
        <w:tc>
          <w:tcPr>
            <w:tcW w:type="dxa" w:w="1728"/>
          </w:tcPr>
          <w:p>
            <w:pPr>
              <w:jc w:val="center"/>
            </w:pPr>
            <w:r>
              <w:rPr>
                <w:rFonts w:ascii="Times New Roman" w:hAnsi="Times New Roman"/>
                <w:sz w:val="20"/>
              </w:rPr>
              <w:t>0.0% / 0.0% / 0.3%</w:t>
            </w:r>
          </w:p>
        </w:tc>
      </w:tr>
      <w:tr>
        <w:tc>
          <w:tcPr>
            <w:tcW w:type="dxa" w:w="1728"/>
          </w:tcPr>
          <w:p>
            <w:r>
              <w:rPr>
                <w:rFonts w:ascii="Times New Roman" w:hAnsi="Times New Roman"/>
                <w:sz w:val="20"/>
              </w:rPr>
              <w:t>PARTIALLY_CORRECT → UNANSWERABLE</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5</w:t>
            </w:r>
          </w:p>
        </w:tc>
        <w:tc>
          <w:tcPr>
            <w:tcW w:type="dxa" w:w="1728"/>
          </w:tcPr>
          <w:p>
            <w:pPr>
              <w:jc w:val="center"/>
            </w:pPr>
            <w:r>
              <w:rPr>
                <w:rFonts w:ascii="Times New Roman" w:hAnsi="Times New Roman"/>
                <w:sz w:val="20"/>
              </w:rPr>
              <w:t>0.0% / 0.0% / 0.2%</w:t>
            </w:r>
          </w:p>
        </w:tc>
      </w:tr>
    </w:tbl>
    <w:p>
      <w:pPr>
        <w:jc w:val="center"/>
      </w:pPr>
      <w:r>
        <w:rPr>
          <w:rFonts w:ascii="Times New Roman" w:hAnsi="Times New Roman"/>
          <w:i/>
          <w:sz w:val="20"/>
        </w:rPr>
        <w:t>Table 9a. Mixed consensus breakdown (Gemini 2.5 Pro vs GPT-5 disagreement patterns)</w:t>
      </w:r>
    </w:p>
    <w:p>
      <w:r>
        <w:rPr>
          <w:rFonts w:ascii="Times New Roman" w:hAnsi="Times New Roman"/>
          <w:b w:val="0"/>
          <w:i w:val="0"/>
          <w:sz w:val="22"/>
        </w:rPr>
        <w:t>The Mixed verdict category, indicating model disagreement, warrants particular attention given its substantial prevalence across all partitions. Train exhibits the highest Mixed rate (26.7%), followed by Test (24.3%) and Dev (23.4%), suggesting that larger partitions contain more ambiguous or underspecified examples where reasonable SQL implementations might differ in interpretation. These cases may represent questions admitting multiple valid SQL formulations, queries with subtle semantic bugs difficult for both humans and models to detect, or scenarios where database schema ambiguities enable different but defensible interpretations. Table 9a shows that Mixed is dominated by CORRECT↔PARTIALLY_CORRECT boundary disagreements (≈59–60% of Mixed across partitions), indicating that many disputed cases likely hinge on missing or extra constraints rather than being clearly wrong. The second-largest pattern is CORRECT↔INCORRECT, representing harder semantic disputes that are especially valuable for targeted human adjudication. Train also contains the largest share of UNANSWERABLE-related disagreements, consistent with a higher prevalence of underspecified questions at scale. The explicitly incorrect verdicts (171 in Test, 94 in Dev, 867 in Train) identify examples where both models independently judged the SQL query as failing to answer the natural language question, likely representing genuine annotation errors or cases where the intended query logic was incorrectly implemented. Train's 867 incorrect queries represent approximately 10% of its examples, a concerning proportion that exceeds the incorrect rates in both Test and Dev. The partially correct category, while relatively small in Test (2.0%) and Dev (1.4%), reaches 3.0% in Train with 259 examples, capturing queries that answer part of the question but omit necessary constraints or return supersets of the correct results.</w:t>
      </w:r>
    </w:p>
    <w:p>
      <w:r>
        <w:rPr>
          <w:rFonts w:ascii="Times New Roman" w:hAnsi="Times New Roman"/>
          <w:b w:val="0"/>
          <w:i w:val="0"/>
          <w:sz w:val="22"/>
        </w:rPr>
        <w:t>Table 10 synthesizes these findings into actionable quality categories across all three partitions. High-confidence correct examples are 65.6% (Test), 66.2% (Dev), and 59.9% (Train), indicating that a substantial fraction of each partition requires manual review or exhibits semantic issues. Cases requiring review include both the Mixed disagreement cases (24.3% in Test, 23.4% in Dev, 26.7% in Train) and the partially correct examples, totaling 26.3% of Test, 24.8% of Dev, and 29.7% of Train. Clearly incorrect examples (8.0% in Test, 9.1% in Dev, 10.0% in Train) should be flagged for correction or removal, representing 1,132 total examples across all three partitions—a substantial corpus of annotation errors that may influence model training and evaluation if left unaddressed.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Category</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Correct</w:t>
            </w:r>
          </w:p>
        </w:tc>
        <w:tc>
          <w:tcPr>
            <w:tcW w:type="dxa" w:w="2160"/>
          </w:tcPr>
          <w:p>
            <w:pPr>
              <w:jc w:val="center"/>
            </w:pPr>
            <w:r>
              <w:rPr>
                <w:rFonts w:ascii="Times New Roman" w:hAnsi="Times New Roman"/>
                <w:sz w:val="20"/>
              </w:rPr>
              <w:t>1,409 (65.6%)</w:t>
            </w:r>
          </w:p>
        </w:tc>
        <w:tc>
          <w:tcPr>
            <w:tcW w:type="dxa" w:w="2160"/>
          </w:tcPr>
          <w:p>
            <w:pPr>
              <w:jc w:val="center"/>
            </w:pPr>
            <w:r>
              <w:rPr>
                <w:rFonts w:ascii="Times New Roman" w:hAnsi="Times New Roman"/>
                <w:sz w:val="20"/>
              </w:rPr>
              <w:t>684 (66.2%)</w:t>
            </w:r>
          </w:p>
        </w:tc>
        <w:tc>
          <w:tcPr>
            <w:tcW w:type="dxa" w:w="2160"/>
          </w:tcPr>
          <w:p>
            <w:pPr>
              <w:jc w:val="center"/>
            </w:pPr>
            <w:r>
              <w:rPr>
                <w:rFonts w:ascii="Times New Roman" w:hAnsi="Times New Roman"/>
                <w:sz w:val="20"/>
              </w:rPr>
              <w:t>5,188 (59.9%)</w:t>
            </w:r>
          </w:p>
        </w:tc>
      </w:tr>
      <w:tr>
        <w:tc>
          <w:tcPr>
            <w:tcW w:type="dxa" w:w="2160"/>
          </w:tcPr>
          <w:p>
            <w:r>
              <w:rPr>
                <w:rFonts w:ascii="Times New Roman" w:hAnsi="Times New Roman"/>
                <w:sz w:val="20"/>
              </w:rPr>
              <w:t>Problematic (all)</w:t>
            </w:r>
          </w:p>
        </w:tc>
        <w:tc>
          <w:tcPr>
            <w:tcW w:type="dxa" w:w="2160"/>
          </w:tcPr>
          <w:p>
            <w:pPr>
              <w:jc w:val="center"/>
            </w:pPr>
            <w:r>
              <w:rPr>
                <w:rFonts w:ascii="Times New Roman" w:hAnsi="Times New Roman"/>
                <w:sz w:val="20"/>
              </w:rPr>
              <w:t>216 (10.1%)</w:t>
            </w:r>
          </w:p>
        </w:tc>
        <w:tc>
          <w:tcPr>
            <w:tcW w:type="dxa" w:w="2160"/>
          </w:tcPr>
          <w:p>
            <w:pPr>
              <w:jc w:val="center"/>
            </w:pPr>
            <w:r>
              <w:rPr>
                <w:rFonts w:ascii="Times New Roman" w:hAnsi="Times New Roman"/>
                <w:sz w:val="20"/>
              </w:rPr>
              <w:t>108 (10.4%)</w:t>
            </w:r>
          </w:p>
        </w:tc>
        <w:tc>
          <w:tcPr>
            <w:tcW w:type="dxa" w:w="2160"/>
          </w:tcPr>
          <w:p>
            <w:pPr>
              <w:jc w:val="center"/>
            </w:pPr>
            <w:r>
              <w:rPr>
                <w:rFonts w:ascii="Times New Roman" w:hAnsi="Times New Roman"/>
                <w:sz w:val="20"/>
              </w:rPr>
              <w:t>1,155 (13.3%)</w:t>
            </w:r>
          </w:p>
        </w:tc>
      </w:tr>
      <w:tr>
        <w:tc>
          <w:tcPr>
            <w:tcW w:type="dxa" w:w="2160"/>
          </w:tcPr>
          <w:p>
            <w:r>
              <w:rPr>
                <w:rFonts w:ascii="Times New Roman" w:hAnsi="Times New Roman"/>
                <w:sz w:val="20"/>
              </w:rPr>
              <w:t>Disputed (Mixed)</w:t>
            </w:r>
          </w:p>
        </w:tc>
        <w:tc>
          <w:tcPr>
            <w:tcW w:type="dxa" w:w="2160"/>
          </w:tcPr>
          <w:p>
            <w:pPr>
              <w:jc w:val="center"/>
            </w:pPr>
            <w:r>
              <w:rPr>
                <w:rFonts w:ascii="Times New Roman" w:hAnsi="Times New Roman"/>
                <w:sz w:val="20"/>
              </w:rPr>
              <w:t>522 (24.3%)</w:t>
            </w:r>
          </w:p>
        </w:tc>
        <w:tc>
          <w:tcPr>
            <w:tcW w:type="dxa" w:w="2160"/>
          </w:tcPr>
          <w:p>
            <w:pPr>
              <w:jc w:val="center"/>
            </w:pPr>
            <w:r>
              <w:rPr>
                <w:rFonts w:ascii="Times New Roman" w:hAnsi="Times New Roman"/>
                <w:sz w:val="20"/>
              </w:rPr>
              <w:t>242 (23.4%)</w:t>
            </w:r>
          </w:p>
        </w:tc>
        <w:tc>
          <w:tcPr>
            <w:tcW w:type="dxa" w:w="2160"/>
          </w:tcPr>
          <w:p>
            <w:pPr>
              <w:jc w:val="center"/>
            </w:pPr>
            <w:r>
              <w:rPr>
                <w:rFonts w:ascii="Times New Roman" w:hAnsi="Times New Roman"/>
                <w:sz w:val="20"/>
              </w:rPr>
              <w:t>2,316 (26.7%)</w:t>
            </w:r>
          </w:p>
        </w:tc>
      </w:tr>
      <w:tr>
        <w:tc>
          <w:tcPr>
            <w:tcW w:type="dxa" w:w="2160"/>
          </w:tcPr>
          <w:p>
            <w:r>
              <w:rPr>
                <w:rFonts w:ascii="Times New Roman" w:hAnsi="Times New Roman"/>
                <w:sz w:val="20"/>
              </w:rPr>
              <w:t>High confidence</w:t>
            </w:r>
          </w:p>
        </w:tc>
        <w:tc>
          <w:tcPr>
            <w:tcW w:type="dxa" w:w="2160"/>
          </w:tcPr>
          <w:p>
            <w:pPr>
              <w:jc w:val="center"/>
            </w:pPr>
            <w:r>
              <w:rPr>
                <w:rFonts w:ascii="Times New Roman" w:hAnsi="Times New Roman"/>
                <w:sz w:val="20"/>
              </w:rPr>
              <w:t>1,409 (65.6%)</w:t>
            </w:r>
          </w:p>
        </w:tc>
        <w:tc>
          <w:tcPr>
            <w:tcW w:type="dxa" w:w="2160"/>
          </w:tcPr>
          <w:p>
            <w:pPr>
              <w:jc w:val="center"/>
            </w:pPr>
            <w:r>
              <w:rPr>
                <w:rFonts w:ascii="Times New Roman" w:hAnsi="Times New Roman"/>
                <w:sz w:val="20"/>
              </w:rPr>
              <w:t>684 (66.2%)</w:t>
            </w:r>
          </w:p>
        </w:tc>
        <w:tc>
          <w:tcPr>
            <w:tcW w:type="dxa" w:w="2160"/>
          </w:tcPr>
          <w:p>
            <w:pPr>
              <w:jc w:val="center"/>
            </w:pPr>
            <w:r>
              <w:rPr>
                <w:rFonts w:ascii="Times New Roman" w:hAnsi="Times New Roman"/>
                <w:sz w:val="20"/>
              </w:rPr>
              <w:t>5,188 (59.9%)</w:t>
            </w:r>
          </w:p>
        </w:tc>
      </w:tr>
      <w:tr>
        <w:tc>
          <w:tcPr>
            <w:tcW w:type="dxa" w:w="2160"/>
          </w:tcPr>
          <w:p>
            <w:r>
              <w:rPr>
                <w:rFonts w:ascii="Times New Roman" w:hAnsi="Times New Roman"/>
                <w:sz w:val="20"/>
              </w:rPr>
              <w:t>Requires review</w:t>
            </w:r>
          </w:p>
        </w:tc>
        <w:tc>
          <w:tcPr>
            <w:tcW w:type="dxa" w:w="2160"/>
          </w:tcPr>
          <w:p>
            <w:pPr>
              <w:jc w:val="center"/>
            </w:pPr>
            <w:r>
              <w:rPr>
                <w:rFonts w:ascii="Times New Roman" w:hAnsi="Times New Roman"/>
                <w:sz w:val="20"/>
              </w:rPr>
              <w:t>565 (26.3%)</w:t>
            </w:r>
          </w:p>
        </w:tc>
        <w:tc>
          <w:tcPr>
            <w:tcW w:type="dxa" w:w="2160"/>
          </w:tcPr>
          <w:p>
            <w:pPr>
              <w:jc w:val="center"/>
            </w:pPr>
            <w:r>
              <w:rPr>
                <w:rFonts w:ascii="Times New Roman" w:hAnsi="Times New Roman"/>
                <w:sz w:val="20"/>
              </w:rPr>
              <w:t>256 (24.8%)</w:t>
            </w:r>
          </w:p>
        </w:tc>
        <w:tc>
          <w:tcPr>
            <w:tcW w:type="dxa" w:w="2160"/>
          </w:tcPr>
          <w:p>
            <w:pPr>
              <w:jc w:val="center"/>
            </w:pPr>
            <w:r>
              <w:rPr>
                <w:rFonts w:ascii="Times New Roman" w:hAnsi="Times New Roman"/>
                <w:sz w:val="20"/>
              </w:rPr>
              <w:t>2,575 (29.7%)</w:t>
            </w:r>
          </w:p>
        </w:tc>
      </w:tr>
      <w:tr>
        <w:tc>
          <w:tcPr>
            <w:tcW w:type="dxa" w:w="2160"/>
          </w:tcPr>
          <w:p>
            <w:r>
              <w:rPr>
                <w:rFonts w:ascii="Times New Roman" w:hAnsi="Times New Roman"/>
                <w:sz w:val="20"/>
              </w:rPr>
              <w:t>Clearly incorrect</w:t>
            </w:r>
          </w:p>
        </w:tc>
        <w:tc>
          <w:tcPr>
            <w:tcW w:type="dxa" w:w="2160"/>
          </w:tcPr>
          <w:p>
            <w:pPr>
              <w:jc w:val="center"/>
            </w:pPr>
            <w:r>
              <w:rPr>
                <w:rFonts w:ascii="Times New Roman" w:hAnsi="Times New Roman"/>
                <w:sz w:val="20"/>
              </w:rPr>
              <w:t>171 (8.0%)</w:t>
            </w:r>
          </w:p>
        </w:tc>
        <w:tc>
          <w:tcPr>
            <w:tcW w:type="dxa" w:w="2160"/>
          </w:tcPr>
          <w:p>
            <w:pPr>
              <w:jc w:val="center"/>
            </w:pPr>
            <w:r>
              <w:rPr>
                <w:rFonts w:ascii="Times New Roman" w:hAnsi="Times New Roman"/>
                <w:sz w:val="20"/>
              </w:rPr>
              <w:t>94 (9.1%)</w:t>
            </w:r>
          </w:p>
        </w:tc>
        <w:tc>
          <w:tcPr>
            <w:tcW w:type="dxa" w:w="2160"/>
          </w:tcPr>
          <w:p>
            <w:pPr>
              <w:jc w:val="center"/>
            </w:pPr>
            <w:r>
              <w:rPr>
                <w:rFonts w:ascii="Times New Roman" w:hAnsi="Times New Roman"/>
                <w:sz w:val="20"/>
              </w:rPr>
              <w:t>867 (10.0%)</w:t>
            </w:r>
          </w:p>
        </w:tc>
      </w:tr>
    </w:tbl>
    <w:p>
      <w:pPr>
        <w:jc w:val="center"/>
      </w:pPr>
      <w:r>
        <w:rPr>
          <w:rFonts w:ascii="Times New Roman" w:hAnsi="Times New Roman"/>
          <w:i/>
          <w:sz w:val="20"/>
        </w:rPr>
        <w:t>Table 10. Semantic quality categorization summary</w:t>
      </w:r>
    </w:p>
    <w:p>
      <w:r>
        <w:rPr>
          <w:rFonts w:ascii="Times New Roman" w:hAnsi="Times New Roman"/>
          <w:b w:val="0"/>
          <w:i w:val="0"/>
          <w:sz w:val="22"/>
        </w:rPr>
        <w:t>The semantic validation results should be interpreted with appropriate methodological caveats. The two-model consensus approach, while providing useful signal, cannot definitively establish ground truth semantic correctness. Both models may share systematic biases or blind spots, potentially producing unanimous incorrect verdicts for examples that actually are correct, or conversely judging correct examples as incorrect due to misunderstanding subtle question semantics or database content. The 59.9-66.2% correctness rates likely represent lower bounds on true semantic quality, as conservative classification strategies may flag some actually-correct examples as Mixed or incorrect. Nonetheless, the comprehensive coverage across all 11,840 examples enables identification of 1,132 clearly incorrect queries and 3,080 disputed cases requiring targeted human review to adjudicate the genuine error rate and understand the nature of semantic issues present throughout the dataset. The successful completion of LLM validation across all partitions, including the computationally expensive Train partition, provides unprecedented visibility into Spider's semantic quality at full scale.</w:t>
      </w:r>
    </w:p>
    <w:p>
      <w:r>
        <w:br w:type="page"/>
      </w:r>
    </w:p>
    <w:p>
      <w:pPr>
        <w:pStyle w:val="Heading2"/>
      </w:pPr>
      <w:r>
        <w:rPr>
          <w:rFonts w:ascii="Times New Roman" w:hAnsi="Times New Roman"/>
          <w:b/>
          <w:sz w:val="24"/>
        </w:rPr>
        <w:t>3.7. Performance Characteristics of Pipeline Components</w:t>
      </w:r>
    </w:p>
    <w:p>
      <w:r>
        <w:rPr>
          <w:rFonts w:ascii="Times New Roman" w:hAnsi="Times New Roman"/>
          <w:b w:val="0"/>
          <w:i w:val="0"/>
          <w:sz w:val="22"/>
        </w:rPr>
        <w:t>Understanding the computational cost profile of different analyzers informs decisions about which analyses to enable in resource-constrained scenarios and helps predict overall pipeline runtime for large datasets. Table 11 presents per-query processing times for each analyzer across all three partitions.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Analyzer</w:t>
            </w:r>
          </w:p>
        </w:tc>
        <w:tc>
          <w:tcPr>
            <w:tcW w:type="dxa" w:w="1728"/>
          </w:tcPr>
          <w:p>
            <w:pPr>
              <w:jc w:val="center"/>
            </w:pPr>
            <w:r>
              <w:rPr>
                <w:rFonts w:ascii="Times New Roman" w:hAnsi="Times New Roman"/>
                <w:b/>
                <w:sz w:val="20"/>
              </w:rPr>
              <w:t>Test (ms)</w:t>
            </w:r>
          </w:p>
        </w:tc>
        <w:tc>
          <w:tcPr>
            <w:tcW w:type="dxa" w:w="1728"/>
          </w:tcPr>
          <w:p>
            <w:pPr>
              <w:jc w:val="center"/>
            </w:pPr>
            <w:r>
              <w:rPr>
                <w:rFonts w:ascii="Times New Roman" w:hAnsi="Times New Roman"/>
                <w:b/>
                <w:sz w:val="20"/>
              </w:rPr>
              <w:t>Dev (ms)</w:t>
            </w:r>
          </w:p>
        </w:tc>
        <w:tc>
          <w:tcPr>
            <w:tcW w:type="dxa" w:w="1728"/>
          </w:tcPr>
          <w:p>
            <w:pPr>
              <w:jc w:val="center"/>
            </w:pPr>
            <w:r>
              <w:rPr>
                <w:rFonts w:ascii="Times New Roman" w:hAnsi="Times New Roman"/>
                <w:b/>
                <w:sz w:val="20"/>
              </w:rPr>
              <w:t>Train (ms)</w:t>
            </w:r>
          </w:p>
        </w:tc>
        <w:tc>
          <w:tcPr>
            <w:tcW w:type="dxa" w:w="1728"/>
          </w:tcPr>
          <w:p>
            <w:pPr>
              <w:jc w:val="center"/>
            </w:pPr>
            <w:r>
              <w:rPr>
                <w:rFonts w:ascii="Times New Roman" w:hAnsi="Times New Roman"/>
                <w:b/>
                <w:sz w:val="20"/>
              </w:rPr>
              <w:t>Fastest</w:t>
            </w:r>
          </w:p>
        </w:tc>
      </w:tr>
      <w:tr>
        <w:tc>
          <w:tcPr>
            <w:tcW w:type="dxa" w:w="1728"/>
          </w:tcPr>
          <w:p>
            <w:r>
              <w:rPr>
                <w:rFonts w:ascii="Times New Roman" w:hAnsi="Times New Roman"/>
                <w:sz w:val="20"/>
              </w:rPr>
              <w:t>Query Antipattern</w:t>
            </w:r>
          </w:p>
        </w:tc>
        <w:tc>
          <w:tcPr>
            <w:tcW w:type="dxa" w:w="1728"/>
          </w:tcPr>
          <w:p>
            <w:pPr>
              <w:jc w:val="center"/>
            </w:pPr>
            <w:r>
              <w:rPr>
                <w:rFonts w:ascii="Times New Roman" w:hAnsi="Times New Roman"/>
                <w:sz w:val="20"/>
              </w:rPr>
              <w:t>1.21</w:t>
            </w:r>
          </w:p>
        </w:tc>
        <w:tc>
          <w:tcPr>
            <w:tcW w:type="dxa" w:w="1728"/>
          </w:tcPr>
          <w:p>
            <w:pPr>
              <w:jc w:val="center"/>
            </w:pPr>
            <w:r>
              <w:rPr>
                <w:rFonts w:ascii="Times New Roman" w:hAnsi="Times New Roman"/>
                <w:sz w:val="20"/>
              </w:rPr>
              <w:t>0.49</w:t>
            </w:r>
          </w:p>
        </w:tc>
        <w:tc>
          <w:tcPr>
            <w:tcW w:type="dxa" w:w="1728"/>
          </w:tcPr>
          <w:p>
            <w:pPr>
              <w:jc w:val="center"/>
            </w:pPr>
            <w:r>
              <w:rPr>
                <w:rFonts w:ascii="Times New Roman" w:hAnsi="Times New Roman"/>
                <w:sz w:val="20"/>
              </w:rPr>
              <w:t>0.56</w:t>
            </w:r>
          </w:p>
        </w:tc>
        <w:tc>
          <w:tcPr>
            <w:tcW w:type="dxa" w:w="1728"/>
          </w:tcPr>
          <w:p>
            <w:pPr>
              <w:jc w:val="center"/>
            </w:pPr>
            <w:r>
              <w:rPr>
                <w:rFonts w:ascii="Times New Roman" w:hAnsi="Times New Roman"/>
                <w:sz w:val="20"/>
              </w:rPr>
              <w:t>Dev ✅</w:t>
            </w:r>
          </w:p>
        </w:tc>
      </w:tr>
      <w:tr>
        <w:tc>
          <w:tcPr>
            <w:tcW w:type="dxa" w:w="1728"/>
          </w:tcPr>
          <w:p>
            <w:r>
              <w:rPr>
                <w:rFonts w:ascii="Times New Roman" w:hAnsi="Times New Roman"/>
                <w:sz w:val="20"/>
              </w:rPr>
              <w:t>Query Syntax</w:t>
            </w:r>
          </w:p>
        </w:tc>
        <w:tc>
          <w:tcPr>
            <w:tcW w:type="dxa" w:w="1728"/>
          </w:tcPr>
          <w:p>
            <w:pPr>
              <w:jc w:val="center"/>
            </w:pPr>
            <w:r>
              <w:rPr>
                <w:rFonts w:ascii="Times New Roman" w:hAnsi="Times New Roman"/>
                <w:sz w:val="20"/>
              </w:rPr>
              <w:t>2.32</w:t>
            </w:r>
          </w:p>
        </w:tc>
        <w:tc>
          <w:tcPr>
            <w:tcW w:type="dxa" w:w="1728"/>
          </w:tcPr>
          <w:p>
            <w:pPr>
              <w:jc w:val="center"/>
            </w:pPr>
            <w:r>
              <w:rPr>
                <w:rFonts w:ascii="Times New Roman" w:hAnsi="Times New Roman"/>
                <w:sz w:val="20"/>
              </w:rPr>
              <w:t>0.60</w:t>
            </w:r>
          </w:p>
        </w:tc>
        <w:tc>
          <w:tcPr>
            <w:tcW w:type="dxa" w:w="1728"/>
          </w:tcPr>
          <w:p>
            <w:pPr>
              <w:jc w:val="center"/>
            </w:pPr>
            <w:r>
              <w:rPr>
                <w:rFonts w:ascii="Times New Roman" w:hAnsi="Times New Roman"/>
                <w:sz w:val="20"/>
              </w:rPr>
              <w:t>0.64</w:t>
            </w:r>
          </w:p>
        </w:tc>
        <w:tc>
          <w:tcPr>
            <w:tcW w:type="dxa" w:w="1728"/>
          </w:tcPr>
          <w:p>
            <w:pPr>
              <w:jc w:val="center"/>
            </w:pPr>
            <w:r>
              <w:rPr>
                <w:rFonts w:ascii="Times New Roman" w:hAnsi="Times New Roman"/>
                <w:sz w:val="20"/>
              </w:rPr>
              <w:t>Dev ✅</w:t>
            </w:r>
          </w:p>
        </w:tc>
      </w:tr>
      <w:tr>
        <w:tc>
          <w:tcPr>
            <w:tcW w:type="dxa" w:w="1728"/>
          </w:tcPr>
          <w:p>
            <w:r>
              <w:rPr>
                <w:rFonts w:ascii="Times New Roman" w:hAnsi="Times New Roman"/>
                <w:sz w:val="20"/>
              </w:rPr>
              <w:t>Query Execution</w:t>
            </w:r>
          </w:p>
        </w:tc>
        <w:tc>
          <w:tcPr>
            <w:tcW w:type="dxa" w:w="1728"/>
          </w:tcPr>
          <w:p>
            <w:pPr>
              <w:jc w:val="center"/>
            </w:pPr>
            <w:r>
              <w:rPr>
                <w:rFonts w:ascii="Times New Roman" w:hAnsi="Times New Roman"/>
                <w:sz w:val="20"/>
              </w:rPr>
              <w:t>3.10</w:t>
            </w:r>
          </w:p>
        </w:tc>
        <w:tc>
          <w:tcPr>
            <w:tcW w:type="dxa" w:w="1728"/>
          </w:tcPr>
          <w:p>
            <w:pPr>
              <w:jc w:val="center"/>
            </w:pPr>
            <w:r>
              <w:rPr>
                <w:rFonts w:ascii="Times New Roman" w:hAnsi="Times New Roman"/>
                <w:sz w:val="20"/>
              </w:rPr>
              <w:t>2.49</w:t>
            </w:r>
          </w:p>
        </w:tc>
        <w:tc>
          <w:tcPr>
            <w:tcW w:type="dxa" w:w="1728"/>
          </w:tcPr>
          <w:p>
            <w:pPr>
              <w:jc w:val="center"/>
            </w:pPr>
            <w:r>
              <w:rPr>
                <w:rFonts w:ascii="Times New Roman" w:hAnsi="Times New Roman"/>
                <w:sz w:val="20"/>
              </w:rPr>
              <w:t>1.19</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Schema Validation</w:t>
            </w:r>
          </w:p>
        </w:tc>
        <w:tc>
          <w:tcPr>
            <w:tcW w:type="dxa" w:w="1728"/>
          </w:tcPr>
          <w:p>
            <w:pPr>
              <w:jc w:val="center"/>
            </w:pPr>
            <w:r>
              <w:rPr>
                <w:rFonts w:ascii="Times New Roman" w:hAnsi="Times New Roman"/>
                <w:sz w:val="20"/>
              </w:rPr>
              <w:t>14.25</w:t>
            </w:r>
          </w:p>
        </w:tc>
        <w:tc>
          <w:tcPr>
            <w:tcW w:type="dxa" w:w="1728"/>
          </w:tcPr>
          <w:p>
            <w:pPr>
              <w:jc w:val="center"/>
            </w:pPr>
            <w:r>
              <w:rPr>
                <w:rFonts w:ascii="Times New Roman" w:hAnsi="Times New Roman"/>
                <w:sz w:val="20"/>
              </w:rPr>
              <w:t>16.91</w:t>
            </w:r>
          </w:p>
        </w:tc>
        <w:tc>
          <w:tcPr>
            <w:tcW w:type="dxa" w:w="1728"/>
          </w:tcPr>
          <w:p>
            <w:pPr>
              <w:jc w:val="center"/>
            </w:pPr>
            <w:r>
              <w:rPr>
                <w:rFonts w:ascii="Times New Roman" w:hAnsi="Times New Roman"/>
                <w:sz w:val="20"/>
              </w:rPr>
              <w:t>9.93</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Semantic LLM Judge</w:t>
            </w:r>
          </w:p>
        </w:tc>
        <w:tc>
          <w:tcPr>
            <w:tcW w:type="dxa" w:w="1728"/>
          </w:tcPr>
          <w:p>
            <w:pPr>
              <w:jc w:val="center"/>
            </w:pPr>
            <w:r>
              <w:rPr>
                <w:rFonts w:ascii="Times New Roman" w:hAnsi="Times New Roman"/>
                <w:sz w:val="20"/>
              </w:rPr>
              <w:t>21,271</w:t>
            </w:r>
          </w:p>
        </w:tc>
        <w:tc>
          <w:tcPr>
            <w:tcW w:type="dxa" w:w="1728"/>
          </w:tcPr>
          <w:p>
            <w:pPr>
              <w:jc w:val="center"/>
            </w:pPr>
            <w:r>
              <w:rPr>
                <w:rFonts w:ascii="Times New Roman" w:hAnsi="Times New Roman"/>
                <w:sz w:val="20"/>
              </w:rPr>
              <w:t>21,200</w:t>
            </w:r>
          </w:p>
        </w:tc>
        <w:tc>
          <w:tcPr>
            <w:tcW w:type="dxa" w:w="1728"/>
          </w:tcPr>
          <w:p>
            <w:pPr>
              <w:jc w:val="center"/>
            </w:pPr>
            <w:r>
              <w:rPr>
                <w:rFonts w:ascii="Times New Roman" w:hAnsi="Times New Roman"/>
                <w:sz w:val="20"/>
              </w:rPr>
              <w:t>20,350</w:t>
            </w:r>
          </w:p>
        </w:tc>
        <w:tc>
          <w:tcPr>
            <w:tcW w:type="dxa" w:w="1728"/>
          </w:tcPr>
          <w:p>
            <w:pPr>
              <w:jc w:val="center"/>
            </w:pPr>
            <w:r>
              <w:rPr>
                <w:rFonts w:ascii="Times New Roman" w:hAnsi="Times New Roman"/>
                <w:sz w:val="20"/>
              </w:rPr>
              <w:t>Train ✅</w:t>
            </w:r>
          </w:p>
        </w:tc>
      </w:tr>
    </w:tbl>
    <w:p>
      <w:pPr>
        <w:jc w:val="center"/>
      </w:pPr>
      <w:r>
        <w:rPr>
          <w:rFonts w:ascii="Times New Roman" w:hAnsi="Times New Roman"/>
          <w:i/>
          <w:sz w:val="20"/>
        </w:rPr>
        <w:t>Table 11. Per-query processing time (milliseconds) by analyzer and partition</w:t>
      </w:r>
    </w:p>
    <w:p>
      <w:r>
        <w:rPr>
          <w:rFonts w:ascii="Times New Roman" w:hAnsi="Times New Roman"/>
          <w:b w:val="0"/>
          <w:i w:val="0"/>
          <w:sz w:val="22"/>
        </w:rPr>
        <w:t>The four formal analyzers (antipattern, syntax, execution, schema validation) all complete within 20 milliseconds per query, with antipattern detection typically fastest (0.49-1.21ms), followed by syntax analysis (0.60-2.32ms), query execution (1.19-3.10ms), and schema validation (9.93-16.91ms). The relatively long schema validation times reflect the cost of database schema introspection queries against SQLite system tables, while the fast antipattern detection times result from simple pattern matching against pre-parsed AST structures. The variation across partitions likely stems from differences in average query complexity (more complex queries require more time to parse and analyze) and schema complexity (databases with more tables and foreign keys require longer schema validation).</w:t>
      </w:r>
    </w:p>
    <w:p>
      <w:r>
        <w:rPr>
          <w:rFonts w:ascii="Times New Roman" w:hAnsi="Times New Roman"/>
          <w:b w:val="0"/>
          <w:i w:val="0"/>
          <w:sz w:val="22"/>
        </w:rPr>
        <w:t>The Semantic LLM Judge analyzer dominates overall runtime by three orders of magnitude, averaging approximately 20-21 seconds per query across all partitions (21.3s for Test, 21.2s for Dev, 20.4s for Train). This enormous time—approximately 1,000× slower than the combined formal analyzers—reflects network latency for API calls to remote language model services plus model inference time. The per-query time translates to roughly 12.7 hours for Test's 2,147 queries, 6.1 hours for Dev's 1,034 queries, and 49 hours for Train's 8,659 queries. The slightly faster per-query time observed in Train (20.4s) compared to Test (21.3s) likely reflects API performance variations over time or differences in query complexity distributions affecting LLM reasoning time. These timings assume sequential processing; parallel processing with multiple concurrent API calls could reduce wall-clock time proportionally to the degree of parallelism, though most LLM providers enforce rate limits that constrain practical parallelism.</w:t>
      </w:r>
    </w:p>
    <w:p>
      <w:r>
        <w:rPr>
          <w:rFonts w:ascii="Times New Roman" w:hAnsi="Times New Roman"/>
          <w:b w:val="0"/>
          <w:i w:val="0"/>
          <w:sz w:val="22"/>
        </w:rPr>
        <w:t>Table 12 aggregates these per-query times to overall partition processing times, revealing the stark dominance of LLM validation across all partitions. LLM Judge accounts for 99.9% of total pipeline runtime in all three cases, with all formal analyzers combined contributing under 0.1%. The cumulative analysis time across all three partitions totals approximately 67.8 hours (12.7 + 6.1 + 49.0 hours), representing a substantial computational investment but enabling comprehensive semantic quality assessment across the entire 11,840-example dataset. Had LLM validation been omitted from all partitions, the complete analysis would finish in under 2 minutes, demonstrating that formal validation scales to large datasets with negligible computational cost.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Component</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Fast analyzers</w:t>
            </w:r>
          </w:p>
        </w:tc>
        <w:tc>
          <w:tcPr>
            <w:tcW w:type="dxa" w:w="2160"/>
          </w:tcPr>
          <w:p>
            <w:pPr>
              <w:jc w:val="center"/>
            </w:pPr>
            <w:r>
              <w:rPr>
                <w:rFonts w:ascii="Times New Roman" w:hAnsi="Times New Roman"/>
                <w:sz w:val="20"/>
              </w:rPr>
              <w:t>~15 sec</w:t>
            </w:r>
          </w:p>
        </w:tc>
        <w:tc>
          <w:tcPr>
            <w:tcW w:type="dxa" w:w="2160"/>
          </w:tcPr>
          <w:p>
            <w:pPr>
              <w:jc w:val="center"/>
            </w:pPr>
            <w:r>
              <w:rPr>
                <w:rFonts w:ascii="Times New Roman" w:hAnsi="Times New Roman"/>
                <w:sz w:val="20"/>
              </w:rPr>
              <w:t>~8 sec</w:t>
            </w:r>
          </w:p>
        </w:tc>
        <w:tc>
          <w:tcPr>
            <w:tcW w:type="dxa" w:w="2160"/>
          </w:tcPr>
          <w:p>
            <w:pPr>
              <w:jc w:val="center"/>
            </w:pPr>
            <w:r>
              <w:rPr>
                <w:rFonts w:ascii="Times New Roman" w:hAnsi="Times New Roman"/>
                <w:sz w:val="20"/>
              </w:rPr>
              <w:t>~11 sec</w:t>
            </w:r>
          </w:p>
        </w:tc>
      </w:tr>
      <w:tr>
        <w:tc>
          <w:tcPr>
            <w:tcW w:type="dxa" w:w="2160"/>
          </w:tcPr>
          <w:p>
            <w:r>
              <w:rPr>
                <w:rFonts w:ascii="Times New Roman" w:hAnsi="Times New Roman"/>
                <w:sz w:val="20"/>
              </w:rPr>
              <w:t>LLM Judge</w:t>
            </w:r>
          </w:p>
        </w:tc>
        <w:tc>
          <w:tcPr>
            <w:tcW w:type="dxa" w:w="2160"/>
          </w:tcPr>
          <w:p>
            <w:pPr>
              <w:jc w:val="center"/>
            </w:pPr>
            <w:r>
              <w:rPr>
                <w:rFonts w:ascii="Times New Roman" w:hAnsi="Times New Roman"/>
                <w:sz w:val="20"/>
              </w:rPr>
              <w:t>~12.7 hr</w:t>
            </w:r>
          </w:p>
        </w:tc>
        <w:tc>
          <w:tcPr>
            <w:tcW w:type="dxa" w:w="2160"/>
          </w:tcPr>
          <w:p>
            <w:pPr>
              <w:jc w:val="center"/>
            </w:pPr>
            <w:r>
              <w:rPr>
                <w:rFonts w:ascii="Times New Roman" w:hAnsi="Times New Roman"/>
                <w:sz w:val="20"/>
              </w:rPr>
              <w:t>~6.1 hr</w:t>
            </w:r>
          </w:p>
        </w:tc>
        <w:tc>
          <w:tcPr>
            <w:tcW w:type="dxa" w:w="2160"/>
          </w:tcPr>
          <w:p>
            <w:pPr>
              <w:jc w:val="center"/>
            </w:pPr>
            <w:r>
              <w:rPr>
                <w:rFonts w:ascii="Times New Roman" w:hAnsi="Times New Roman"/>
                <w:sz w:val="20"/>
              </w:rPr>
              <w:t>~49.0 hr</w:t>
            </w:r>
          </w:p>
        </w:tc>
      </w:tr>
      <w:tr>
        <w:tc>
          <w:tcPr>
            <w:tcW w:type="dxa" w:w="2160"/>
          </w:tcPr>
          <w:p>
            <w:r>
              <w:rPr>
                <w:rFonts w:ascii="Times New Roman" w:hAnsi="Times New Roman"/>
                <w:sz w:val="20"/>
              </w:rPr>
              <w:t>Overhead (I/O)</w:t>
            </w:r>
          </w:p>
        </w:tc>
        <w:tc>
          <w:tcPr>
            <w:tcW w:type="dxa" w:w="2160"/>
          </w:tcPr>
          <w:p>
            <w:pPr>
              <w:jc w:val="center"/>
            </w:pPr>
            <w:r>
              <w:rPr>
                <w:rFonts w:ascii="Times New Roman" w:hAnsi="Times New Roman"/>
                <w:sz w:val="20"/>
              </w:rPr>
              <w:t>~45 sec</w:t>
            </w:r>
          </w:p>
        </w:tc>
        <w:tc>
          <w:tcPr>
            <w:tcW w:type="dxa" w:w="2160"/>
          </w:tcPr>
          <w:p>
            <w:pPr>
              <w:jc w:val="center"/>
            </w:pPr>
            <w:r>
              <w:rPr>
                <w:rFonts w:ascii="Times New Roman" w:hAnsi="Times New Roman"/>
                <w:sz w:val="20"/>
              </w:rPr>
              <w:t>~22 sec</w:t>
            </w:r>
          </w:p>
        </w:tc>
        <w:tc>
          <w:tcPr>
            <w:tcW w:type="dxa" w:w="2160"/>
          </w:tcPr>
          <w:p>
            <w:pPr>
              <w:jc w:val="center"/>
            </w:pPr>
            <w:r>
              <w:rPr>
                <w:rFonts w:ascii="Times New Roman" w:hAnsi="Times New Roman"/>
                <w:sz w:val="20"/>
              </w:rPr>
              <w:t>~68 sec</w:t>
            </w:r>
          </w:p>
        </w:tc>
      </w:tr>
      <w:tr>
        <w:tc>
          <w:tcPr>
            <w:tcW w:type="dxa" w:w="2160"/>
          </w:tcPr>
          <w:p>
            <w:r>
              <w:rPr>
                <w:rFonts w:ascii="Times New Roman" w:hAnsi="Times New Roman"/>
                <w:sz w:val="20"/>
              </w:rPr>
              <w:t>Total time</w:t>
            </w:r>
          </w:p>
        </w:tc>
        <w:tc>
          <w:tcPr>
            <w:tcW w:type="dxa" w:w="2160"/>
          </w:tcPr>
          <w:p>
            <w:pPr>
              <w:jc w:val="center"/>
            </w:pPr>
            <w:r>
              <w:rPr>
                <w:rFonts w:ascii="Times New Roman" w:hAnsi="Times New Roman"/>
                <w:sz w:val="20"/>
              </w:rPr>
              <w:t>~12.7 hr</w:t>
            </w:r>
          </w:p>
        </w:tc>
        <w:tc>
          <w:tcPr>
            <w:tcW w:type="dxa" w:w="2160"/>
          </w:tcPr>
          <w:p>
            <w:pPr>
              <w:jc w:val="center"/>
            </w:pPr>
            <w:r>
              <w:rPr>
                <w:rFonts w:ascii="Times New Roman" w:hAnsi="Times New Roman"/>
                <w:sz w:val="20"/>
              </w:rPr>
              <w:t>~6.1 hr</w:t>
            </w:r>
          </w:p>
        </w:tc>
        <w:tc>
          <w:tcPr>
            <w:tcW w:type="dxa" w:w="2160"/>
          </w:tcPr>
          <w:p>
            <w:pPr>
              <w:jc w:val="center"/>
            </w:pPr>
            <w:r>
              <w:rPr>
                <w:rFonts w:ascii="Times New Roman" w:hAnsi="Times New Roman"/>
                <w:sz w:val="20"/>
              </w:rPr>
              <w:t>~49.0 hr</w:t>
            </w:r>
          </w:p>
        </w:tc>
      </w:tr>
      <w:tr>
        <w:tc>
          <w:tcPr>
            <w:tcW w:type="dxa" w:w="2160"/>
          </w:tcPr>
          <w:p>
            <w:r>
              <w:rPr>
                <w:rFonts w:ascii="Times New Roman" w:hAnsi="Times New Roman"/>
                <w:sz w:val="20"/>
              </w:rPr>
              <w:t>LLM fraction</w:t>
            </w:r>
          </w:p>
        </w:tc>
        <w:tc>
          <w:tcPr>
            <w:tcW w:type="dxa" w:w="2160"/>
          </w:tcPr>
          <w:p>
            <w:pPr>
              <w:jc w:val="center"/>
            </w:pPr>
            <w:r>
              <w:rPr>
                <w:rFonts w:ascii="Times New Roman" w:hAnsi="Times New Roman"/>
                <w:sz w:val="20"/>
              </w:rPr>
              <w:t>99.9%</w:t>
            </w:r>
          </w:p>
        </w:tc>
        <w:tc>
          <w:tcPr>
            <w:tcW w:type="dxa" w:w="2160"/>
          </w:tcPr>
          <w:p>
            <w:pPr>
              <w:jc w:val="center"/>
            </w:pPr>
            <w:r>
              <w:rPr>
                <w:rFonts w:ascii="Times New Roman" w:hAnsi="Times New Roman"/>
                <w:sz w:val="20"/>
              </w:rPr>
              <w:t>99.9%</w:t>
            </w:r>
          </w:p>
        </w:tc>
        <w:tc>
          <w:tcPr>
            <w:tcW w:type="dxa" w:w="2160"/>
          </w:tcPr>
          <w:p>
            <w:pPr>
              <w:jc w:val="center"/>
            </w:pPr>
            <w:r>
              <w:rPr>
                <w:rFonts w:ascii="Times New Roman" w:hAnsi="Times New Roman"/>
                <w:sz w:val="20"/>
              </w:rPr>
              <w:t>99.9%</w:t>
            </w:r>
          </w:p>
        </w:tc>
      </w:tr>
    </w:tbl>
    <w:p>
      <w:pPr>
        <w:jc w:val="center"/>
      </w:pPr>
      <w:r>
        <w:rPr>
          <w:rFonts w:ascii="Times New Roman" w:hAnsi="Times New Roman"/>
          <w:i/>
          <w:sz w:val="20"/>
        </w:rPr>
        <w:t>Table 12. Aggregate processing time by partition</w:t>
      </w:r>
    </w:p>
    <w:p>
      <w:r>
        <w:rPr>
          <w:rFonts w:ascii="Times New Roman" w:hAnsi="Times New Roman"/>
          <w:b w:val="0"/>
          <w:i w:val="0"/>
          <w:sz w:val="22"/>
        </w:rPr>
        <w:t>These performance characteristics suggest several operational strategies for large-scale dataset analysis. For initial exploration or iterative development, disabling LLM validation enables rapid turnaround (minutes rather than hours), allowing researchers to validate pipeline configuration, debug analysis logic, and examine formal validation results before committing to expensive semantic validation. For production analysis where semantic validation is required, parallelization strategies can dramatically reduce wall-clock time: processing 10-20 queries concurrently (subject to API rate limits) could compress the 49-hour Train analysis to 2.5-5 hours. The extreme cost asymmetry (LLM validation consuming 99.9% of runtime) suggests that semantic validation should be reserved for final dataset validation rather than incorporated into routine quality checks during dataset development. Nonetheless, the comprehensive semantic validation across all 11,840 examples completed in this study provides the first complete quality assessment of Spider's semantic correctness, revealing issues that would remain hidden under sampling-based approaches.</w:t>
      </w:r>
    </w:p>
    <w:p>
      <w:r>
        <w:br w:type="page"/>
      </w:r>
    </w:p>
    <w:p>
      <w:pPr>
        <w:pStyle w:val="Heading2"/>
      </w:pPr>
      <w:r>
        <w:rPr>
          <w:rFonts w:ascii="Times New Roman" w:hAnsi="Times New Roman"/>
          <w:b/>
          <w:sz w:val="24"/>
        </w:rPr>
        <w:t>3.8. Discussion, Implications, and Recommendations</w:t>
      </w:r>
    </w:p>
    <w:p>
      <w:r>
        <w:rPr>
          <w:rFonts w:ascii="Times New Roman" w:hAnsi="Times New Roman"/>
          <w:b w:val="0"/>
          <w:i w:val="0"/>
          <w:sz w:val="22"/>
        </w:rPr>
        <w:t>This section interprets the empirical findings from Tables 1–13, connects them to practical dataset usage, and highlights remediation priorities. The key takeaway is that formal correctness signals (parsability and executability) can be near-perfect while substantial structural and semantic issues remain—issues that directly affect the validity of training, model selection, and reported benchmark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Quality Criterion</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Best</w:t>
            </w:r>
          </w:p>
        </w:tc>
      </w:tr>
      <w:tr>
        <w:tc>
          <w:tcPr>
            <w:tcW w:type="dxa" w:w="1728"/>
          </w:tcPr>
          <w:p>
            <w:r>
              <w:rPr>
                <w:rFonts w:ascii="Times New Roman" w:hAnsi="Times New Roman"/>
                <w:sz w:val="20"/>
              </w:rPr>
              <w:t>DATABASE SCHEMAS</w:t>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r>
      <w:tr>
        <w:tc>
          <w:tcPr>
            <w:tcW w:type="dxa" w:w="1728"/>
          </w:tcPr>
          <w:p>
            <w:r>
              <w:rPr>
                <w:rFonts w:ascii="Times New Roman" w:hAnsi="Times New Roman"/>
                <w:sz w:val="20"/>
              </w:rPr>
              <w:t>Valid schemas</w:t>
            </w:r>
          </w:p>
        </w:tc>
        <w:tc>
          <w:tcPr>
            <w:tcW w:type="dxa" w:w="1728"/>
          </w:tcPr>
          <w:p>
            <w:pPr>
              <w:jc w:val="center"/>
            </w:pPr>
            <w:r>
              <w:rPr>
                <w:rFonts w:ascii="Times New Roman" w:hAnsi="Times New Roman"/>
                <w:sz w:val="20"/>
              </w:rPr>
              <w:t>90.0%</w:t>
            </w:r>
          </w:p>
        </w:tc>
        <w:tc>
          <w:tcPr>
            <w:tcW w:type="dxa" w:w="1728"/>
          </w:tcPr>
          <w:p>
            <w:pPr>
              <w:jc w:val="center"/>
            </w:pPr>
            <w:r>
              <w:rPr>
                <w:rFonts w:ascii="Times New Roman" w:hAnsi="Times New Roman"/>
                <w:sz w:val="20"/>
              </w:rPr>
              <w:t>65.0%</w:t>
            </w:r>
          </w:p>
        </w:tc>
        <w:tc>
          <w:tcPr>
            <w:tcW w:type="dxa" w:w="1728"/>
          </w:tcPr>
          <w:p>
            <w:pPr>
              <w:jc w:val="center"/>
            </w:pPr>
            <w:r>
              <w:rPr>
                <w:rFonts w:ascii="Times New Roman" w:hAnsi="Times New Roman"/>
                <w:sz w:val="20"/>
              </w:rPr>
              <w:t>75.3%</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Invalid FKs</w:t>
            </w:r>
          </w:p>
        </w:tc>
        <w:tc>
          <w:tcPr>
            <w:tcW w:type="dxa" w:w="1728"/>
          </w:tcPr>
          <w:p>
            <w:pPr>
              <w:jc w:val="center"/>
            </w:pPr>
            <w:r>
              <w:rPr>
                <w:rFonts w:ascii="Times New Roman" w:hAnsi="Times New Roman"/>
                <w:sz w:val="20"/>
              </w:rPr>
              <w:t>4</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78</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FK data violations</w:t>
            </w:r>
          </w:p>
        </w:tc>
        <w:tc>
          <w:tcPr>
            <w:tcW w:type="dxa" w:w="1728"/>
          </w:tcPr>
          <w:p>
            <w:pPr>
              <w:jc w:val="center"/>
            </w:pPr>
            <w:r>
              <w:rPr>
                <w:rFonts w:ascii="Times New Roman" w:hAnsi="Times New Roman"/>
                <w:sz w:val="20"/>
              </w:rPr>
              <w:t>1 (1 viol.)</w:t>
            </w:r>
          </w:p>
        </w:tc>
        <w:tc>
          <w:tcPr>
            <w:tcW w:type="dxa" w:w="1728"/>
          </w:tcPr>
          <w:p>
            <w:pPr>
              <w:jc w:val="center"/>
            </w:pPr>
            <w:r>
              <w:rPr>
                <w:rFonts w:ascii="Times New Roman" w:hAnsi="Times New Roman"/>
                <w:sz w:val="20"/>
              </w:rPr>
              <w:t>3 (2,403 viol.)</w:t>
            </w:r>
          </w:p>
        </w:tc>
        <w:tc>
          <w:tcPr>
            <w:tcW w:type="dxa" w:w="1728"/>
          </w:tcPr>
          <w:p>
            <w:pPr>
              <w:jc w:val="center"/>
            </w:pPr>
            <w:r>
              <w:rPr>
                <w:rFonts w:ascii="Times New Roman" w:hAnsi="Times New Roman"/>
                <w:sz w:val="20"/>
              </w:rPr>
              <w:t>6 (39,523 viol.)</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SYNTACTIC QUALITY</w:t>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r>
      <w:tr>
        <w:tc>
          <w:tcPr>
            <w:tcW w:type="dxa" w:w="1728"/>
          </w:tcPr>
          <w:p>
            <w:r>
              <w:rPr>
                <w:rFonts w:ascii="Times New Roman" w:hAnsi="Times New Roman"/>
                <w:sz w:val="20"/>
              </w:rPr>
              <w:t>Parse success</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Equal ✅</w:t>
            </w:r>
          </w:p>
        </w:tc>
      </w:tr>
      <w:tr>
        <w:tc>
          <w:tcPr>
            <w:tcW w:type="dxa" w:w="1728"/>
          </w:tcPr>
          <w:p>
            <w:r>
              <w:rPr>
                <w:rFonts w:ascii="Times New Roman" w:hAnsi="Times New Roman"/>
                <w:sz w:val="20"/>
              </w:rPr>
              <w:t>Mean complexity</w:t>
            </w:r>
          </w:p>
        </w:tc>
        <w:tc>
          <w:tcPr>
            <w:tcW w:type="dxa" w:w="1728"/>
          </w:tcPr>
          <w:p>
            <w:pPr>
              <w:jc w:val="center"/>
            </w:pPr>
            <w:r>
              <w:rPr>
                <w:rFonts w:ascii="Times New Roman" w:hAnsi="Times New Roman"/>
                <w:sz w:val="20"/>
              </w:rPr>
              <w:t>39.5</w:t>
            </w:r>
          </w:p>
        </w:tc>
        <w:tc>
          <w:tcPr>
            <w:tcW w:type="dxa" w:w="1728"/>
          </w:tcPr>
          <w:p>
            <w:pPr>
              <w:jc w:val="center"/>
            </w:pPr>
            <w:r>
              <w:rPr>
                <w:rFonts w:ascii="Times New Roman" w:hAnsi="Times New Roman"/>
                <w:sz w:val="20"/>
              </w:rPr>
              <w:t>39.0</w:t>
            </w:r>
          </w:p>
        </w:tc>
        <w:tc>
          <w:tcPr>
            <w:tcW w:type="dxa" w:w="1728"/>
          </w:tcPr>
          <w:p>
            <w:pPr>
              <w:jc w:val="center"/>
            </w:pPr>
            <w:r>
              <w:rPr>
                <w:rFonts w:ascii="Times New Roman" w:hAnsi="Times New Roman"/>
                <w:sz w:val="20"/>
              </w:rPr>
              <w:t>40.7</w:t>
            </w:r>
          </w:p>
        </w:tc>
        <w:tc>
          <w:tcPr>
            <w:tcW w:type="dxa" w:w="1728"/>
          </w:tcPr>
          <w:p>
            <w:pPr>
              <w:jc w:val="center"/>
            </w:pPr>
            <w:r>
              <w:rPr>
                <w:rFonts w:ascii="Times New Roman" w:hAnsi="Times New Roman"/>
                <w:sz w:val="20"/>
              </w:rPr>
              <w:t>Equal ✅</w:t>
            </w:r>
          </w:p>
        </w:tc>
      </w:tr>
      <w:tr>
        <w:tc>
          <w:tcPr>
            <w:tcW w:type="dxa" w:w="1728"/>
          </w:tcPr>
          <w:p>
            <w:r>
              <w:rPr>
                <w:rFonts w:ascii="Times New Roman" w:hAnsi="Times New Roman"/>
                <w:sz w:val="20"/>
              </w:rPr>
              <w:t>Expert queries</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66 (0.8%)</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EXECUTABILITY</w:t>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r>
      <w:tr>
        <w:tc>
          <w:tcPr>
            <w:tcW w:type="dxa" w:w="1728"/>
          </w:tcPr>
          <w:p>
            <w:r>
              <w:rPr>
                <w:rFonts w:ascii="Times New Roman" w:hAnsi="Times New Roman"/>
                <w:sz w:val="20"/>
              </w:rPr>
              <w:t>Execute success</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99.97%</w:t>
            </w:r>
          </w:p>
        </w:tc>
        <w:tc>
          <w:tcPr>
            <w:tcW w:type="dxa" w:w="1728"/>
          </w:tcPr>
          <w:p>
            <w:pPr>
              <w:jc w:val="center"/>
            </w:pPr>
            <w:r>
              <w:rPr>
                <w:rFonts w:ascii="Times New Roman" w:hAnsi="Times New Roman"/>
                <w:sz w:val="20"/>
              </w:rPr>
              <w:t>Test/Dev ✅</w:t>
            </w:r>
          </w:p>
        </w:tc>
      </w:tr>
      <w:tr>
        <w:tc>
          <w:tcPr>
            <w:tcW w:type="dxa" w:w="1728"/>
          </w:tcPr>
          <w:p>
            <w:r>
              <w:rPr>
                <w:rFonts w:ascii="Times New Roman" w:hAnsi="Times New Roman"/>
                <w:sz w:val="20"/>
              </w:rPr>
              <w:t>Mean time (ms)</w:t>
            </w:r>
          </w:p>
        </w:tc>
        <w:tc>
          <w:tcPr>
            <w:tcW w:type="dxa" w:w="1728"/>
          </w:tcPr>
          <w:p>
            <w:pPr>
              <w:jc w:val="center"/>
            </w:pPr>
            <w:r>
              <w:rPr>
                <w:rFonts w:ascii="Times New Roman" w:hAnsi="Times New Roman"/>
                <w:sz w:val="20"/>
              </w:rPr>
              <w:t>3.10</w:t>
            </w:r>
          </w:p>
        </w:tc>
        <w:tc>
          <w:tcPr>
            <w:tcW w:type="dxa" w:w="1728"/>
          </w:tcPr>
          <w:p>
            <w:pPr>
              <w:jc w:val="center"/>
            </w:pPr>
            <w:r>
              <w:rPr>
                <w:rFonts w:ascii="Times New Roman" w:hAnsi="Times New Roman"/>
                <w:sz w:val="20"/>
              </w:rPr>
              <w:t>2.49</w:t>
            </w:r>
          </w:p>
        </w:tc>
        <w:tc>
          <w:tcPr>
            <w:tcW w:type="dxa" w:w="1728"/>
          </w:tcPr>
          <w:p>
            <w:pPr>
              <w:jc w:val="center"/>
            </w:pPr>
            <w:r>
              <w:rPr>
                <w:rFonts w:ascii="Times New Roman" w:hAnsi="Times New Roman"/>
                <w:sz w:val="20"/>
              </w:rPr>
              <w:t>1.19</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SQL CODE QUALITY</w:t>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r>
      <w:tr>
        <w:tc>
          <w:tcPr>
            <w:tcW w:type="dxa" w:w="1728"/>
          </w:tcPr>
          <w:p>
            <w:r>
              <w:rPr>
                <w:rFonts w:ascii="Times New Roman" w:hAnsi="Times New Roman"/>
                <w:sz w:val="20"/>
              </w:rPr>
              <w:t>Quality score</w:t>
            </w:r>
          </w:p>
        </w:tc>
        <w:tc>
          <w:tcPr>
            <w:tcW w:type="dxa" w:w="1728"/>
          </w:tcPr>
          <w:p>
            <w:pPr>
              <w:jc w:val="center"/>
            </w:pPr>
            <w:r>
              <w:rPr>
                <w:rFonts w:ascii="Times New Roman" w:hAnsi="Times New Roman"/>
                <w:sz w:val="20"/>
              </w:rPr>
              <w:t>97.7/100</w:t>
            </w:r>
          </w:p>
        </w:tc>
        <w:tc>
          <w:tcPr>
            <w:tcW w:type="dxa" w:w="1728"/>
          </w:tcPr>
          <w:p>
            <w:pPr>
              <w:jc w:val="center"/>
            </w:pPr>
            <w:r>
              <w:rPr>
                <w:rFonts w:ascii="Times New Roman" w:hAnsi="Times New Roman"/>
                <w:sz w:val="20"/>
              </w:rPr>
              <w:t>97.7/100</w:t>
            </w:r>
          </w:p>
        </w:tc>
        <w:tc>
          <w:tcPr>
            <w:tcW w:type="dxa" w:w="1728"/>
          </w:tcPr>
          <w:p>
            <w:pPr>
              <w:jc w:val="center"/>
            </w:pPr>
            <w:r>
              <w:rPr>
                <w:rFonts w:ascii="Times New Roman" w:hAnsi="Times New Roman"/>
                <w:sz w:val="20"/>
              </w:rPr>
              <w:t>98.4/100</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Critical antipatterns (Cartesian product)</w:t>
            </w:r>
          </w:p>
        </w:tc>
        <w:tc>
          <w:tcPr>
            <w:tcW w:type="dxa" w:w="1728"/>
          </w:tcPr>
          <w:p>
            <w:pPr>
              <w:jc w:val="center"/>
            </w:pPr>
            <w:r>
              <w:rPr>
                <w:rFonts w:ascii="Times New Roman" w:hAnsi="Times New Roman"/>
                <w:sz w:val="20"/>
              </w:rPr>
              <w:t>2 (0.1%)</w:t>
            </w:r>
          </w:p>
        </w:tc>
        <w:tc>
          <w:tcPr>
            <w:tcW w:type="dxa" w:w="1728"/>
          </w:tcPr>
          <w:p>
            <w:pPr>
              <w:jc w:val="center"/>
            </w:pPr>
            <w:r>
              <w:rPr>
                <w:rFonts w:ascii="Times New Roman" w:hAnsi="Times New Roman"/>
                <w:sz w:val="20"/>
              </w:rPr>
              <w:t>2 (0.2%)</w:t>
            </w:r>
          </w:p>
        </w:tc>
        <w:tc>
          <w:tcPr>
            <w:tcW w:type="dxa" w:w="1728"/>
          </w:tcPr>
          <w:p>
            <w:pPr>
              <w:jc w:val="center"/>
            </w:pPr>
            <w:r>
              <w:rPr>
                <w:rFonts w:ascii="Times New Roman" w:hAnsi="Times New Roman"/>
                <w:sz w:val="20"/>
              </w:rPr>
              <w:t>13 (0.2%)</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High antipatterns (Missing GROUP BY)</w:t>
            </w:r>
          </w:p>
        </w:tc>
        <w:tc>
          <w:tcPr>
            <w:tcW w:type="dxa" w:w="1728"/>
          </w:tcPr>
          <w:p>
            <w:pPr>
              <w:jc w:val="center"/>
            </w:pPr>
            <w:r>
              <w:rPr>
                <w:rFonts w:ascii="Times New Roman" w:hAnsi="Times New Roman"/>
                <w:sz w:val="20"/>
              </w:rPr>
              <w:t>239 (11.1%)</w:t>
            </w:r>
          </w:p>
        </w:tc>
        <w:tc>
          <w:tcPr>
            <w:tcW w:type="dxa" w:w="1728"/>
          </w:tcPr>
          <w:p>
            <w:pPr>
              <w:jc w:val="center"/>
            </w:pPr>
            <w:r>
              <w:rPr>
                <w:rFonts w:ascii="Times New Roman" w:hAnsi="Times New Roman"/>
                <w:sz w:val="20"/>
              </w:rPr>
              <w:t>106 (10.3%)</w:t>
            </w:r>
          </w:p>
        </w:tc>
        <w:tc>
          <w:tcPr>
            <w:tcW w:type="dxa" w:w="1728"/>
          </w:tcPr>
          <w:p>
            <w:pPr>
              <w:jc w:val="center"/>
            </w:pPr>
            <w:r>
              <w:rPr>
                <w:rFonts w:ascii="Times New Roman" w:hAnsi="Times New Roman"/>
                <w:sz w:val="20"/>
              </w:rPr>
              <w:t>600 (6.9%)</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High antipatterns (NOT IN with nullable)</w:t>
            </w:r>
          </w:p>
        </w:tc>
        <w:tc>
          <w:tcPr>
            <w:tcW w:type="dxa" w:w="1728"/>
          </w:tcPr>
          <w:p>
            <w:pPr>
              <w:jc w:val="center"/>
            </w:pPr>
            <w:r>
              <w:rPr>
                <w:rFonts w:ascii="Times New Roman" w:hAnsi="Times New Roman"/>
                <w:sz w:val="20"/>
              </w:rPr>
              <w:t>74 (3.4%)</w:t>
            </w:r>
          </w:p>
        </w:tc>
        <w:tc>
          <w:tcPr>
            <w:tcW w:type="dxa" w:w="1728"/>
          </w:tcPr>
          <w:p>
            <w:pPr>
              <w:jc w:val="center"/>
            </w:pPr>
            <w:r>
              <w:rPr>
                <w:rFonts w:ascii="Times New Roman" w:hAnsi="Times New Roman"/>
                <w:sz w:val="20"/>
              </w:rPr>
              <w:t>46 (4.4%)</w:t>
            </w:r>
          </w:p>
        </w:tc>
        <w:tc>
          <w:tcPr>
            <w:tcW w:type="dxa" w:w="1728"/>
          </w:tcPr>
          <w:p>
            <w:pPr>
              <w:jc w:val="center"/>
            </w:pPr>
            <w:r>
              <w:rPr>
                <w:rFonts w:ascii="Times New Roman" w:hAnsi="Times New Roman"/>
                <w:sz w:val="20"/>
              </w:rPr>
              <w:t>228 (2.6%)</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SEMANTIC CORRECTNESS</w:t>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r>
      <w:tr>
        <w:tc>
          <w:tcPr>
            <w:tcW w:type="dxa" w:w="1728"/>
          </w:tcPr>
          <w:p>
            <w:r>
              <w:rPr>
                <w:rFonts w:ascii="Times New Roman" w:hAnsi="Times New Roman"/>
                <w:sz w:val="20"/>
              </w:rPr>
              <w:t>Correct</w:t>
            </w:r>
          </w:p>
        </w:tc>
        <w:tc>
          <w:tcPr>
            <w:tcW w:type="dxa" w:w="1728"/>
          </w:tcPr>
          <w:p>
            <w:pPr>
              <w:jc w:val="center"/>
            </w:pPr>
            <w:r>
              <w:rPr>
                <w:rFonts w:ascii="Times New Roman" w:hAnsi="Times New Roman"/>
                <w:sz w:val="20"/>
              </w:rPr>
              <w:t>65.6%</w:t>
            </w:r>
          </w:p>
        </w:tc>
        <w:tc>
          <w:tcPr>
            <w:tcW w:type="dxa" w:w="1728"/>
          </w:tcPr>
          <w:p>
            <w:pPr>
              <w:jc w:val="center"/>
            </w:pPr>
            <w:r>
              <w:rPr>
                <w:rFonts w:ascii="Times New Roman" w:hAnsi="Times New Roman"/>
                <w:sz w:val="20"/>
              </w:rPr>
              <w:t>66.2%</w:t>
            </w:r>
          </w:p>
        </w:tc>
        <w:tc>
          <w:tcPr>
            <w:tcW w:type="dxa" w:w="1728"/>
          </w:tcPr>
          <w:p>
            <w:pPr>
              <w:jc w:val="center"/>
            </w:pPr>
            <w:r>
              <w:rPr>
                <w:rFonts w:ascii="Times New Roman" w:hAnsi="Times New Roman"/>
                <w:sz w:val="20"/>
              </w:rPr>
              <w:t>59.9%</w:t>
            </w:r>
          </w:p>
        </w:tc>
        <w:tc>
          <w:tcPr>
            <w:tcW w:type="dxa" w:w="1728"/>
          </w:tcPr>
          <w:p>
            <w:pPr>
              <w:jc w:val="center"/>
            </w:pPr>
            <w:r>
              <w:rPr>
                <w:rFonts w:ascii="Times New Roman" w:hAnsi="Times New Roman"/>
                <w:sz w:val="20"/>
              </w:rPr>
              <w:t>Dev ✅</w:t>
            </w:r>
          </w:p>
        </w:tc>
      </w:tr>
      <w:tr>
        <w:tc>
          <w:tcPr>
            <w:tcW w:type="dxa" w:w="1728"/>
          </w:tcPr>
          <w:p>
            <w:r>
              <w:rPr>
                <w:rFonts w:ascii="Times New Roman" w:hAnsi="Times New Roman"/>
                <w:sz w:val="20"/>
              </w:rPr>
              <w:t>Clearly incorrect</w:t>
            </w:r>
          </w:p>
        </w:tc>
        <w:tc>
          <w:tcPr>
            <w:tcW w:type="dxa" w:w="1728"/>
          </w:tcPr>
          <w:p>
            <w:pPr>
              <w:jc w:val="center"/>
            </w:pPr>
            <w:r>
              <w:rPr>
                <w:rFonts w:ascii="Times New Roman" w:hAnsi="Times New Roman"/>
                <w:sz w:val="20"/>
              </w:rPr>
              <w:t>8.0%</w:t>
            </w:r>
          </w:p>
        </w:tc>
        <w:tc>
          <w:tcPr>
            <w:tcW w:type="dxa" w:w="1728"/>
          </w:tcPr>
          <w:p>
            <w:pPr>
              <w:jc w:val="center"/>
            </w:pPr>
            <w:r>
              <w:rPr>
                <w:rFonts w:ascii="Times New Roman" w:hAnsi="Times New Roman"/>
                <w:sz w:val="20"/>
              </w:rPr>
              <w:t>9.1%</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Disputed (Mixed)</w:t>
            </w:r>
          </w:p>
        </w:tc>
        <w:tc>
          <w:tcPr>
            <w:tcW w:type="dxa" w:w="1728"/>
          </w:tcPr>
          <w:p>
            <w:pPr>
              <w:jc w:val="center"/>
            </w:pPr>
            <w:r>
              <w:rPr>
                <w:rFonts w:ascii="Times New Roman" w:hAnsi="Times New Roman"/>
                <w:sz w:val="20"/>
              </w:rPr>
              <w:t>24.3%</w:t>
            </w:r>
          </w:p>
        </w:tc>
        <w:tc>
          <w:tcPr>
            <w:tcW w:type="dxa" w:w="1728"/>
          </w:tcPr>
          <w:p>
            <w:pPr>
              <w:jc w:val="center"/>
            </w:pPr>
            <w:r>
              <w:rPr>
                <w:rFonts w:ascii="Times New Roman" w:hAnsi="Times New Roman"/>
                <w:sz w:val="20"/>
              </w:rPr>
              <w:t>23.4%</w:t>
            </w:r>
          </w:p>
        </w:tc>
        <w:tc>
          <w:tcPr>
            <w:tcW w:type="dxa" w:w="1728"/>
          </w:tcPr>
          <w:p>
            <w:pPr>
              <w:jc w:val="center"/>
            </w:pPr>
            <w:r>
              <w:rPr>
                <w:rFonts w:ascii="Times New Roman" w:hAnsi="Times New Roman"/>
                <w:sz w:val="20"/>
              </w:rPr>
              <w:t>26.7%</w:t>
            </w:r>
          </w:p>
        </w:tc>
        <w:tc>
          <w:tcPr>
            <w:tcW w:type="dxa" w:w="1728"/>
          </w:tcPr>
          <w:p>
            <w:pPr>
              <w:jc w:val="center"/>
            </w:pPr>
            <w:r>
              <w:rPr>
                <w:rFonts w:ascii="Times New Roman" w:hAnsi="Times New Roman"/>
                <w:sz w:val="20"/>
              </w:rPr>
              <w:t>Dev ✅</w:t>
            </w:r>
          </w:p>
        </w:tc>
      </w:tr>
    </w:tbl>
    <w:p>
      <w:pPr>
        <w:jc w:val="center"/>
      </w:pPr>
      <w:r>
        <w:rPr>
          <w:rFonts w:ascii="Times New Roman" w:hAnsi="Times New Roman"/>
          <w:i/>
          <w:sz w:val="20"/>
        </w:rPr>
        <w:t>Table 13. Integrated quality assessment across all validation dimensions</w:t>
      </w:r>
    </w:p>
    <w:p>
      <w:r>
        <w:rPr>
          <w:rFonts w:ascii="Times New Roman" w:hAnsi="Times New Roman"/>
          <w:b w:val="0"/>
          <w:i w:val="0"/>
          <w:sz w:val="22"/>
        </w:rPr>
        <w:t>Two results are simultaneously true. First, Spider is exceptionally strong on traditional validation criteria: all queries parse successfully, execution succeeds for essentially all examples, and syntactic complexity distributions remain broadly consistent across partitions. Second, deeper validation reveals that the benchmark contains concentrated schema/data defects and a large fraction of semantically disputed or incorrect examples. Together, these findings explain why execution-based evaluation can appear stable while still masking hidden dataset quality risks.</w:t>
      </w:r>
    </w:p>
    <w:p>
      <w:r>
        <w:rPr>
          <w:rFonts w:ascii="Times New Roman" w:hAnsi="Times New Roman"/>
          <w:b w:val="0"/>
          <w:i w:val="0"/>
          <w:sz w:val="22"/>
        </w:rPr>
        <w:t>The most urgent structural issue is referential integrity corruption concentrated in a small number of databases, most notably flight_2 (Dev) and sakila_1 (Train). Dev defects are especially harmful because they can bias model selection: when joins are evaluated on corrupted relational links, execution-match signals no longer reflect the intended semantics of the benchmark. By contrast, Train defects primarily influence learning dynamics, increasing noise and encouraging models to fit spurious patterns.</w:t>
      </w:r>
    </w:p>
    <w:p>
      <w:r>
        <w:rPr>
          <w:rFonts w:ascii="Times New Roman" w:hAnsi="Times New Roman"/>
          <w:b w:val="0"/>
          <w:i w:val="0"/>
          <w:sz w:val="22"/>
        </w:rPr>
        <w:t>Schema quality heterogeneity also matters operationally. Test exhibits the highest fraction of valid schemas, while Dev shows the lowest. This is counterintuitive because Dev is often treated as a reliable proxy for Test during development. In practice, Dev-level schema defects can cause unstable validation curves and reward models that overfit quirks of a few problematic databases rather than learning robust text-to-SQL mappings.</w:t>
      </w:r>
    </w:p>
    <w:p>
      <w:r>
        <w:rPr>
          <w:rFonts w:ascii="Times New Roman" w:hAnsi="Times New Roman"/>
          <w:b w:val="0"/>
          <w:i w:val="0"/>
          <w:sz w:val="22"/>
        </w:rPr>
        <w:t>Semantic validation provides the strongest evidence that execution alone is insufficient. Across partitions, only about 60–66% of examples are unanimously judged CORRECT, around 8–10% are unanimously judged INCORRECT, and roughly one quarter fall into the Mixed category where judges disagree. Mixed cases are not merely noise: they concentrate near the CORRECT↔PARTIALLY_CORRECT boundary and often reflect underspecified questions, edge-case constraints (duplicates, NULL handling, date boundaries), or multiple defensible interpretations. These cases define a practical “uncertainty band” of the benchmark that should be handled explicitly in evaluation and dataset curation.</w:t>
      </w:r>
    </w:p>
    <w:p>
      <w:r>
        <w:rPr>
          <w:rFonts w:ascii="Times New Roman" w:hAnsi="Times New Roman"/>
          <w:b w:val="0"/>
          <w:i w:val="0"/>
          <w:sz w:val="22"/>
        </w:rPr>
        <w:t>A key methodological implication is that benchmark “quality” is multi-dimensional. Parsability/executability reflect technical validity; schema integrity reflects correctness of the environment; antipatterns reflect portability and maintainability; semantic judgments reflect alignment of NL intent and SQL logic. For modern LLM systems, semantic alignment is often the limiting factor, and disagreement between strong judges is a useful proxy for annotation ambiguity.</w:t>
      </w:r>
    </w:p>
    <w:p>
      <w:r>
        <w:rPr>
          <w:rFonts w:ascii="Times New Roman" w:hAnsi="Times New Roman"/>
          <w:b w:val="0"/>
          <w:i w:val="0"/>
          <w:sz w:val="22"/>
        </w:rPr>
        <w:t>The antipattern results (Tables 7–8) add an important nuance: Spider’s SQL is generally clean from a database-engineering perspective (mean quality scores ≈97.7–98.4/100; 82.5–86.5% of queries contain no detected antipatterns), but a small number of high-severity categories dominate the risk surface. In particular, Missing GROUP BY and NOT IN with nullable subqueries account for the majority of high-severity flags. These patterns matter less for “can the SQL run?” and more for portability and semantic stability across engines: Missing GROUP BY can yield non-deterministic row selection in permissive engines (e.g., SQLite) and hard errors in stricter settings, while NOT IN becomes semantically fragile under three-valued logic when NULLs are present.</w:t>
      </w:r>
    </w:p>
    <w:p>
      <w:r>
        <w:rPr>
          <w:rFonts w:ascii="Times New Roman" w:hAnsi="Times New Roman"/>
          <w:b w:val="0"/>
          <w:i w:val="0"/>
          <w:sz w:val="22"/>
        </w:rPr>
        <w:t>Practically, this means that antipatterns should be treated as a curation and evaluation control knob. For training, keeping them may be acceptable (models learn benchmark-style SQL), but for deployment-oriented evaluation or cross-dialect generalization studies, it is useful to (i) filter or rewrite the small subset of high-severity antipattern queries into standard-compliant equivalents, and (ii) report results both on the full set and on an “antipattern-clean” subset. The rare Critical Cartesian product cases, although few, should be prioritized for manual review because they often indicate broken join graphs that can radically change result cardinality and therefore question–SQL alignment. In our results, Cartesian products are flagged in 2 Test queries, 2 Dev queries, and 13 Train queries (Table 8), making them a small but high-impact class of potential semantic defects.</w:t>
      </w:r>
    </w:p>
    <w:p>
      <w:r>
        <w:rPr>
          <w:rFonts w:ascii="Times New Roman" w:hAnsi="Times New Roman"/>
          <w:b w:val="0"/>
          <w:i w:val="0"/>
          <w:sz w:val="22"/>
        </w:rPr>
        <w:t>Table 13a consolidates the most critical database quality issues identified across all validation dimensions, providing a prioritized action list for dataset maintainers. This practical reference enables immediate focus on the databases exhibiting the most severe or widespread problems affecting dataset reliability.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Database ID</w:t>
            </w:r>
          </w:p>
        </w:tc>
        <w:tc>
          <w:tcPr>
            <w:tcW w:type="dxa" w:w="2160"/>
          </w:tcPr>
          <w:p>
            <w:pPr>
              <w:jc w:val="center"/>
            </w:pPr>
            <w:r>
              <w:rPr>
                <w:rFonts w:ascii="Times New Roman" w:hAnsi="Times New Roman"/>
                <w:b/>
                <w:sz w:val="20"/>
              </w:rPr>
              <w:t>Partition</w:t>
            </w:r>
          </w:p>
        </w:tc>
        <w:tc>
          <w:tcPr>
            <w:tcW w:type="dxa" w:w="2160"/>
          </w:tcPr>
          <w:p>
            <w:pPr>
              <w:jc w:val="center"/>
            </w:pPr>
            <w:r>
              <w:rPr>
                <w:rFonts w:ascii="Times New Roman" w:hAnsi="Times New Roman"/>
                <w:b/>
                <w:sz w:val="20"/>
              </w:rPr>
              <w:t>Critical Issues</w:t>
            </w:r>
          </w:p>
        </w:tc>
        <w:tc>
          <w:tcPr>
            <w:tcW w:type="dxa" w:w="2160"/>
          </w:tcPr>
          <w:p>
            <w:pPr>
              <w:jc w:val="center"/>
            </w:pPr>
            <w:r>
              <w:rPr>
                <w:rFonts w:ascii="Times New Roman" w:hAnsi="Times New Roman"/>
                <w:b/>
                <w:sz w:val="20"/>
              </w:rPr>
              <w:t>Priority</w:t>
            </w:r>
          </w:p>
        </w:tc>
      </w:tr>
      <w:tr>
        <w:tc>
          <w:tcPr>
            <w:tcW w:type="dxa" w:w="2160"/>
          </w:tcPr>
          <w:p>
            <w:r>
              <w:rPr>
                <w:rFonts w:ascii="Times New Roman" w:hAnsi="Times New Roman"/>
                <w:sz w:val="20"/>
              </w:rPr>
              <w:t>flight_2</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2,403 FK violations → EVALUATION BIAS</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sakila_1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38,273 FK violations + 4 empty tables</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flight_4</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1,240 FK violations</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baseball_1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20 structural FK errors across 26 tables</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cre_Drama_Workshop_Groups</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9 FK type mismatches across 18 tables</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academic</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All 15 tables empty + FK type mismatch</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imdb</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All 16 tables empty + 7 FK errors</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yelp</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All 7 tables empty + 7 FK errors</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restaurants</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All 3 tables empty + FK missing column</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book_1</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2 FK missing column errors</w:t>
            </w:r>
          </w:p>
        </w:tc>
        <w:tc>
          <w:tcPr>
            <w:tcW w:type="dxa" w:w="2160"/>
          </w:tcPr>
          <w:p>
            <w:pPr>
              <w:jc w:val="center"/>
            </w:pPr>
            <w:r>
              <w:rPr>
                <w:rFonts w:ascii="Times New Roman" w:hAnsi="Times New Roman"/>
                <w:sz w:val="20"/>
              </w:rPr>
              <w:t>MEDIUM</w:t>
            </w:r>
          </w:p>
        </w:tc>
      </w:tr>
      <w:tr>
        <w:tc>
          <w:tcPr>
            <w:tcW w:type="dxa" w:w="2160"/>
          </w:tcPr>
          <w:p>
            <w:r>
              <w:rPr>
                <w:rFonts w:ascii="Times New Roman" w:hAnsi="Times New Roman"/>
                <w:sz w:val="20"/>
              </w:rPr>
              <w:t>car_1</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 FK errors + 2 data violations</w:t>
            </w:r>
          </w:p>
        </w:tc>
        <w:tc>
          <w:tcPr>
            <w:tcW w:type="dxa" w:w="2160"/>
          </w:tcPr>
          <w:p>
            <w:pPr>
              <w:jc w:val="center"/>
            </w:pPr>
            <w:r>
              <w:rPr>
                <w:rFonts w:ascii="Times New Roman" w:hAnsi="Times New Roman"/>
                <w:sz w:val="20"/>
              </w:rPr>
              <w:t>MEDIUM</w:t>
            </w:r>
          </w:p>
        </w:tc>
      </w:tr>
      <w:tr>
        <w:tc>
          <w:tcPr>
            <w:tcW w:type="dxa" w:w="2160"/>
          </w:tcPr>
          <w:p>
            <w:r>
              <w:rPr>
                <w:rFonts w:ascii="Times New Roman" w:hAnsi="Times New Roman"/>
                <w:sz w:val="20"/>
              </w:rPr>
              <w:t>concert_singer</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 FK type mismatches</w:t>
            </w:r>
          </w:p>
        </w:tc>
        <w:tc>
          <w:tcPr>
            <w:tcW w:type="dxa" w:w="2160"/>
          </w:tcPr>
          <w:p>
            <w:pPr>
              <w:jc w:val="center"/>
            </w:pPr>
            <w:r>
              <w:rPr>
                <w:rFonts w:ascii="Times New Roman" w:hAnsi="Times New Roman"/>
                <w:sz w:val="20"/>
              </w:rPr>
              <w:t>MEDIUM</w:t>
            </w:r>
          </w:p>
        </w:tc>
      </w:tr>
      <w:tr>
        <w:tc>
          <w:tcPr>
            <w:tcW w:type="dxa" w:w="2160"/>
          </w:tcPr>
          <w:p>
            <w:r>
              <w:rPr>
                <w:rFonts w:ascii="Times New Roman" w:hAnsi="Times New Roman"/>
                <w:sz w:val="20"/>
              </w:rPr>
              <w:t>voter_1</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FK target not key error</w:t>
            </w:r>
          </w:p>
        </w:tc>
        <w:tc>
          <w:tcPr>
            <w:tcW w:type="dxa" w:w="2160"/>
          </w:tcPr>
          <w:p>
            <w:pPr>
              <w:jc w:val="center"/>
            </w:pPr>
            <w:r>
              <w:rPr>
                <w:rFonts w:ascii="Times New Roman" w:hAnsi="Times New Roman"/>
                <w:sz w:val="20"/>
              </w:rPr>
              <w:t>MEDIUM</w:t>
            </w:r>
          </w:p>
        </w:tc>
      </w:tr>
    </w:tbl>
    <w:p>
      <w:pPr>
        <w:jc w:val="center"/>
      </w:pPr>
      <w:r>
        <w:rPr>
          <w:rFonts w:ascii="Times New Roman" w:hAnsi="Times New Roman"/>
          <w:i/>
          <w:sz w:val="20"/>
        </w:rPr>
        <w:t>Table 13a. Critical databases requiring immediate remediation prioritized by severity</w:t>
      </w:r>
    </w:p>
    <w:p>
      <w:r>
        <w:rPr>
          <w:rFonts w:ascii="Times New Roman" w:hAnsi="Times New Roman"/>
          <w:b w:val="0"/>
          <w:i w:val="0"/>
          <w:sz w:val="22"/>
        </w:rPr>
        <w:t>The prioritization in Table 13a is impact-driven. Evaluation-split corruption (Dev/Test) should be fixed first to protect the credibility of reported metrics and model selection. Next, catastrophic Train databases should be repaired to reduce training noise. Finally, isolated structural defects and empty-table databases should be either repaired (if data can be recovered) or explicitly marked as schema-only so they can be excluded from execution-based analyses and semantic validation relying on sampled values.</w:t>
      </w:r>
    </w:p>
    <w:p>
      <w:r>
        <w:rPr>
          <w:rFonts w:ascii="Times New Roman" w:hAnsi="Times New Roman"/>
          <w:b w:val="0"/>
          <w:i w:val="0"/>
          <w:sz w:val="22"/>
        </w:rPr>
        <w:t>For practitioners, we recommend reporting quality-aware results in addition to the standard aggregate score: (i) report performance on a “high-confidence” subset (CORRECT-only, excluding Mixed/PARTIALLY_CORRECT/INCORRECT/UNANSWERABLE), (ii) report performance on the subset of examples whose databases pass schema/data integrity checks, and (iii) provide ablations showing sensitivity to Dev database issues. These steps make model comparisons more robust and reduce the risk of tuning against corrupted validation signals.</w:t>
      </w:r>
    </w:p>
    <w:p>
      <w:r>
        <w:rPr>
          <w:rFonts w:ascii="Times New Roman" w:hAnsi="Times New Roman"/>
          <w:b w:val="0"/>
          <w:i w:val="0"/>
          <w:sz w:val="22"/>
        </w:rPr>
        <w:t>From a dataset-maintenance perspective, LLM-derived labels are most useful as triage rather than ground truth. We recommend a two-stage curation workflow: (1) prioritize unanimous INCORRECT cases for manual correction, because they are high-signal candidates for annotation bugs; (2) prioritize Mixed cases for expert adjudication and question disambiguation, because they often represent ambiguity rather than simple errors. A practical output of such adjudication is an “accepted alternatives” set (multiple SQL queries) for genuinely ambiguous questions.</w:t>
      </w:r>
    </w:p>
    <w:p>
      <w:r>
        <w:rPr>
          <w:rFonts w:ascii="Times New Roman" w:hAnsi="Times New Roman"/>
          <w:b w:val="0"/>
          <w:i w:val="0"/>
          <w:sz w:val="22"/>
        </w:rPr>
        <w:t>Recommended remediation roadmap (impact order): repair Dev’s flight_2 first; then address Train’s catastrophic sakila_1 and other high-violation databases; then fix structural foreign-key definition issues; finally, resolve schema-only / empty-table databases by either restoring data or documenting them as non-executable. In parallel, use semantic labels to curate a clean subset for training and a “disputed” subset for robustness testing.</w:t>
      </w:r>
    </w:p>
    <w:p>
      <w:r>
        <w:rPr>
          <w:rFonts w:ascii="Times New Roman" w:hAnsi="Times New Roman"/>
          <w:b w:val="0"/>
          <w:i w:val="0"/>
          <w:sz w:val="22"/>
        </w:rPr>
        <w:t>Threats to validity: (i) LLM judges are not an oracle—both false positives and false negatives are possible, especially on domain-specific schemas and under underspecified questions; (ii) even with full-schema context, some questions require external knowledge or assumptions not encoded in the database (e.g., domain conventions, synonymy, temporal interpretation), which can lead judges to inconsistent rulings; (iii) sampling a small number of cell values can introduce bias if samples are unrepresentative, potentially masking edge cases (NULLs, duplicates) or suggesting misleading distributions. For higher-confidence audits, Mixed cases should be complemented with expert human adjudication on a statistically representative subset and, where feasible, ablations that compare semantic verdicts with/without sampled values.</w:t>
      </w:r>
    </w:p>
    <w:p>
      <w:r>
        <w:rPr>
          <w:rFonts w:ascii="Times New Roman" w:hAnsi="Times New Roman"/>
          <w:b w:val="0"/>
          <w:i w:val="0"/>
          <w:sz w:val="22"/>
        </w:rPr>
        <w:t>Finally, we recommend that future benchmark revisions publish (a) an integrity-fixed Dev split, (b) an officially curated high-confidence subset, and (c) a documented list of disputed examples. These additions would make Spider more reliable for both model development and scientific comparison, while preserving its value as a challenging cross-domain Text-to-SQL benchmark.</w:t>
      </w:r>
    </w:p>
    <w:p>
      <w:r>
        <w:rPr>
          <w:rFonts w:ascii="Times New Roman" w:hAnsi="Times New Roman"/>
          <w:b w:val="0"/>
          <w:i w:val="0"/>
          <w:sz w:val="22"/>
        </w:rPr>
        <w:t>Overall, the results support a nuanced conclusion: Spider is technically clean in the sense of SQL syntax and execution, but it contains structural database defects and substantial semantic ambiguity that warrant quality-aware evaluation and targeted remediation. Treating these issues explicitly—rather than implicitly assuming benchmark correctness—improves reproducibility and strengthens the validity of Text-to-SQL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