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problema"/>
    <w:p>
      <w:pPr>
        <w:pStyle w:val="Heading1"/>
      </w:pPr>
      <w:r>
        <w:t xml:space="preserve">Problema</w:t>
      </w:r>
    </w:p>
    <w:p>
      <w:pPr>
        <w:pStyle w:val="FirstParagraph"/>
      </w:pPr>
      <w:r>
        <w:t xml:space="preserve">Los frigoríficos generan efluentes con altísima carga orgánica (DBO5 de miles mg/L) a causa de grasas, proteínas y sangre【37†L801-L803】. Deben tratar esta carga biológicamente y cumplir límites regulatorios (p.ej. Decreto 674/89: DBO5 ≤50 mg/L en efluentes a cursos de agua【26†L660-L669】). Sin embargo, el control actual es reactivo: el éxito del tratamiento (DBO/DQO, nitrógeno residual, etc.) solo se verifica tras análisis de laboratorio de días. De este modo, se detectan fallas</w:t>
      </w:r>
      <w:r>
        <w:t xml:space="preserve"> </w:t>
      </w:r>
      <w:r>
        <w:rPr>
          <w:b/>
          <w:bCs/>
        </w:rPr>
        <w:t xml:space="preserve">cuando ya ocurre el incumplimiento</w:t>
      </w:r>
      <w:r>
        <w:t xml:space="preserve">, provocando sanciones, releves extraordinarios y costosas rectificaciones.</w:t>
      </w:r>
    </w:p>
    <w:bookmarkStart w:id="21" w:name="solución-bio-meat-intelligence"/>
    <w:p>
      <w:pPr>
        <w:pStyle w:val="Heading2"/>
      </w:pPr>
      <w:r>
        <w:t xml:space="preserve">Solución (Bio-Meat Intelligence)</w:t>
      </w:r>
    </w:p>
    <w:p>
      <w:pPr>
        <w:pStyle w:val="FirstParagraph"/>
      </w:pPr>
      <w:r>
        <w:t xml:space="preserve">Proponemos un sistema predictivo que hace visible la “salud” de la biomasa antes del fallo. Se basa en:</w:t>
      </w:r>
    </w:p>
    <w:p>
      <w:pPr>
        <w:pStyle w:val="Compact"/>
        <w:numPr>
          <w:ilvl w:val="0"/>
          <w:numId w:val="1001"/>
        </w:numPr>
      </w:pPr>
      <w:r>
        <w:rPr>
          <w:b/>
          <w:bCs/>
        </w:rPr>
        <w:t xml:space="preserve">Bio-Meat Sentinel</w:t>
      </w:r>
      <w:r>
        <w:t xml:space="preserve">: cartera de sensores continuos (OD, amonio, actividad microbiana) instalados en línea. Por ejemplo, un electrodo de OD (Clark o tecnología óptica luminescente)【63†L149-L158】, un sensor de amonio (Ión-selectivo o sensor de gas NH₃)【42†L607-L614】, y un bio-sensor de actividad microbiana. La actividad se puede medir por la señal eléctrica de biofilm (biorreactor microbiano) o por reactivos colorimétricos (e.g. INT/resazurina) con lectura fotométrica. Estos biosensores responden en tiempo real a cambios en la actividad metabólica (medida en electrones, corriente o color) causados por carga orgánica o tóxicos【1†L182-L190】【1†L194-L200】【61†L46-L54】.</w:t>
      </w:r>
    </w:p>
    <w:p>
      <w:pPr>
        <w:pStyle w:val="Compact"/>
        <w:numPr>
          <w:ilvl w:val="0"/>
          <w:numId w:val="1001"/>
        </w:numPr>
      </w:pPr>
      <w:r>
        <w:rPr>
          <w:b/>
          <w:bCs/>
        </w:rPr>
        <w:t xml:space="preserve">Bio-Meat Compliance</w:t>
      </w:r>
      <w:r>
        <w:t xml:space="preserve">: un modelo predictivo (gemelo digital) que toma las mediciones del sensor y calcula un</w:t>
      </w:r>
      <w:r>
        <w:t xml:space="preserve"> </w:t>
      </w:r>
      <w:r>
        <w:rPr>
          <w:b/>
          <w:bCs/>
        </w:rPr>
        <w:t xml:space="preserve">Índice de Salud de la Biomasa (BHI)</w:t>
      </w:r>
      <w:r>
        <w:t xml:space="preserve">. Este índice combina factores clave (p.ej. % de actividad deshidrogenasa, saturación de OD, amonio relativo, presencia de tóxicos) en un score 0–100. Por ejemplo:</w:t>
      </w:r>
    </w:p>
    <w:p>
      <w:pPr>
        <w:pStyle w:val="SourceCode"/>
      </w:pPr>
      <w:r>
        <w:rPr>
          <w:rStyle w:val="VerbatimChar"/>
        </w:rPr>
        <w:t xml:space="preserve">BHI = 0.25·(ADH% + DO_sat% + (100–NH4_norm%) + (100–Tox_norm%))  </w:t>
      </w:r>
    </w:p>
    <w:p>
      <w:pPr>
        <w:pStyle w:val="FirstParagraph"/>
      </w:pPr>
      <w:r>
        <w:t xml:space="preserve">donde cada término se normaliza respecto a condiciones óptimas. Se simulan escenarios (p. ej. biomasa sana vs estresada) y se valida que</w:t>
      </w:r>
      <w:r>
        <w:t xml:space="preserve"> </w:t>
      </w:r>
      <w:r>
        <w:rPr>
          <w:b/>
          <w:bCs/>
        </w:rPr>
        <w:t xml:space="preserve">una caída del BHI anteceda al deterioro de parámetros finales (DBO, nitratos)</w:t>
      </w:r>
      <w:r>
        <w:t xml:space="preserve">. Un modelo ML (redes, Random Forest, etc.) entrenado con datos históricos podría predecir el riesgo de incumplimiento ambiental (p.ej. resultado binario cumplimiento/fallo) con alto acierto【49†L78-L87】【49†L90-L99】. El dashboard resultante muestra en tiempo real el BHI, alerta temprana (verde/amarillo/rojo) y sugiere acciones correctivas (aumentar aireación, reducir carga, activar pretratamiento, etc.).</w:t>
      </w:r>
    </w:p>
    <w:bookmarkEnd w:id="21"/>
    <w:bookmarkStart w:id="22" w:name="qué-resuelve-qué-duele"/>
    <w:p>
      <w:pPr>
        <w:pStyle w:val="Heading2"/>
      </w:pPr>
      <w:r>
        <w:t xml:space="preserve">¿Qué resuelve? (“¿Qué duele?”)</w:t>
      </w:r>
    </w:p>
    <w:p>
      <w:pPr>
        <w:pStyle w:val="FirstParagraph"/>
      </w:pPr>
      <w:r>
        <w:t xml:space="preserve">Evita “apagar incendios” regulatorios. Hoy, un frigorífico detecta un problema</w:t>
      </w:r>
      <w:r>
        <w:t xml:space="preserve"> </w:t>
      </w:r>
      <w:r>
        <w:rPr>
          <w:b/>
          <w:bCs/>
        </w:rPr>
        <w:t xml:space="preserve">cuando</w:t>
      </w:r>
      <w:r>
        <w:t xml:space="preserve"> </w:t>
      </w:r>
      <w:r>
        <w:t xml:space="preserve">el efluente falla (DBO/DQO sobre límite, altos NH₄⁺) y debe reaccionar urgentemente. Bio-Meat Intelligence anticipa la falla: al advertir</w:t>
      </w:r>
      <w:r>
        <w:t xml:space="preserve"> </w:t>
      </w:r>
      <w:r>
        <w:rPr>
          <w:i/>
          <w:iCs/>
        </w:rPr>
        <w:t xml:space="preserve">previamente</w:t>
      </w:r>
      <w:r>
        <w:t xml:space="preserve"> </w:t>
      </w:r>
      <w:r>
        <w:t xml:space="preserve">(p.ej. 24–48 h antes) una caída en el BHI, el operador puede ajustar el proceso (más aireación, rebalance de lodos, dilución, etc.) y así prevenir el incumplimiento. Esto reduce multas, evita cortes de producción y minimiza impactos ambientales. Además, optimiza costos operativos: ajustar dinámicamente la aireación según demanda real de O₂ puede ahorrar energía【1†L182-L190】【42†L567-L574】.</w:t>
      </w:r>
    </w:p>
    <w:bookmarkEnd w:id="22"/>
    <w:bookmarkStart w:id="23" w:name="quién-paga"/>
    <w:p>
      <w:pPr>
        <w:pStyle w:val="Heading2"/>
      </w:pPr>
      <w:r>
        <w:t xml:space="preserve">¿Quién paga?</w:t>
      </w:r>
    </w:p>
    <w:p>
      <w:pPr>
        <w:pStyle w:val="FirstParagraph"/>
      </w:pPr>
      <w:r>
        <w:t xml:space="preserve">Los beneficiarios directos son los frigoríficos (industria cárnica) que deben cumplir legislación ambiental; están obligados a invertir en tecnología de monitoreo o pagar multas. También pueden ser clientes iniciales plantas de tratamiento de efluentes, empresas integradoras de automatización ambiental e incluso industrias similares (lácteas, embotelladoras, cervecerías) que usan tratamiento biológico. El valor económico deriva de evitar sanciones (p.ej. multas estatales/regionales por vertidos fuera de norma) y de mejorar la eficiencia: se estima un ahorro en costos de energía por aireación y en gastos operativos.</w:t>
      </w:r>
    </w:p>
    <w:bookmarkEnd w:id="23"/>
    <w:bookmarkStart w:id="24" w:name="plan-en-40-h"/>
    <w:p>
      <w:pPr>
        <w:pStyle w:val="Heading2"/>
      </w:pPr>
      <w:r>
        <w:t xml:space="preserve">Plan en 40 h</w:t>
      </w:r>
    </w:p>
    <w:p>
      <w:pPr>
        <w:pStyle w:val="Compact"/>
        <w:numPr>
          <w:ilvl w:val="0"/>
          <w:numId w:val="1002"/>
        </w:numPr>
      </w:pPr>
      <w:r>
        <w:rPr>
          <w:b/>
          <w:bCs/>
        </w:rPr>
        <w:t xml:space="preserve">Protocolo experimental simple</w:t>
      </w:r>
      <w:r>
        <w:t xml:space="preserve">: preparar</w:t>
      </w:r>
      <w:r>
        <w:t xml:space="preserve"> </w:t>
      </w:r>
      <w:r>
        <w:rPr>
          <w:i/>
          <w:iCs/>
        </w:rPr>
        <w:t xml:space="preserve">in vitro</w:t>
      </w:r>
      <w:r>
        <w:t xml:space="preserve"> </w:t>
      </w:r>
      <w:r>
        <w:t xml:space="preserve">un efluente simulado (agua con materia orgánica, por ejemplo extracto de carne o glucosa, p.ej. 500 mg/L COD) y un cultivo microbiano representativo. Montar un sensor casero: por ejemplo, mezclar muestra con resazurina o INT para medir actividad dehidrogenasa (la turbidez/color cambia según actividad microbiana). Registrar la variación con una webcam o fotómetro de smartphone. Paralelamente, medir OD con un oxímetro portátil y amonio con un kit colorimétrico básico (o estimar con papel indicador). Observar cómo caídas de actividad y OD, o aumento de NH₄⁺, señalan inminente deterioro biológico. Este experimento demostrativo (sin costoso laboratorio) ejemplifica el concepto “Bio-Meat Sentinel”.</w:t>
      </w:r>
    </w:p>
    <w:p>
      <w:pPr>
        <w:pStyle w:val="Compact"/>
        <w:numPr>
          <w:ilvl w:val="0"/>
          <w:numId w:val="1002"/>
        </w:numPr>
      </w:pPr>
      <w:r>
        <w:rPr>
          <w:b/>
          <w:bCs/>
        </w:rPr>
        <w:t xml:space="preserve">Simulación de BHI</w:t>
      </w:r>
      <w:r>
        <w:t xml:space="preserve">: Programar en Matlab/Python un modelo simple que calcule BHI con ecuaciones como la anterior. Simular tres escenarios:</w:t>
      </w:r>
      <w:r>
        <w:t xml:space="preserve"> </w:t>
      </w:r>
      <w:r>
        <w:rPr>
          <w:i/>
          <w:iCs/>
        </w:rPr>
        <w:t xml:space="preserve">normal</w:t>
      </w:r>
      <w:r>
        <w:t xml:space="preserve"> </w:t>
      </w:r>
      <w:r>
        <w:t xml:space="preserve">(ADH≈100%, DO_sat≈100%, NH₄≈0),</w:t>
      </w:r>
      <w:r>
        <w:t xml:space="preserve"> </w:t>
      </w:r>
      <w:r>
        <w:rPr>
          <w:i/>
          <w:iCs/>
        </w:rPr>
        <w:t xml:space="preserve">estrés moderado</w:t>
      </w:r>
      <w:r>
        <w:t xml:space="preserve">,</w:t>
      </w:r>
      <w:r>
        <w:t xml:space="preserve"> </w:t>
      </w:r>
      <w:r>
        <w:rPr>
          <w:i/>
          <w:iCs/>
        </w:rPr>
        <w:t xml:space="preserve">riesgo de fallo</w:t>
      </w:r>
      <w:r>
        <w:t xml:space="preserve"> </w:t>
      </w:r>
      <w:r>
        <w:t xml:space="preserve">(ADH baja, DO baja, NH₄ alta). Comprobar que el BHI decae antes de que la DBO calculada exceda norma. Por ejemplo, tomar valores ficticios: caso crítico (ADH=40%, DO_sat=30%, NH₄_norm=70%, sin tóxicos) da BHI≈30, indicando alerta. Ajustar coeficientes y umbrales empíricamente.</w:t>
      </w:r>
    </w:p>
    <w:p>
      <w:pPr>
        <w:pStyle w:val="Compact"/>
        <w:numPr>
          <w:ilvl w:val="0"/>
          <w:numId w:val="1002"/>
        </w:numPr>
      </w:pPr>
      <w:r>
        <w:rPr>
          <w:b/>
          <w:bCs/>
        </w:rPr>
        <w:t xml:space="preserve">Prototipo de dashboard</w:t>
      </w:r>
      <w:r>
        <w:t xml:space="preserve">: Dibujar un mock-up con las secciones clave: datos en tiempo real de sensores, BHI (%) actual (gráfico de línea reciente), semáforo de riesgo, y sugerencia de acción. Incluir un esquema de hardware (módulo de sensores con microcontrolador conectado a PC/servidor) y flujo de datos (sensores→BHI→modelo ML→UI).</w:t>
      </w:r>
    </w:p>
    <w:p>
      <w:pPr>
        <w:pStyle w:val="FirstParagraph"/>
      </w:pPr>
      <w:r>
        <w:rPr>
          <w:b/>
          <w:bCs/>
        </w:rPr>
        <w:t xml:space="preserve">Ejemplo de tabla de tareas (40h):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Entregable (40h)</w:t>
            </w:r>
          </w:p>
        </w:tc>
        <w:tc>
          <w:tcPr/>
          <w:p>
            <w:pPr>
              <w:pStyle w:val="Compact"/>
            </w:pPr>
            <w:r>
              <w:t xml:space="preserve">Hs aprox.</w:t>
            </w:r>
          </w:p>
        </w:tc>
      </w:tr>
      <w:tr>
        <w:tc>
          <w:tcPr/>
          <w:p>
            <w:pPr>
              <w:pStyle w:val="Compact"/>
            </w:pPr>
            <w:r>
              <w:t xml:space="preserve">Diseño y calibración inicial del BHI</w:t>
            </w:r>
          </w:p>
        </w:tc>
        <w:tc>
          <w:tcPr/>
          <w:p>
            <w:pPr>
              <w:pStyle w:val="Compact"/>
            </w:pPr>
            <w:r>
              <w:t xml:space="preserve">8 h</w:t>
            </w:r>
          </w:p>
        </w:tc>
      </w:tr>
      <w:tr>
        <w:tc>
          <w:tcPr/>
          <w:p>
            <w:pPr>
              <w:pStyle w:val="Compact"/>
            </w:pPr>
            <w:r>
              <w:t xml:space="preserve">Simulación numérica (script)</w:t>
            </w:r>
          </w:p>
        </w:tc>
        <w:tc>
          <w:tcPr/>
          <w:p>
            <w:pPr>
              <w:pStyle w:val="Compact"/>
            </w:pPr>
            <w:r>
              <w:t xml:space="preserve">8 h</w:t>
            </w:r>
          </w:p>
        </w:tc>
      </w:tr>
      <w:tr>
        <w:tc>
          <w:tcPr/>
          <w:p>
            <w:pPr>
              <w:pStyle w:val="Compact"/>
            </w:pPr>
            <w:r>
              <w:t xml:space="preserve">Protocolo y pruebas sencillas</w:t>
            </w:r>
          </w:p>
        </w:tc>
        <w:tc>
          <w:tcPr/>
          <w:p>
            <w:pPr>
              <w:pStyle w:val="Compact"/>
            </w:pPr>
            <w:r>
              <w:t xml:space="preserve">10 h</w:t>
            </w:r>
          </w:p>
        </w:tc>
      </w:tr>
      <w:tr>
        <w:tc>
          <w:tcPr/>
          <w:p>
            <w:pPr>
              <w:pStyle w:val="Compact"/>
            </w:pPr>
            <w:r>
              <w:t xml:space="preserve">Boceto de dashboard y arquitectura</w:t>
            </w:r>
          </w:p>
        </w:tc>
        <w:tc>
          <w:tcPr/>
          <w:p>
            <w:pPr>
              <w:pStyle w:val="Compact"/>
            </w:pPr>
            <w:r>
              <w:t xml:space="preserve">6 h</w:t>
            </w:r>
          </w:p>
        </w:tc>
      </w:tr>
      <w:tr>
        <w:tc>
          <w:tcPr/>
          <w:p>
            <w:pPr>
              <w:pStyle w:val="Compact"/>
            </w:pPr>
            <w:r>
              <w:t xml:space="preserve">Redacción del informe final</w:t>
            </w:r>
          </w:p>
        </w:tc>
        <w:tc>
          <w:tcPr/>
          <w:p>
            <w:pPr>
              <w:pStyle w:val="Compact"/>
            </w:pPr>
            <w:r>
              <w:t xml:space="preserve">8 h</w:t>
            </w:r>
          </w:p>
        </w:tc>
      </w:tr>
    </w:tbl>
    <w:bookmarkEnd w:id="24"/>
    <w:bookmarkStart w:id="25" w:name="viabilidad-y-barreras"/>
    <w:p>
      <w:pPr>
        <w:pStyle w:val="Heading2"/>
      </w:pPr>
      <w:r>
        <w:t xml:space="preserve">Viabilidad y barreras</w:t>
      </w:r>
    </w:p>
    <w:p>
      <w:pPr>
        <w:pStyle w:val="FirstParagraph"/>
      </w:pPr>
      <w:r>
        <w:rPr>
          <w:b/>
          <w:bCs/>
        </w:rPr>
        <w:t xml:space="preserve">Técnica:</w:t>
      </w:r>
      <w:r>
        <w:t xml:space="preserve"> </w:t>
      </w:r>
      <w:r>
        <w:t xml:space="preserve">Baja barrera: los componentes (electrodos DO, ISE NH₄⁺, colorímetro/biosensor de actividad) son tecnologías maduras. Ya existen sensores comerciales para DO y NH₄【63†L149-L158】【42†L607-L614】; nuestro avance sería integrarlos con un análisis de actividad (por ejemplo, biofilm/electrodos o sondas colorimétricas). El desarrollo ML requiere datos históricos (posible retroalimentación si la planta tiene registros de efluente). En hackathon puede usarse datos simulados o públicos.</w:t>
      </w:r>
      <w:r>
        <w:br/>
      </w:r>
      <w:r>
        <w:rPr>
          <w:b/>
          <w:bCs/>
        </w:rPr>
        <w:t xml:space="preserve">Regulatoria:</w:t>
      </w:r>
      <w:r>
        <w:t xml:space="preserve"> </w:t>
      </w:r>
      <w:r>
        <w:t xml:space="preserve">El sistema es un dispositivo de monitoreo (sin vertir químicos adicionales), por lo que no requiere aprobación oficial previa. Solo tendría que validarse su eficacia en sitio con datos reales. Cumple objetivos de normativas ambientales (DBO, NH₄⁺, OD) y puede documentar cumplimiento (reportes).</w:t>
      </w:r>
    </w:p>
    <w:bookmarkEnd w:id="25"/>
    <w:bookmarkStart w:id="26" w:name="alcance-y-relevancia"/>
    <w:p>
      <w:pPr>
        <w:pStyle w:val="Heading2"/>
      </w:pPr>
      <w:r>
        <w:t xml:space="preserve">Alcance y relevancia</w:t>
      </w:r>
    </w:p>
    <w:p>
      <w:pPr>
        <w:pStyle w:val="FirstParagraph"/>
      </w:pPr>
      <w:r>
        <w:t xml:space="preserve">La solución aplica a cualquier tratamiento biológico de alto contenido orgánico. En Argentina, la industria frigorífica es clave y genera gran volumen de efluentes; mejorar su gestión biológica tiene impacto ambiental (menos carga contaminante vertida) y socioeconómico (menos riesgo sanitario/ambiental). Además, el concepto es escalable a otras industrias (procesos alimentarios, agroindustriales) y contribuye a la</w:t>
      </w:r>
      <w:r>
        <w:t xml:space="preserve"> </w:t>
      </w:r>
      <w:r>
        <w:rPr>
          <w:i/>
          <w:iCs/>
        </w:rPr>
        <w:t xml:space="preserve">economía circular</w:t>
      </w:r>
      <w:r>
        <w:t xml:space="preserve"> </w:t>
      </w:r>
      <w:r>
        <w:t xml:space="preserve">del agua mediante monitoreo inteligente. Modelos similares de “gemelo digital” del reactor biológico tienen relevancia global, como demuestran modelos ML de BOD en WWTP【49†L78-L87】【49†L90-L99】.</w:t>
      </w:r>
    </w:p>
    <w:bookmarkEnd w:id="26"/>
    <w:bookmarkStart w:id="27" w:name="beneficio-cuantificable"/>
    <w:p>
      <w:pPr>
        <w:pStyle w:val="Heading2"/>
      </w:pPr>
      <w:r>
        <w:t xml:space="preserve">Beneficio cuantificable</w:t>
      </w:r>
    </w:p>
    <w:p>
      <w:pPr>
        <w:pStyle w:val="FirstParagraph"/>
      </w:pPr>
      <w:r>
        <w:rPr>
          <w:b/>
          <w:bCs/>
        </w:rPr>
        <w:t xml:space="preserve">Alerta temprana:</w:t>
      </w:r>
      <w:r>
        <w:t xml:space="preserve"> </w:t>
      </w:r>
      <w:r>
        <w:t xml:space="preserve">Se apunta a prever fallas ~24–48 h antes de los métodos actuales (basados en laboratorio). Por ejemplo, Inbar et al. obtuvieron recall≈0.89 para clasificar efluentes según DBO con ML【49†L90-L99】; nuestro sensor lograría avisos similares antes del muestreo oficial.</w:t>
      </w:r>
      <w:r>
        <w:br/>
      </w:r>
      <w:r>
        <w:rPr>
          <w:b/>
          <w:bCs/>
        </w:rPr>
        <w:t xml:space="preserve">Reducción de incumplimientos:</w:t>
      </w:r>
      <w:r>
        <w:t xml:space="preserve"> </w:t>
      </w:r>
      <w:r>
        <w:t xml:space="preserve">Suponiendo que hoy ocurre 1–2 eventos de fuera de norma al año (multas locales ~US$1.000–5.000 cada uno), anticiparlos podría reducir incidentes en ~50–80%.</w:t>
      </w:r>
      <w:r>
        <w:br/>
      </w:r>
      <w:r>
        <w:rPr>
          <w:b/>
          <w:bCs/>
        </w:rPr>
        <w:t xml:space="preserve">Ahorro energético:</w:t>
      </w:r>
      <w:r>
        <w:t xml:space="preserve"> </w:t>
      </w:r>
      <w:r>
        <w:t xml:space="preserve">Al monitorear OD real, el sistema puede ajustar aireación solo cuando sea necesario, ahorrando ~5–15% de energía eléctrica (cada kWh ahorrado tiene valor económico y reduce emisiones).</w:t>
      </w:r>
      <w:r>
        <w:br/>
      </w:r>
      <w:r>
        <w:rPr>
          <w:b/>
          <w:bCs/>
        </w:rPr>
        <w:t xml:space="preserve">Costo–beneficio:</w:t>
      </w:r>
      <w:r>
        <w:t xml:space="preserve"> </w:t>
      </w:r>
      <w:r>
        <w:t xml:space="preserve">Por ejemplo, evitar 2 multas de $2.000/año más 10% menos consumo de energía (varios miles $) ya compensa la inversión en instrumentación.</w:t>
      </w:r>
    </w:p>
    <w:bookmarkEnd w:id="27"/>
    <w:bookmarkStart w:id="28" w:name="recursos-validación"/>
    <w:p>
      <w:pPr>
        <w:pStyle w:val="Heading2"/>
      </w:pPr>
      <w:r>
        <w:t xml:space="preserve">Recursos (validación)</w:t>
      </w:r>
    </w:p>
    <w:p>
      <w:pPr>
        <w:pStyle w:val="Compact"/>
        <w:numPr>
          <w:ilvl w:val="0"/>
          <w:numId w:val="1003"/>
        </w:numPr>
      </w:pPr>
      <w:r>
        <w:rPr>
          <w:b/>
          <w:bCs/>
        </w:rPr>
        <w:t xml:space="preserve">Equipo:</w:t>
      </w:r>
      <w:r>
        <w:t xml:space="preserve"> </w:t>
      </w:r>
      <w:r>
        <w:t xml:space="preserve">2–3 personas (ingenieros ambientales/biotecnólogos).</w:t>
      </w:r>
    </w:p>
    <w:p>
      <w:pPr>
        <w:pStyle w:val="Compact"/>
        <w:numPr>
          <w:ilvl w:val="0"/>
          <w:numId w:val="1003"/>
        </w:numPr>
      </w:pPr>
      <w:r>
        <w:rPr>
          <w:b/>
          <w:bCs/>
        </w:rPr>
        <w:t xml:space="preserve">Tiempo:</w:t>
      </w:r>
      <w:r>
        <w:t xml:space="preserve"> </w:t>
      </w:r>
      <w:r>
        <w:t xml:space="preserve">~40 horas en conjunto. Dividido en tareas clave como arriba.</w:t>
      </w:r>
    </w:p>
    <w:p>
      <w:pPr>
        <w:pStyle w:val="Compact"/>
        <w:numPr>
          <w:ilvl w:val="0"/>
          <w:numId w:val="1003"/>
        </w:numPr>
      </w:pPr>
      <w:r>
        <w:rPr>
          <w:b/>
          <w:bCs/>
        </w:rPr>
        <w:t xml:space="preserve">Fuentes y experimentación:</w:t>
      </w:r>
      <w:r>
        <w:t xml:space="preserve"> </w:t>
      </w:r>
      <w:r>
        <w:t xml:space="preserve">Se usarán guías de métodos bioquímicos (e.g. ensayo de INT para ADH) y datos de la planta (DBO/DQO históricos) para calibrar. La precisión del BHI y modelo se validará con ejemplos sencillos (datos literales o sintéticos)【61†L46-L54】【44†L150-L158】.</w:t>
      </w:r>
    </w:p>
    <w:p>
      <w:pPr>
        <w:pStyle w:val="FirstParagraph"/>
      </w:pPr>
      <w:r>
        <w:rPr>
          <w:b/>
          <w:bCs/>
        </w:rPr>
        <w:t xml:space="preserve">Referencias:</w:t>
      </w:r>
      <w:r>
        <w:t xml:space="preserve"> </w:t>
      </w:r>
      <w:r>
        <w:t xml:space="preserve">La ADH es reconocida indicador de actividad microbiana【44†L150-L158】. Biosensores bacterianos han demostrado medir rápidamente carga orgánica/DBO con tiempos de respuesta de minutos (p.ej.</w:t>
      </w:r>
      <w:r>
        <w:t xml:space="preserve"> </w:t>
      </w:r>
      <w:r>
        <w:rPr>
          <w:i/>
          <w:iCs/>
        </w:rPr>
        <w:t xml:space="preserve">biosensor microbiano</w:t>
      </w:r>
      <w:r>
        <w:t xml:space="preserve"> </w:t>
      </w:r>
      <w:r>
        <w:t xml:space="preserve">con electrodo de OD midiendo DBO en 15 min【61†L46-L54】). Además, sistemas de control en tiempo real (p.ej. Hach RTC) monitorizan amonio/nitratos continuamente para optimizar aireación【42†L567-L574】. La viabilidad de sensores electroquímicos vs. ópticos de OD está documentada (sensores ópticos tienen larga estabilidad【63†L149-L158】). En conjunto, esto respalda que Bio-Meat Intelligence es factible y aporta un claro</w:t>
      </w:r>
      <w:r>
        <w:t xml:space="preserve"> </w:t>
      </w:r>
      <w:r>
        <w:rPr>
          <w:b/>
          <w:bCs/>
        </w:rPr>
        <w:t xml:space="preserve">avance predictivo</w:t>
      </w:r>
      <w:r>
        <w:t xml:space="preserve"> </w:t>
      </w:r>
      <w:r>
        <w:t xml:space="preserve">sobre la gestión tradicional de efluentes cárnicos.</w:t>
      </w:r>
    </w:p>
    <w:bookmarkEnd w:id="28"/>
    <w:bookmarkEnd w:id="29"/>
    <w:bookmarkEnd w:id="30"/>
    <w:p>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2026-06-06T13:17:40Z</dcterms:created>
  <dcterms:modified xsi:type="dcterms:W3CDTF">2026-06-06T13:17:40Z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