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after="160" w:before="0" w:line="300" w:lineRule="auto"/>
        <w:rPr>
          <w:rFonts w:ascii="Roboto" w:cs="Roboto" w:eastAsia="Roboto" w:hAnsi="Roboto"/>
          <w:color w:val="0d0d0d"/>
        </w:rPr>
      </w:pPr>
      <w:bookmarkStart w:colFirst="0" w:colLast="0" w:name="_nv1nz7zga5fg" w:id="0"/>
      <w:bookmarkEnd w:id="0"/>
      <w:r w:rsidDel="00000000" w:rsidR="00000000" w:rsidRPr="00000000">
        <w:rPr>
          <w:rFonts w:ascii="Roboto" w:cs="Roboto" w:eastAsia="Roboto" w:hAnsi="Roboto"/>
          <w:color w:val="0d0d0d"/>
          <w:rtl w:val="0"/>
        </w:rPr>
        <w:t xml:space="preserve">Resumen ejecutivo</w:t>
      </w:r>
    </w:p>
    <w:p w:rsidR="00000000" w:rsidDel="00000000" w:rsidP="00000000" w:rsidRDefault="00000000" w:rsidRPr="00000000" w14:paraId="0000000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Bio-Meat Intelligence debe posicionarse como una </w:t>
      </w:r>
      <w:r w:rsidDel="00000000" w:rsidR="00000000" w:rsidRPr="00000000">
        <w:rPr>
          <w:rFonts w:ascii="Roboto" w:cs="Roboto" w:eastAsia="Roboto" w:hAnsi="Roboto"/>
          <w:b w:val="1"/>
          <w:bCs w:val="1"/>
          <w:color w:val="0d0d0d"/>
          <w:rtl w:val="0"/>
        </w:rPr>
        <w:t xml:space="preserve">solución integral de cumplimiento ambiental y acceso a mercados</w:t>
      </w:r>
      <w:r w:rsidDel="00000000" w:rsidR="00000000" w:rsidRPr="00000000">
        <w:rPr>
          <w:rFonts w:ascii="Roboto" w:cs="Roboto" w:eastAsia="Roboto" w:hAnsi="Roboto"/>
          <w:color w:val="0d0d0d"/>
          <w:rtl w:val="0"/>
        </w:rPr>
        <w:t xml:space="preserve"> (no sólo como detector de multas). En primer lugar, las </w:t>
      </w:r>
      <w:r w:rsidDel="00000000" w:rsidR="00000000" w:rsidRPr="00000000">
        <w:rPr>
          <w:rFonts w:ascii="Roboto" w:cs="Roboto" w:eastAsia="Roboto" w:hAnsi="Roboto"/>
          <w:b w:val="1"/>
          <w:bCs w:val="1"/>
          <w:color w:val="0d0d0d"/>
          <w:rtl w:val="0"/>
        </w:rPr>
        <w:t xml:space="preserve">regulaciones europeas</w:t>
      </w:r>
      <w:r w:rsidDel="00000000" w:rsidR="00000000" w:rsidRPr="00000000">
        <w:rPr>
          <w:rFonts w:ascii="Roboto" w:cs="Roboto" w:eastAsia="Roboto" w:hAnsi="Roboto"/>
          <w:color w:val="0d0d0d"/>
          <w:rtl w:val="0"/>
        </w:rPr>
        <w:t xml:space="preserve"> en materia de aguas residuales y sanidad impone estándares cada vez más estrictos para las plantas de faena. En segundo lugar, los recientes </w:t>
      </w:r>
      <w:r w:rsidDel="00000000" w:rsidR="00000000" w:rsidRPr="00000000">
        <w:rPr>
          <w:rFonts w:ascii="Roboto" w:cs="Roboto" w:eastAsia="Roboto" w:hAnsi="Roboto"/>
          <w:b w:val="1"/>
          <w:bCs w:val="1"/>
          <w:color w:val="0d0d0d"/>
          <w:rtl w:val="0"/>
        </w:rPr>
        <w:t xml:space="preserve">acuerdos comerciales</w:t>
      </w:r>
      <w:r w:rsidDel="00000000" w:rsidR="00000000" w:rsidRPr="00000000">
        <w:rPr>
          <w:rFonts w:ascii="Roboto" w:cs="Roboto" w:eastAsia="Roboto" w:hAnsi="Roboto"/>
          <w:color w:val="0d0d0d"/>
          <w:rtl w:val="0"/>
        </w:rPr>
        <w:t xml:space="preserve"> UE–MERCOSUR refuerzan la necesidad de demostrar “comercio sustentable”: contienen capítulos de Desarrollo Sostenible que prohíben rebajar estándares ambientales. Además, los </w:t>
      </w:r>
      <w:r w:rsidDel="00000000" w:rsidR="00000000" w:rsidRPr="00000000">
        <w:rPr>
          <w:rFonts w:ascii="Roboto" w:cs="Roboto" w:eastAsia="Roboto" w:hAnsi="Roboto"/>
          <w:b w:val="1"/>
          <w:bCs w:val="1"/>
          <w:color w:val="0d0d0d"/>
          <w:rtl w:val="0"/>
        </w:rPr>
        <w:t xml:space="preserve">compradores minoristas europeos</w:t>
      </w:r>
      <w:r w:rsidDel="00000000" w:rsidR="00000000" w:rsidRPr="00000000">
        <w:rPr>
          <w:rFonts w:ascii="Roboto" w:cs="Roboto" w:eastAsia="Roboto" w:hAnsi="Roboto"/>
          <w:color w:val="0d0d0d"/>
          <w:rtl w:val="0"/>
        </w:rPr>
        <w:t xml:space="preserve"> exigen certificaciones (ISO 14001, EMAS, GlobalGAP, etc.), cero tolerancia a sustancias prohibidas (p. ej. hormonas, antibióticos no autorizados) y trazabilidad ambiental (p. ej. cumplimiento del Reglamento UE sobre “productos libres de deforestación”).</w:t>
      </w:r>
    </w:p>
    <w:p w:rsidR="00000000" w:rsidDel="00000000" w:rsidP="00000000" w:rsidRDefault="00000000" w:rsidRPr="00000000" w14:paraId="0000000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En este contexto, Bio-Meat Intelligence ofrece un valor diferencial: </w:t>
      </w:r>
      <w:r w:rsidDel="00000000" w:rsidR="00000000" w:rsidRPr="00000000">
        <w:rPr>
          <w:rFonts w:ascii="Roboto" w:cs="Roboto" w:eastAsia="Roboto" w:hAnsi="Roboto"/>
          <w:b w:val="1"/>
          <w:bCs w:val="1"/>
          <w:color w:val="0d0d0d"/>
          <w:rtl w:val="0"/>
        </w:rPr>
        <w:t xml:space="preserve">monitoreo biológico en tiempo real</w:t>
      </w:r>
      <w:r w:rsidDel="00000000" w:rsidR="00000000" w:rsidRPr="00000000">
        <w:rPr>
          <w:rFonts w:ascii="Roboto" w:cs="Roboto" w:eastAsia="Roboto" w:hAnsi="Roboto"/>
          <w:color w:val="0d0d0d"/>
          <w:rtl w:val="0"/>
        </w:rPr>
        <w:t xml:space="preserve"> (Vibrio Sentinel + EcoSentinel) que transforma datos operativos en indicadores claros (Biomass Health Index, riesgos) y recomendaciones. Con ello no sólo se evitan infracciones, sino que se garantiza </w:t>
      </w:r>
      <w:r w:rsidDel="00000000" w:rsidR="00000000" w:rsidRPr="00000000">
        <w:rPr>
          <w:rFonts w:ascii="Roboto" w:cs="Roboto" w:eastAsia="Roboto" w:hAnsi="Roboto"/>
          <w:b w:val="1"/>
          <w:bCs w:val="1"/>
          <w:color w:val="0d0d0d"/>
          <w:rtl w:val="0"/>
        </w:rPr>
        <w:t xml:space="preserve">que la planta cumple los estándares ambientales exigidos por la UE y los grandes compradores</w:t>
      </w:r>
      <w:r w:rsidDel="00000000" w:rsidR="00000000" w:rsidRPr="00000000">
        <w:rPr>
          <w:rFonts w:ascii="Roboto" w:cs="Roboto" w:eastAsia="Roboto" w:hAnsi="Roboto"/>
          <w:color w:val="0d0d0d"/>
          <w:rtl w:val="0"/>
        </w:rPr>
        <w:t xml:space="preserve">, facilitando el acceso a esos mercados.</w:t>
      </w:r>
    </w:p>
    <w:p w:rsidR="00000000" w:rsidDel="00000000" w:rsidP="00000000" w:rsidRDefault="00000000" w:rsidRPr="00000000" w14:paraId="0000000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 continuación se detalla la información de respaldo (acuerdos UE–Argentina, normas europeas, ejemplos de exigencias de compradores) y se proponen recomendaciones operativas y roadmap de implementación.</w:t>
      </w:r>
    </w:p>
    <w:p w:rsidR="00000000" w:rsidDel="00000000" w:rsidP="00000000" w:rsidRDefault="00000000" w:rsidRPr="00000000" w14:paraId="00000005">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cir73stjmkkm" w:id="1"/>
      <w:bookmarkEnd w:id="1"/>
      <w:r w:rsidDel="00000000" w:rsidR="00000000" w:rsidRPr="00000000">
        <w:rPr>
          <w:rFonts w:ascii="Roboto" w:cs="Roboto" w:eastAsia="Roboto" w:hAnsi="Roboto"/>
          <w:color w:val="0d0d0d"/>
          <w:rtl w:val="0"/>
        </w:rPr>
        <w:t xml:space="preserve">Acuerdos comerciales recientes UE–Argentina</w:t>
      </w:r>
    </w:p>
    <w:p w:rsidR="00000000" w:rsidDel="00000000" w:rsidP="00000000" w:rsidRDefault="00000000" w:rsidRPr="00000000" w14:paraId="00000006">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Argentina negocia con la UE principalmente dentro del marco MERCOSUR. Los hitos clave son:</w:t>
      </w:r>
    </w:p>
    <w:p w:rsidR="00000000" w:rsidDel="00000000" w:rsidP="00000000" w:rsidRDefault="00000000" w:rsidRPr="00000000" w14:paraId="00000007">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Acuerdo Marco UE–Argentina (1990):</w:t>
      </w:r>
      <w:r w:rsidDel="00000000" w:rsidR="00000000" w:rsidRPr="00000000">
        <w:rPr>
          <w:rFonts w:ascii="Roboto" w:cs="Roboto" w:eastAsia="Roboto" w:hAnsi="Roboto"/>
          <w:color w:val="0d0d0d"/>
          <w:rtl w:val="0"/>
        </w:rPr>
        <w:t xml:space="preserve"> primer acuerdo de cooperación económica comercial. Ámbito limitado (promoción mutua del comercio). Sin capítulos ambientales específicos modernos.</w:t>
      </w:r>
    </w:p>
    <w:p w:rsidR="00000000" w:rsidDel="00000000" w:rsidP="00000000" w:rsidRDefault="00000000" w:rsidRPr="00000000" w14:paraId="00000008">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Acuerdo Marco UE–MERCOSUR (1995):</w:t>
      </w:r>
      <w:r w:rsidDel="00000000" w:rsidR="00000000" w:rsidRPr="00000000">
        <w:rPr>
          <w:rFonts w:ascii="Roboto" w:cs="Roboto" w:eastAsia="Roboto" w:hAnsi="Roboto"/>
          <w:color w:val="0d0d0d"/>
          <w:rtl w:val="0"/>
        </w:rPr>
        <w:t xml:space="preserve"> ampliación regional de cooperación. Poco contenido de liberalización comercial directa; sin embargo, fijó ámbitos de diálogo.</w:t>
      </w:r>
    </w:p>
    <w:p w:rsidR="00000000" w:rsidDel="00000000" w:rsidP="00000000" w:rsidRDefault="00000000" w:rsidRPr="00000000" w14:paraId="00000009">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Acuerdo de Asociación UE–MERCOSUR (2019–2026):</w:t>
      </w:r>
      <w:r w:rsidDel="00000000" w:rsidR="00000000" w:rsidRPr="00000000">
        <w:rPr>
          <w:rFonts w:ascii="Roboto" w:cs="Roboto" w:eastAsia="Roboto" w:hAnsi="Roboto"/>
          <w:color w:val="0d0d0d"/>
          <w:rtl w:val="0"/>
        </w:rPr>
        <w:t xml:space="preserve"> negociado entre 1995–2019, acordado en principio el 28 jun 2019, perfeccionado en 6 dic 2024 y firmado el 17 ene 2026. Es un </w:t>
      </w:r>
      <w:r w:rsidDel="00000000" w:rsidR="00000000" w:rsidRPr="00000000">
        <w:rPr>
          <w:rFonts w:ascii="Roboto" w:cs="Roboto" w:eastAsia="Roboto" w:hAnsi="Roboto"/>
          <w:b w:val="1"/>
          <w:bCs w:val="1"/>
          <w:color w:val="0d0d0d"/>
          <w:rtl w:val="0"/>
        </w:rPr>
        <w:t xml:space="preserve">acuerdo integral</w:t>
      </w:r>
      <w:r w:rsidDel="00000000" w:rsidR="00000000" w:rsidRPr="00000000">
        <w:rPr>
          <w:rFonts w:ascii="Roboto" w:cs="Roboto" w:eastAsia="Roboto" w:hAnsi="Roboto"/>
          <w:color w:val="0d0d0d"/>
          <w:rtl w:val="0"/>
        </w:rPr>
        <w:t xml:space="preserve"> (bienes, servicios, inversiones, sector agropecuario, etc.) con capítulos específicos de </w:t>
      </w:r>
      <w:r w:rsidDel="00000000" w:rsidR="00000000" w:rsidRPr="00000000">
        <w:rPr>
          <w:rFonts w:ascii="Roboto" w:cs="Roboto" w:eastAsia="Roboto" w:hAnsi="Roboto"/>
          <w:i w:val="1"/>
          <w:iCs w:val="1"/>
          <w:color w:val="0d0d0d"/>
          <w:rtl w:val="0"/>
        </w:rPr>
        <w:t xml:space="preserve">Comercio y Desarrollo Sostenible</w:t>
      </w:r>
      <w:r w:rsidDel="00000000" w:rsidR="00000000" w:rsidRPr="00000000">
        <w:rPr>
          <w:rFonts w:ascii="Roboto" w:cs="Roboto" w:eastAsia="Roboto" w:hAnsi="Roboto"/>
          <w:color w:val="0d0d0d"/>
          <w:rtl w:val="0"/>
        </w:rPr>
        <w:t xml:space="preserve">. Este capítulo obliga a mantener y mejorar los estándares ambientales y laborales, prohíbe “la relajación de normas ambientales o laborales con fines comerciales” y reafirma los compromisos con acuerdos ambientales multilaterales. Además incluye compromisos sobre cambio climático, biodiversidad, bosques y pesca sostenible.</w:t>
      </w:r>
    </w:p>
    <w:p w:rsidR="00000000" w:rsidDel="00000000" w:rsidP="00000000" w:rsidRDefault="00000000" w:rsidRPr="00000000" w14:paraId="0000000A">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Acuerdo de Comercio Interino UE–MERCOSUR (2026):</w:t>
      </w:r>
      <w:r w:rsidDel="00000000" w:rsidR="00000000" w:rsidRPr="00000000">
        <w:rPr>
          <w:rFonts w:ascii="Roboto" w:cs="Roboto" w:eastAsia="Roboto" w:hAnsi="Roboto"/>
          <w:color w:val="0d0d0d"/>
          <w:rtl w:val="0"/>
        </w:rPr>
        <w:t xml:space="preserve"> acuerdo paralelo (ITA) firmado el mismo día, de aplicación provisional desde 1 mayo 2026, libera aranceles de bienes industriales y agrícolas. Este acuerdo comercial en sí no contiene capítulos ambientales (fue firmado junto con el Acuerdo de Asociación), pero la aplicación del Acuerdo de Asociación obliga a los exportadores a cumplir los requisitos ambientales pactados.</w:t>
      </w:r>
    </w:p>
    <w:p w:rsidR="00000000" w:rsidDel="00000000" w:rsidP="00000000" w:rsidRDefault="00000000" w:rsidRPr="00000000" w14:paraId="0000000B">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La siguiente línea de tiempo resume estos acuerdos:</w:t>
      </w:r>
    </w:p>
    <w:p w:rsidR="00000000" w:rsidDel="00000000" w:rsidP="00000000" w:rsidRDefault="00000000" w:rsidRPr="00000000" w14:paraId="0000000C">
      <w:pPr>
        <w:rPr>
          <w:rFonts w:ascii="Courier New" w:cs="Courier New" w:eastAsia="Courier New" w:hAnsi="Courier New"/>
          <w:color w:val="0d0d0d"/>
          <w:highlight w:val="white"/>
        </w:rPr>
      </w:pPr>
      <w:r w:rsidDel="00000000" w:rsidR="00000000" w:rsidRPr="00000000">
        <w:rPr>
          <w:rFonts w:ascii="Courier New" w:cs="Courier New" w:eastAsia="Courier New" w:hAnsi="Courier New"/>
          <w:color w:val="0d0d0d"/>
          <w:highlight w:val="white"/>
          <w:rtl w:val="0"/>
        </w:rPr>
        <w:t xml:space="preserve">1990Acuerdo MarcoComercio-Cooperación(UE–Argentina)1995Acuerdo MarcoUE–MERCOSUR(Cooperaciónregional)2019AcuerdoUE–MERCOSUR enprincipio (asociaciónpolítica/comercial)2026Firma del Acuerdode AsociaciónUE–MERCOSUR(entrada provisional)Cronología de acuerdos comerciales UE-Argentina</w:t>
      </w:r>
    </w:p>
    <w:p w:rsidR="00000000" w:rsidDel="00000000" w:rsidP="00000000" w:rsidRDefault="00000000" w:rsidRPr="00000000" w14:paraId="0000000D">
      <w:pPr>
        <w:spacing w:line="319.9992" w:lineRule="auto"/>
        <w:rPr>
          <w:rFonts w:ascii="Courier New" w:cs="Courier New" w:eastAsia="Courier New" w:hAnsi="Courier New"/>
          <w:color w:val="0d0d0d"/>
          <w:sz w:val="18"/>
          <w:szCs w:val="18"/>
          <w:highlight w:val="white"/>
        </w:rPr>
      </w:pPr>
      <w:r w:rsidDel="00000000" w:rsidR="00000000" w:rsidRPr="00000000">
        <w:rPr>
          <w:rFonts w:ascii="Courier New" w:cs="Courier New" w:eastAsia="Courier New" w:hAnsi="Courier New"/>
          <w:color w:val="0d0d0d"/>
          <w:sz w:val="18"/>
          <w:szCs w:val="18"/>
          <w:highlight w:val="white"/>
          <w:rtl w:val="0"/>
        </w:rPr>
        <w:t xml:space="preserve">Mostrar código</w:t>
      </w:r>
    </w:p>
    <w:p w:rsidR="00000000" w:rsidDel="00000000" w:rsidP="00000000" w:rsidRDefault="00000000" w:rsidRPr="00000000" w14:paraId="0000000E">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En síntesis, </w:t>
      </w:r>
      <w:r w:rsidDel="00000000" w:rsidR="00000000" w:rsidRPr="00000000">
        <w:rPr>
          <w:rFonts w:ascii="Roboto" w:cs="Roboto" w:eastAsia="Roboto" w:hAnsi="Roboto"/>
          <w:b w:val="1"/>
          <w:bCs w:val="1"/>
          <w:color w:val="0d0d0d"/>
          <w:rtl w:val="0"/>
        </w:rPr>
        <w:t xml:space="preserve">el único acuerdo comercial amplio actual</w:t>
      </w:r>
      <w:r w:rsidDel="00000000" w:rsidR="00000000" w:rsidRPr="00000000">
        <w:rPr>
          <w:rFonts w:ascii="Roboto" w:cs="Roboto" w:eastAsia="Roboto" w:hAnsi="Roboto"/>
          <w:color w:val="0d0d0d"/>
          <w:rtl w:val="0"/>
        </w:rPr>
        <w:t xml:space="preserve"> relevante es el UE–MERCOSUR. En él, la UE condiciona el acceso a su mercado a </w:t>
      </w:r>
      <w:r w:rsidDel="00000000" w:rsidR="00000000" w:rsidRPr="00000000">
        <w:rPr>
          <w:rFonts w:ascii="Roboto" w:cs="Roboto" w:eastAsia="Roboto" w:hAnsi="Roboto"/>
          <w:b w:val="1"/>
          <w:bCs w:val="1"/>
          <w:color w:val="0d0d0d"/>
          <w:rtl w:val="0"/>
        </w:rPr>
        <w:t xml:space="preserve">estándares ambientales y sociales elevados</w:t>
      </w:r>
      <w:r w:rsidDel="00000000" w:rsidR="00000000" w:rsidRPr="00000000">
        <w:rPr>
          <w:rFonts w:ascii="Roboto" w:cs="Roboto" w:eastAsia="Roboto" w:hAnsi="Roboto"/>
          <w:color w:val="0d0d0d"/>
          <w:rtl w:val="0"/>
        </w:rPr>
        <w:t xml:space="preserve">. Esto refuerza el mensaje de mercado: Bio-Meat Intelligence no es sólo para evitar sanciones locales, sino para </w:t>
      </w:r>
      <w:r w:rsidDel="00000000" w:rsidR="00000000" w:rsidRPr="00000000">
        <w:rPr>
          <w:rFonts w:ascii="Roboto" w:cs="Roboto" w:eastAsia="Roboto" w:hAnsi="Roboto"/>
          <w:b w:val="1"/>
          <w:bCs w:val="1"/>
          <w:color w:val="0d0d0d"/>
          <w:rtl w:val="0"/>
        </w:rPr>
        <w:t xml:space="preserve">garantizar acceso al mercado europeo</w:t>
      </w:r>
      <w:r w:rsidDel="00000000" w:rsidR="00000000" w:rsidRPr="00000000">
        <w:rPr>
          <w:rFonts w:ascii="Roboto" w:cs="Roboto" w:eastAsia="Roboto" w:hAnsi="Roboto"/>
          <w:color w:val="0d0d0d"/>
          <w:rtl w:val="0"/>
        </w:rPr>
        <w:t xml:space="preserve"> bajo un esquema de producción sostenible.</w:t>
      </w:r>
    </w:p>
    <w:p w:rsidR="00000000" w:rsidDel="00000000" w:rsidP="00000000" w:rsidRDefault="00000000" w:rsidRPr="00000000" w14:paraId="0000000F">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jq9loru3aqmt" w:id="2"/>
      <w:bookmarkEnd w:id="2"/>
      <w:r w:rsidDel="00000000" w:rsidR="00000000" w:rsidRPr="00000000">
        <w:rPr>
          <w:rFonts w:ascii="Roboto" w:cs="Roboto" w:eastAsia="Roboto" w:hAnsi="Roboto"/>
          <w:color w:val="0d0d0d"/>
          <w:rtl w:val="0"/>
        </w:rPr>
        <w:t xml:space="preserve">Regulaciones europeas aplicables (efluentes y exportación de carne)</w:t>
      </w:r>
    </w:p>
    <w:p w:rsidR="00000000" w:rsidDel="00000000" w:rsidP="00000000" w:rsidRDefault="00000000" w:rsidRPr="00000000" w14:paraId="00000010">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Las plantas frigoríficas argentinas deben cumplir múltiples normas UE que afectan tanto al tratamiento de efluentes como a la sanidad de la carne exportada. A continuación se describen las principales, con su implicancia: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4.841322834646"/>
        <w:gridCol w:w="2483.820850393701"/>
        <w:gridCol w:w="2267.208566929134"/>
        <w:gridCol w:w="1429.6410708661417"/>
        <w:tblGridChange w:id="0">
          <w:tblGrid>
            <w:gridCol w:w="2844.841322834646"/>
            <w:gridCol w:w="2483.820850393701"/>
            <w:gridCol w:w="2267.208566929134"/>
            <w:gridCol w:w="1429.6410708661417"/>
          </w:tblGrid>
        </w:tblGridChange>
      </w:tblGrid>
      <w:tr>
        <w:trPr>
          <w:cantSplit w:val="0"/>
          <w:trHeight w:val="900" w:hRule="atLeast"/>
          <w:tblHeader w:val="0"/>
        </w:trPr>
        <w:tc>
          <w:tcPr>
            <w:tcBorders>
              <w:top w:color="000000" w:space="0" w:sz="0" w:val="nil"/>
              <w:left w:color="000000" w:space="0" w:sz="0" w:val="nil"/>
              <w:bottom w:color="111111"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Norma / Directiva (UE)</w:t>
            </w:r>
          </w:p>
        </w:tc>
        <w:tc>
          <w:tcPr>
            <w:tcBorders>
              <w:top w:color="000000" w:space="0" w:sz="0" w:val="nil"/>
              <w:left w:color="000000" w:space="0" w:sz="0" w:val="nil"/>
              <w:bottom w:color="111111"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Resumen clave</w:t>
            </w:r>
          </w:p>
        </w:tc>
        <w:tc>
          <w:tcPr>
            <w:tcBorders>
              <w:top w:color="000000" w:space="0" w:sz="0" w:val="nil"/>
              <w:left w:color="000000" w:space="0" w:sz="0" w:val="nil"/>
              <w:bottom w:color="111111"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Implicancia para frigoríficos</w:t>
            </w:r>
          </w:p>
        </w:tc>
        <w:tc>
          <w:tcPr>
            <w:tcBorders>
              <w:top w:color="000000" w:space="0" w:sz="0" w:val="nil"/>
              <w:left w:color="000000" w:space="0" w:sz="0" w:val="nil"/>
              <w:bottom w:color="111111" w:space="0" w:sz="5"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01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Fuente oficial</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Dir. (UE) 2024/3019</w:t>
            </w:r>
            <w:r w:rsidDel="00000000" w:rsidR="00000000" w:rsidRPr="00000000">
              <w:rPr>
                <w:rFonts w:ascii="Roboto" w:cs="Roboto" w:eastAsia="Roboto" w:hAnsi="Roboto"/>
                <w:color w:val="0d0d0d"/>
                <w:sz w:val="20"/>
                <w:szCs w:val="20"/>
                <w:rtl w:val="0"/>
              </w:rPr>
              <w:t xml:space="preserve"> («Tratamiento de aguas residuales urbanas», a partir 2027)</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Actualiza la Directiva 91/271: exige recoger y tratar aguas residuales de todas las aglomeraciones &gt;1.000 h-e. Establece tratamiento terciario (N-P) y cuaternario (microcontam.) en plantas grandes. Requiere «quien contamina paga».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Obliga a implementar sistemas avanzados de tratamiento (secundario/terciario) antes de 2035, controlar nutrientes y microcontaminantes, y planificar inversiones en saneamiento.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[EUR-Lex Resumen 2024/3019][22]</w:t>
            </w:r>
          </w:p>
        </w:tc>
      </w:tr>
      <w:tr>
        <w:trPr>
          <w:cantSplit w:val="0"/>
          <w:trHeight w:val="3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Dir. 91/271/CEE</w:t>
            </w:r>
            <w:r w:rsidDel="00000000" w:rsidR="00000000" w:rsidRPr="00000000">
              <w:rPr>
                <w:rFonts w:ascii="Roboto" w:cs="Roboto" w:eastAsia="Roboto" w:hAnsi="Roboto"/>
                <w:color w:val="0d0d0d"/>
                <w:sz w:val="20"/>
                <w:szCs w:val="20"/>
                <w:rtl w:val="0"/>
              </w:rPr>
              <w:t xml:space="preserve"> (tratamiento de aguas urbanas)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Marco vigente hasta 2027: fija que poblaciones &gt;2.000 h-e deben tener redes de colectores y tratamiento (secundario para &gt;10.000 h-e, etc.). Prevé plazos de cumplimiento graduales.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Mataderos deben conectarse a redes colectoras y plantas de tratamiento secundario/terciario según tamaño de planta.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[EUR-Lex Resumen 2024/3019][22] (ver sustitución de 91/271)</w:t>
            </w:r>
          </w:p>
        </w:tc>
      </w:tr>
      <w:tr>
        <w:trPr>
          <w:cantSplit w:val="0"/>
          <w:trHeight w:val="433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Regl. (CE) 853/2004</w:t>
            </w:r>
            <w:r w:rsidDel="00000000" w:rsidR="00000000" w:rsidRPr="00000000">
              <w:rPr>
                <w:rFonts w:ascii="Roboto" w:cs="Roboto" w:eastAsia="Roboto" w:hAnsi="Roboto"/>
                <w:color w:val="0d0d0d"/>
                <w:sz w:val="20"/>
                <w:szCs w:val="20"/>
                <w:rtl w:val="0"/>
              </w:rPr>
              <w:t xml:space="preserve"> (higiene de alimentos de origen animal)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Establece normas higiénicas específicas para carnes: requiere uso exclusivo de agua potable para la limpieza, registro/aprobación de establecimientos, marcado sanitario y certificación. Los animales y carne exportados deben provenir de países/plantas autorizadas.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1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Exige contar con fuentes de agua potable para limpieza, instalaciones registradas y aprobadas, trazabilidad total de la carne, registro sanitario. Es la base para habilitaciones EU.</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[Resumen EUR-Lex 853/2004][36]</w:t>
            </w:r>
          </w:p>
        </w:tc>
      </w:tr>
      <w:tr>
        <w:trPr>
          <w:cantSplit w:val="0"/>
          <w:trHeight w:val="513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1">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Regl. (UE) 2017/625</w:t>
            </w:r>
            <w:r w:rsidDel="00000000" w:rsidR="00000000" w:rsidRPr="00000000">
              <w:rPr>
                <w:rFonts w:ascii="Roboto" w:cs="Roboto" w:eastAsia="Roboto" w:hAnsi="Roboto"/>
                <w:color w:val="0d0d0d"/>
                <w:sz w:val="20"/>
                <w:szCs w:val="20"/>
                <w:rtl w:val="0"/>
              </w:rPr>
              <w:t xml:space="preserve"> (Controles oficiales integrados)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2">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Moderniza los controles de sanidad y seguridad alimentaria: unifica y refuerza requisitos de inspección y certificación para importación. Obliga a notificar con antelación y usar el Documento Sanitario Común (CHED) para exportaciones a la UE. Detalla: certificados sanitarios, lista de países/establecimientos autorizados, controles en frontera.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3">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Todo lote de carne exportado debe contar con certificado sanitario UE, provenir de establecimientos autorizados y pasar por inspecciones documentales/físicas en la frontera.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4">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[Agrinfo Informe 2017/625][41]</w:t>
            </w:r>
          </w:p>
        </w:tc>
      </w:tr>
      <w:tr>
        <w:trPr>
          <w:cantSplit w:val="0"/>
          <w:trHeight w:val="4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5">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Regl. (UE) 142/2011</w:t>
            </w:r>
            <w:r w:rsidDel="00000000" w:rsidR="00000000" w:rsidRPr="00000000">
              <w:rPr>
                <w:rFonts w:ascii="Roboto" w:cs="Roboto" w:eastAsia="Roboto" w:hAnsi="Roboto"/>
                <w:color w:val="0d0d0d"/>
                <w:sz w:val="20"/>
                <w:szCs w:val="20"/>
                <w:rtl w:val="0"/>
              </w:rPr>
              <w:t xml:space="preserve"> (aplicación de Regl. 1069/2009 – SANDACH)</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6">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Desarrolla el Regl. (CE) 1069/2009 de subproductos animales (SANDACH). Establece cómo deben eliminarse (incineración, compostaje, biogás, etc.) los subproductos de matadero para evitar riesgos. </w:t>
            </w:r>
            <w:r w:rsidDel="00000000" w:rsidR="00000000" w:rsidRPr="00000000">
              <w:rPr>
                <w:rFonts w:ascii="Roboto" w:cs="Roboto" w:eastAsia="Roboto" w:hAnsi="Roboto"/>
                <w:b w:val="1"/>
                <w:bCs w:val="1"/>
                <w:color w:val="0d0d0d"/>
                <w:sz w:val="20"/>
                <w:szCs w:val="20"/>
                <w:rtl w:val="0"/>
              </w:rPr>
              <w:t xml:space="preserve">Prohíbe expresamente</w:t>
            </w:r>
            <w:r w:rsidDel="00000000" w:rsidR="00000000" w:rsidRPr="00000000">
              <w:rPr>
                <w:rFonts w:ascii="Roboto" w:cs="Roboto" w:eastAsia="Roboto" w:hAnsi="Roboto"/>
                <w:color w:val="0d0d0d"/>
                <w:sz w:val="20"/>
                <w:szCs w:val="20"/>
                <w:rtl w:val="0"/>
              </w:rPr>
              <w:t xml:space="preserve"> verter subproductos líquidos en la red de aguas residuales.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Los residuos de origen animal (vísceras, sangre, agua de lavado) </w:t>
            </w:r>
            <w:r w:rsidDel="00000000" w:rsidR="00000000" w:rsidRPr="00000000">
              <w:rPr>
                <w:rFonts w:ascii="Roboto" w:cs="Roboto" w:eastAsia="Roboto" w:hAnsi="Roboto"/>
                <w:b w:val="1"/>
                <w:bCs w:val="1"/>
                <w:color w:val="0d0d0d"/>
                <w:sz w:val="20"/>
                <w:szCs w:val="20"/>
                <w:rtl w:val="0"/>
              </w:rPr>
              <w:t xml:space="preserve">no pueden arrojarse por el desagüe</w:t>
            </w:r>
            <w:r w:rsidDel="00000000" w:rsidR="00000000" w:rsidRPr="00000000">
              <w:rPr>
                <w:rFonts w:ascii="Roboto" w:cs="Roboto" w:eastAsia="Roboto" w:hAnsi="Roboto"/>
                <w:color w:val="0d0d0d"/>
                <w:sz w:val="20"/>
                <w:szCs w:val="20"/>
                <w:rtl w:val="0"/>
              </w:rPr>
              <w:t xml:space="preserve">. Deben gestionarse en plantas especializadas: incineradores, digestores, compostajes autorizados.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8">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[BOE 142/2011][44]</w:t>
            </w:r>
          </w:p>
        </w:tc>
      </w:tr>
      <w:tr>
        <w:trPr>
          <w:cantSplit w:val="0"/>
          <w:trHeight w:val="381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9">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Regl. (UE) 2024/1785</w:t>
            </w:r>
            <w:r w:rsidDel="00000000" w:rsidR="00000000" w:rsidRPr="00000000">
              <w:rPr>
                <w:rFonts w:ascii="Roboto" w:cs="Roboto" w:eastAsia="Roboto" w:hAnsi="Roboto"/>
                <w:color w:val="0d0d0d"/>
                <w:sz w:val="20"/>
                <w:szCs w:val="20"/>
                <w:rtl w:val="0"/>
              </w:rPr>
              <w:t xml:space="preserve"> (revisión de la Dir. 2010/75 sobre emisiones industriales)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A">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Modifica la directiva IED para extender controles a la cría de ganado: reconoce que la ganadería emite amoníaco, nitratos, metano y otros contaminantes. Reduce los umbrales de ganado para aplicar la directiva a granjas de cerdos, aves y ganado vacuno.</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B">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Grandes instalaciones ganaderas (incluido feedlots, porcinos, avícolas, bovinos intensivos) estarán sujetas a permisos ambientales más estrictos, con límites de emisiones de nitrógeno, amoníaco, metano, etc.</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C">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[BOE 2024/1785][26]</w:t>
            </w:r>
          </w:p>
        </w:tc>
      </w:tr>
      <w:tr>
        <w:trPr>
          <w:cantSplit w:val="0"/>
          <w:trHeight w:val="432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D">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b w:val="1"/>
                <w:bCs w:val="1"/>
                <w:color w:val="0d0d0d"/>
                <w:sz w:val="20"/>
                <w:szCs w:val="20"/>
                <w:rtl w:val="0"/>
              </w:rPr>
              <w:t xml:space="preserve">Regl. (UE) 2023/1115</w:t>
            </w:r>
            <w:r w:rsidDel="00000000" w:rsidR="00000000" w:rsidRPr="00000000">
              <w:rPr>
                <w:rFonts w:ascii="Roboto" w:cs="Roboto" w:eastAsia="Roboto" w:hAnsi="Roboto"/>
                <w:color w:val="0d0d0d"/>
                <w:sz w:val="20"/>
                <w:szCs w:val="20"/>
                <w:rtl w:val="0"/>
              </w:rPr>
              <w:t xml:space="preserve"> (“Deforestation-free products”, EUDR)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E">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Exige que los productos agrícolas y sus derivados (incluido el ganado y el cuero) </w:t>
            </w:r>
            <w:r w:rsidDel="00000000" w:rsidR="00000000" w:rsidRPr="00000000">
              <w:rPr>
                <w:rFonts w:ascii="Roboto" w:cs="Roboto" w:eastAsia="Roboto" w:hAnsi="Roboto"/>
                <w:b w:val="1"/>
                <w:bCs w:val="1"/>
                <w:color w:val="0d0d0d"/>
                <w:sz w:val="20"/>
                <w:szCs w:val="20"/>
                <w:rtl w:val="0"/>
              </w:rPr>
              <w:t xml:space="preserve">no provengan de tierras deforestadas tras el 31 dic 2020</w:t>
            </w:r>
            <w:r w:rsidDel="00000000" w:rsidR="00000000" w:rsidRPr="00000000">
              <w:rPr>
                <w:rFonts w:ascii="Roboto" w:cs="Roboto" w:eastAsia="Roboto" w:hAnsi="Roboto"/>
                <w:color w:val="0d0d0d"/>
                <w:sz w:val="20"/>
                <w:szCs w:val="20"/>
                <w:rtl w:val="0"/>
              </w:rPr>
              <w:t xml:space="preserve">. Los operadores deben demostrar con trazabilidad (imágenes satelitales, documentos) que la carne exportada es libre de deforestación.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F">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Para exportar carne bovina, es necesario registrar su origen geográfico y demostrar que no implica deforestación ilegal. Los frigoríficos deberán adaptarse a sistemas de trazabilidad satelital y documental (p.ej. VISEC, RENSPA) para cumplir.</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30">
            <w:pPr>
              <w:spacing w:after="120" w:before="120" w:lineRule="auto"/>
              <w:rPr>
                <w:rFonts w:ascii="Roboto" w:cs="Roboto" w:eastAsia="Roboto" w:hAnsi="Roboto"/>
                <w:color w:val="0d0d0d"/>
                <w:sz w:val="20"/>
                <w:szCs w:val="20"/>
              </w:rPr>
            </w:pPr>
            <w:r w:rsidDel="00000000" w:rsidR="00000000" w:rsidRPr="00000000">
              <w:rPr>
                <w:rFonts w:ascii="Roboto" w:cs="Roboto" w:eastAsia="Roboto" w:hAnsi="Roboto"/>
                <w:color w:val="0d0d0d"/>
                <w:sz w:val="20"/>
                <w:szCs w:val="20"/>
                <w:rtl w:val="0"/>
              </w:rPr>
              <w:t xml:space="preserve">[Web Comisión EU – EUDR][49]</w:t>
            </w:r>
          </w:p>
        </w:tc>
      </w:tr>
    </w:tbl>
    <w:p w:rsidR="00000000" w:rsidDel="00000000" w:rsidP="00000000" w:rsidRDefault="00000000" w:rsidRPr="00000000" w14:paraId="00000031">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Estas normas demuestran que </w:t>
      </w:r>
      <w:r w:rsidDel="00000000" w:rsidR="00000000" w:rsidRPr="00000000">
        <w:rPr>
          <w:rFonts w:ascii="Roboto" w:cs="Roboto" w:eastAsia="Roboto" w:hAnsi="Roboto"/>
          <w:b w:val="1"/>
          <w:bCs w:val="1"/>
          <w:color w:val="0d0d0d"/>
          <w:rtl w:val="0"/>
        </w:rPr>
        <w:t xml:space="preserve">el cumplimiento va más allá de evitar sanciones locales</w:t>
      </w:r>
      <w:r w:rsidDel="00000000" w:rsidR="00000000" w:rsidRPr="00000000">
        <w:rPr>
          <w:rFonts w:ascii="Roboto" w:cs="Roboto" w:eastAsia="Roboto" w:hAnsi="Roboto"/>
          <w:color w:val="0d0d0d"/>
          <w:rtl w:val="0"/>
        </w:rPr>
        <w:t xml:space="preserve">: la UE impone desde la fuente de agua limpia hasta la gestión final de residuos. Por ejemplo, la prohibición de verter subproductos en el alcantarillado obliga a invertir en tratamiento; y las exigencias de certificación sanitaria UE requieren documentación exhaustiva. Todo ello refuerza el mensaje: Bio‑Meat Intelligence aporta información clave (salud biológica del fango y detección temprana de tóxicos) que ayuda a cumplir estos requisitos </w:t>
      </w:r>
      <w:r w:rsidDel="00000000" w:rsidR="00000000" w:rsidRPr="00000000">
        <w:rPr>
          <w:rFonts w:ascii="Roboto" w:cs="Roboto" w:eastAsia="Roboto" w:hAnsi="Roboto"/>
          <w:b w:val="1"/>
          <w:bCs w:val="1"/>
          <w:color w:val="0d0d0d"/>
          <w:rtl w:val="0"/>
        </w:rPr>
        <w:t xml:space="preserve">antes de un eventual control oficial</w:t>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32">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cuy34fys1qqm" w:id="3"/>
      <w:bookmarkEnd w:id="3"/>
      <w:r w:rsidDel="00000000" w:rsidR="00000000" w:rsidRPr="00000000">
        <w:rPr>
          <w:rFonts w:ascii="Roboto" w:cs="Roboto" w:eastAsia="Roboto" w:hAnsi="Roboto"/>
          <w:color w:val="0d0d0d"/>
          <w:rtl w:val="0"/>
        </w:rPr>
        <w:t xml:space="preserve">Ejemplos de requisitos de compradores/retailers europeos</w:t>
      </w:r>
    </w:p>
    <w:p w:rsidR="00000000" w:rsidDel="00000000" w:rsidP="00000000" w:rsidRDefault="00000000" w:rsidRPr="00000000" w14:paraId="0000003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Los principales minoristas europeos (Tesco, Carrefour, Lidl, Aldi, etc.) y </w:t>
      </w:r>
      <w:r w:rsidDel="00000000" w:rsidR="00000000" w:rsidRPr="00000000">
        <w:rPr>
          <w:rFonts w:ascii="Roboto" w:cs="Roboto" w:eastAsia="Roboto" w:hAnsi="Roboto"/>
          <w:b w:val="1"/>
          <w:bCs w:val="1"/>
          <w:color w:val="0d0d0d"/>
          <w:rtl w:val="0"/>
        </w:rPr>
        <w:t xml:space="preserve">grandes importadores</w:t>
      </w:r>
      <w:r w:rsidDel="00000000" w:rsidR="00000000" w:rsidRPr="00000000">
        <w:rPr>
          <w:rFonts w:ascii="Roboto" w:cs="Roboto" w:eastAsia="Roboto" w:hAnsi="Roboto"/>
          <w:color w:val="0d0d0d"/>
          <w:rtl w:val="0"/>
        </w:rPr>
        <w:t xml:space="preserve"> exigen estándares de sostenibilidad además de la reglamentación. Entre los requisitos más comunes se encuentran:</w:t>
      </w:r>
    </w:p>
    <w:p w:rsidR="00000000" w:rsidDel="00000000" w:rsidP="00000000" w:rsidRDefault="00000000" w:rsidRPr="00000000" w14:paraId="00000034">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Certificaciones ambientales y de calidad:</w:t>
      </w:r>
      <w:r w:rsidDel="00000000" w:rsidR="00000000" w:rsidRPr="00000000">
        <w:rPr>
          <w:rFonts w:ascii="Roboto" w:cs="Roboto" w:eastAsia="Roboto" w:hAnsi="Roboto"/>
          <w:color w:val="0d0d0d"/>
          <w:rtl w:val="0"/>
        </w:rPr>
        <w:t xml:space="preserve"> ISO 14001 (gestión ambiental), EMAS (sello UE de gestión ambiental), GlobalG.A.P. (buena práctica agrícola para carne), Red Tractor (UK), IFS/BRC (normas de seguridad alimentaria), certificaciones de bienestar animal (p.ej. Global Animal Partnership) y de reducción de huella de carbono. Estos requisitos buscan asegurar que la cadena de suministro minimice impacto ambiental y siga estándares reconocidos.</w:t>
      </w:r>
    </w:p>
    <w:p w:rsidR="00000000" w:rsidDel="00000000" w:rsidP="00000000" w:rsidRDefault="00000000" w:rsidRPr="00000000" w14:paraId="00000035">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Prohibición de sustancias no autorizadas:</w:t>
      </w:r>
      <w:r w:rsidDel="00000000" w:rsidR="00000000" w:rsidRPr="00000000">
        <w:rPr>
          <w:rFonts w:ascii="Roboto" w:cs="Roboto" w:eastAsia="Roboto" w:hAnsi="Roboto"/>
          <w:color w:val="0d0d0d"/>
          <w:rtl w:val="0"/>
        </w:rPr>
        <w:t xml:space="preserve"> La UE prohíbe hormonas promotoras de crecimiento y ciertos antibióticos/antimicrobianos en el engorde de ganado. Los compradores revisan que la carne esté libre de sustancias vetadas (p.ej. clenbuterol, estrógenos sintéticos, nitrofuranos, colistina, etc.) y cumpla los </w:t>
      </w:r>
      <w:r w:rsidDel="00000000" w:rsidR="00000000" w:rsidRPr="00000000">
        <w:rPr>
          <w:rFonts w:ascii="Roboto" w:cs="Roboto" w:eastAsia="Roboto" w:hAnsi="Roboto"/>
          <w:b w:val="1"/>
          <w:bCs w:val="1"/>
          <w:color w:val="0d0d0d"/>
          <w:rtl w:val="0"/>
        </w:rPr>
        <w:t xml:space="preserve">Límites Máximos de Residuos (LMR)</w:t>
      </w:r>
      <w:r w:rsidDel="00000000" w:rsidR="00000000" w:rsidRPr="00000000">
        <w:rPr>
          <w:rFonts w:ascii="Roboto" w:cs="Roboto" w:eastAsia="Roboto" w:hAnsi="Roboto"/>
          <w:color w:val="0d0d0d"/>
          <w:rtl w:val="0"/>
        </w:rPr>
        <w:t xml:space="preserve"> aprobados en el Reglamento (UE) 37/2010 (antibióticos, pesticidas) y Anexo Reglamentario. Aunque estos límites son legales (y se controlan en laboratorio), los compradores suelen exigir tolerancia “cero defectos” en auditorías internas.</w:t>
      </w:r>
    </w:p>
    <w:p w:rsidR="00000000" w:rsidDel="00000000" w:rsidP="00000000" w:rsidRDefault="00000000" w:rsidRPr="00000000" w14:paraId="00000036">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Límites de contaminantes y calidad del agua:</w:t>
      </w:r>
      <w:r w:rsidDel="00000000" w:rsidR="00000000" w:rsidRPr="00000000">
        <w:rPr>
          <w:rFonts w:ascii="Roboto" w:cs="Roboto" w:eastAsia="Roboto" w:hAnsi="Roboto"/>
          <w:color w:val="0d0d0d"/>
          <w:rtl w:val="0"/>
        </w:rPr>
        <w:t xml:space="preserve"> Por ejemplo, pueden exigir no exceder límites de metales pesados (Cd, Pb, Hg) en el agua de bebida y alimentos para ganado; control estricto de nitratos y fosfatos en efluentes (por Directiva 2024/3019) como parte de sus “buenas prácticas ambientales”.</w:t>
      </w:r>
    </w:p>
    <w:p w:rsidR="00000000" w:rsidDel="00000000" w:rsidP="00000000" w:rsidRDefault="00000000" w:rsidRPr="00000000" w14:paraId="00000037">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Trazabilidad y sostenibilidad de insumos:</w:t>
      </w:r>
      <w:r w:rsidDel="00000000" w:rsidR="00000000" w:rsidRPr="00000000">
        <w:rPr>
          <w:rFonts w:ascii="Roboto" w:cs="Roboto" w:eastAsia="Roboto" w:hAnsi="Roboto"/>
          <w:color w:val="0d0d0d"/>
          <w:rtl w:val="0"/>
        </w:rPr>
        <w:t xml:space="preserve"> Se exige demostrar que los piensos no implican deforestación (Reglamento EUDR). Esto significa rastrear el origen de la soja o maíz, registrarlo en sistemas nacionales (como RENSPA/VISEC) y presentar informes a compradores. También piden cumplimiento de certificaciones de abastecimiento responsable (p.ej. programa de abastecimiento sostenible de Eurocarne) y estándares de </w:t>
      </w:r>
      <w:r w:rsidDel="00000000" w:rsidR="00000000" w:rsidRPr="00000000">
        <w:rPr>
          <w:rFonts w:ascii="Roboto" w:cs="Roboto" w:eastAsia="Roboto" w:hAnsi="Roboto"/>
          <w:i w:val="1"/>
          <w:iCs w:val="1"/>
          <w:color w:val="0d0d0d"/>
          <w:rtl w:val="0"/>
        </w:rPr>
        <w:t xml:space="preserve">due diligence</w:t>
      </w:r>
      <w:r w:rsidDel="00000000" w:rsidR="00000000" w:rsidRPr="00000000">
        <w:rPr>
          <w:rFonts w:ascii="Roboto" w:cs="Roboto" w:eastAsia="Roboto" w:hAnsi="Roboto"/>
          <w:color w:val="0d0d0d"/>
          <w:rtl w:val="0"/>
        </w:rPr>
        <w:t xml:space="preserve"> social/ambiental al estilo OCDE.</w:t>
      </w:r>
    </w:p>
    <w:p w:rsidR="00000000" w:rsidDel="00000000" w:rsidP="00000000" w:rsidRDefault="00000000" w:rsidRPr="00000000" w14:paraId="00000038">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En resumen, los compradores europeos buscan </w:t>
      </w:r>
      <w:r w:rsidDel="00000000" w:rsidR="00000000" w:rsidRPr="00000000">
        <w:rPr>
          <w:rFonts w:ascii="Roboto" w:cs="Roboto" w:eastAsia="Roboto" w:hAnsi="Roboto"/>
          <w:b w:val="1"/>
          <w:bCs w:val="1"/>
          <w:color w:val="0d0d0d"/>
          <w:rtl w:val="0"/>
        </w:rPr>
        <w:t xml:space="preserve">garantías ambientales y sociales</w:t>
      </w:r>
      <w:r w:rsidDel="00000000" w:rsidR="00000000" w:rsidRPr="00000000">
        <w:rPr>
          <w:rFonts w:ascii="Roboto" w:cs="Roboto" w:eastAsia="Roboto" w:hAnsi="Roboto"/>
          <w:color w:val="0d0d0d"/>
          <w:rtl w:val="0"/>
        </w:rPr>
        <w:t xml:space="preserve"> a lo largo de toda la cadena. Bio‑Meat Intelligence refuerza el cumplimiento interno ante estas exigencias (p.ej. monitoreo de vertidos, alertas toxicológicas), lo que complementa las auditorías sanitarias y ambientales externas.</w:t>
      </w:r>
    </w:p>
    <w:p w:rsidR="00000000" w:rsidDel="00000000" w:rsidP="00000000" w:rsidRDefault="00000000" w:rsidRPr="00000000" w14:paraId="00000039">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bqh0831uzlss" w:id="4"/>
      <w:bookmarkEnd w:id="4"/>
      <w:r w:rsidDel="00000000" w:rsidR="00000000" w:rsidRPr="00000000">
        <w:rPr>
          <w:rFonts w:ascii="Roboto" w:cs="Roboto" w:eastAsia="Roboto" w:hAnsi="Roboto"/>
          <w:color w:val="0d0d0d"/>
          <w:rtl w:val="0"/>
        </w:rPr>
        <w:t xml:space="preserve">Recomendaciones operativas y roadmap de validación para plantas frigoríficas</w:t>
      </w:r>
    </w:p>
    <w:p w:rsidR="00000000" w:rsidDel="00000000" w:rsidP="00000000" w:rsidRDefault="00000000" w:rsidRPr="00000000" w14:paraId="0000003A">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Para aprovechar al máximo Bio‑Meat Intelligence y cumplir los estándares mencionados, proponemos una ruta de implementación en fases:</w:t>
      </w:r>
    </w:p>
    <w:p w:rsidR="00000000" w:rsidDel="00000000" w:rsidP="00000000" w:rsidRDefault="00000000" w:rsidRPr="00000000" w14:paraId="0000003B">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Fase 1 – MVP (Prueba de concepto):</w:t>
      </w:r>
      <w:r w:rsidDel="00000000" w:rsidR="00000000" w:rsidRPr="00000000">
        <w:rPr>
          <w:rFonts w:ascii="Roboto" w:cs="Roboto" w:eastAsia="Roboto" w:hAnsi="Roboto"/>
          <w:color w:val="0d0d0d"/>
          <w:rtl w:val="0"/>
        </w:rPr>
        <w:t xml:space="preserve"> Instalar el muestreador automático (p.ej. ISCO 6712) en el efluente para obtención periódica de muestras. Comenzar análisis con </w:t>
      </w:r>
      <w:r w:rsidDel="00000000" w:rsidR="00000000" w:rsidRPr="00000000">
        <w:rPr>
          <w:rFonts w:ascii="Roboto" w:cs="Roboto" w:eastAsia="Roboto" w:hAnsi="Roboto"/>
          <w:i w:val="1"/>
          <w:iCs w:val="1"/>
          <w:color w:val="0d0d0d"/>
          <w:rtl w:val="0"/>
        </w:rPr>
        <w:t xml:space="preserve">Vibrio Sentinel</w:t>
      </w:r>
      <w:r w:rsidDel="00000000" w:rsidR="00000000" w:rsidRPr="00000000">
        <w:rPr>
          <w:rFonts w:ascii="Roboto" w:cs="Roboto" w:eastAsia="Roboto" w:hAnsi="Roboto"/>
          <w:color w:val="0d0d0d"/>
          <w:rtl w:val="0"/>
        </w:rPr>
        <w:t xml:space="preserve"> (15–30 min) y observaciones manuales con microscopio (EcoSentinel) para obtener el </w:t>
      </w:r>
      <w:r w:rsidDel="00000000" w:rsidR="00000000" w:rsidRPr="00000000">
        <w:rPr>
          <w:rFonts w:ascii="Roboto" w:cs="Roboto" w:eastAsia="Roboto" w:hAnsi="Roboto"/>
          <w:b w:val="1"/>
          <w:bCs w:val="1"/>
          <w:color w:val="0d0d0d"/>
          <w:rtl w:val="0"/>
        </w:rPr>
        <w:t xml:space="preserve">Biomass Health Index (BHI)</w:t>
      </w:r>
      <w:r w:rsidDel="00000000" w:rsidR="00000000" w:rsidRPr="00000000">
        <w:rPr>
          <w:rFonts w:ascii="Roboto" w:cs="Roboto" w:eastAsia="Roboto" w:hAnsi="Roboto"/>
          <w:color w:val="0d0d0d"/>
          <w:rtl w:val="0"/>
        </w:rPr>
        <w:t xml:space="preserve">. Capacitar al personal en registro de datos y uso de la plataforma. Validar en un ambiente controlado con datos históricos.</w:t>
      </w:r>
    </w:p>
    <w:p w:rsidR="00000000" w:rsidDel="00000000" w:rsidP="00000000" w:rsidRDefault="00000000" w:rsidRPr="00000000" w14:paraId="0000003C">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Fase 2 – Automatización de datos:</w:t>
      </w:r>
      <w:r w:rsidDel="00000000" w:rsidR="00000000" w:rsidRPr="00000000">
        <w:rPr>
          <w:rFonts w:ascii="Andika" w:cs="Andika" w:eastAsia="Andika" w:hAnsi="Andika"/>
          <w:color w:val="0d0d0d"/>
          <w:rtl w:val="0"/>
        </w:rPr>
        <w:t xml:space="preserve"> Integrar sensores operativos (NH₄⁺, OD, pH, caudal) vía PLC/SCADA con la plataforma. Desarrollar análisis por inteligencia artificial sobre imágenes microscópicas (cuenteo automático de protozoos para EcoSentinel). Establecer dashboards con tendencias 24 h de BHI, Vibrio% e indicadores operativos, y un módulo de alertas previas (30–60 min) basado en Machine Learning que apunte a problemas en curso.</w:t>
      </w:r>
    </w:p>
    <w:p w:rsidR="00000000" w:rsidDel="00000000" w:rsidP="00000000" w:rsidRDefault="00000000" w:rsidRPr="00000000" w14:paraId="0000003D">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Fase 3 – Integración de Compliance:</w:t>
      </w:r>
      <w:r w:rsidDel="00000000" w:rsidR="00000000" w:rsidRPr="00000000">
        <w:rPr>
          <w:rFonts w:ascii="Roboto" w:cs="Roboto" w:eastAsia="Roboto" w:hAnsi="Roboto"/>
          <w:color w:val="0d0d0d"/>
          <w:rtl w:val="0"/>
        </w:rPr>
        <w:t xml:space="preserve"> Vincular los modelos de riesgo (Random Forest) con la base de datos operativa y entrenarlos con ejemplos de incumplimiento. Establecer un </w:t>
      </w:r>
      <w:r w:rsidDel="00000000" w:rsidR="00000000" w:rsidRPr="00000000">
        <w:rPr>
          <w:rFonts w:ascii="Roboto" w:cs="Roboto" w:eastAsia="Roboto" w:hAnsi="Roboto"/>
          <w:b w:val="1"/>
          <w:bCs w:val="1"/>
          <w:color w:val="0d0d0d"/>
          <w:rtl w:val="0"/>
        </w:rPr>
        <w:t xml:space="preserve">INDICADOR DE RIESGO</w:t>
      </w:r>
      <w:r w:rsidDel="00000000" w:rsidR="00000000" w:rsidRPr="00000000">
        <w:rPr>
          <w:rFonts w:ascii="Roboto" w:cs="Roboto" w:eastAsia="Roboto" w:hAnsi="Roboto"/>
          <w:color w:val="0d0d0d"/>
          <w:rtl w:val="0"/>
        </w:rPr>
        <w:t xml:space="preserve"> (probabilidad de violar límites EU en 24–48 h) que alerte al operador. Incorporar recomendaciones automatizadas (p.ej. ajuste de caudal o químicos) según escenarios.</w:t>
      </w:r>
    </w:p>
    <w:p w:rsidR="00000000" w:rsidDel="00000000" w:rsidP="00000000" w:rsidRDefault="00000000" w:rsidRPr="00000000" w14:paraId="0000003E">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Fase 4 – Certificación ambiental:</w:t>
      </w:r>
      <w:r w:rsidDel="00000000" w:rsidR="00000000" w:rsidRPr="00000000">
        <w:rPr>
          <w:rFonts w:ascii="Roboto" w:cs="Roboto" w:eastAsia="Roboto" w:hAnsi="Roboto"/>
          <w:color w:val="0d0d0d"/>
          <w:rtl w:val="0"/>
        </w:rPr>
        <w:t xml:space="preserve"> Una vez el sistema opera de forma integrada, proceder hacia la certificación ISO 14001 o registro EMAS (Sistema Comunitario de Gestión Ambiental). Bio‑Meat Intelligence servirá como prueba del “compromiso continuado” en mejora ambiental (ej. registros de monitoreo del efluente). También preparar la documentación para habilitación SENASA/EU (auditorías oficiales) demostrando cumplimiento de efluentes y residuos según Regl. 853/2004 y 1069/2009.</w:t>
      </w:r>
    </w:p>
    <w:p w:rsidR="00000000" w:rsidDel="00000000" w:rsidP="00000000" w:rsidRDefault="00000000" w:rsidRPr="00000000" w14:paraId="0000003F">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Como resumen visual, el siguiente diagrama de flujo muestra cómo Bio‑Meat Intelligence refuerza el </w:t>
      </w:r>
      <w:r w:rsidDel="00000000" w:rsidR="00000000" w:rsidRPr="00000000">
        <w:rPr>
          <w:rFonts w:ascii="Roboto" w:cs="Roboto" w:eastAsia="Roboto" w:hAnsi="Roboto"/>
          <w:b w:val="1"/>
          <w:bCs w:val="1"/>
          <w:color w:val="0d0d0d"/>
          <w:rtl w:val="0"/>
        </w:rPr>
        <w:t xml:space="preserve">ciclo de cumplimiento y acceso al mercado</w:t>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40">
      <w:pPr>
        <w:shd w:fill="f8f8fa" w:val="clear"/>
        <w:spacing w:line="319.9992" w:lineRule="auto"/>
        <w:rPr>
          <w:rFonts w:ascii="Courier New" w:cs="Courier New" w:eastAsia="Courier New" w:hAnsi="Courier New"/>
          <w:color w:val="5d5d5d"/>
          <w:sz w:val="18"/>
          <w:szCs w:val="18"/>
          <w:highlight w:val="white"/>
        </w:rPr>
      </w:pPr>
      <w:r w:rsidDel="00000000" w:rsidR="00000000" w:rsidRPr="00000000">
        <w:rPr>
          <w:rFonts w:ascii="Courier New" w:cs="Courier New" w:eastAsia="Courier New" w:hAnsi="Courier New"/>
          <w:color w:val="5d5d5d"/>
          <w:sz w:val="18"/>
          <w:szCs w:val="18"/>
          <w:highlight w:val="white"/>
          <w:rtl w:val="0"/>
        </w:rPr>
        <w:t xml:space="preserve">mermaid</w:t>
      </w:r>
    </w:p>
    <w:p w:rsidR="00000000" w:rsidDel="00000000" w:rsidP="00000000" w:rsidRDefault="00000000" w:rsidRPr="00000000" w14:paraId="00000041">
      <w:pPr>
        <w:shd w:fill="f8f8fa" w:val="clear"/>
        <w:spacing w:line="319.9992" w:lineRule="auto"/>
        <w:rPr>
          <w:rFonts w:ascii="Courier New" w:cs="Courier New" w:eastAsia="Courier New" w:hAnsi="Courier New"/>
          <w:color w:val="5d5d5d"/>
          <w:sz w:val="17"/>
          <w:szCs w:val="17"/>
          <w:highlight w:val="white"/>
        </w:rPr>
      </w:pPr>
      <w:r w:rsidDel="00000000" w:rsidR="00000000" w:rsidRPr="00000000">
        <w:rPr>
          <w:rFonts w:ascii="Courier New" w:cs="Courier New" w:eastAsia="Courier New" w:hAnsi="Courier New"/>
          <w:color w:val="5d5d5d"/>
          <w:sz w:val="17"/>
          <w:szCs w:val="17"/>
          <w:highlight w:val="white"/>
          <w:rtl w:val="0"/>
        </w:rPr>
        <w:t xml:space="preserve">Copiar</w:t>
      </w:r>
    </w:p>
    <w:p w:rsidR="00000000" w:rsidDel="00000000" w:rsidP="00000000" w:rsidRDefault="00000000" w:rsidRPr="00000000" w14:paraId="00000042">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flowchart LR</w:t>
      </w:r>
    </w:p>
    <w:p w:rsidR="00000000" w:rsidDel="00000000" w:rsidP="00000000" w:rsidRDefault="00000000" w:rsidRPr="00000000" w14:paraId="00000043">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A[Muestreo automático de efluente] --&gt; B[Vibrio Sentinel&lt;br&gt; (% inhibición luminosa)]</w:t>
      </w:r>
    </w:p>
    <w:p w:rsidR="00000000" w:rsidDel="00000000" w:rsidP="00000000" w:rsidRDefault="00000000" w:rsidRPr="00000000" w14:paraId="00000044">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A --&gt; C[EcoSentinel Microscopio&lt;br&gt; (ecología del lodo)]</w:t>
      </w:r>
    </w:p>
    <w:p w:rsidR="00000000" w:rsidDel="00000000" w:rsidP="00000000" w:rsidRDefault="00000000" w:rsidRPr="00000000" w14:paraId="00000045">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B --&gt; D[Índice de Salud de Biomasa (BHI)]</w:t>
      </w:r>
    </w:p>
    <w:p w:rsidR="00000000" w:rsidDel="00000000" w:rsidP="00000000" w:rsidRDefault="00000000" w:rsidRPr="00000000" w14:paraId="00000046">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C --&gt; D</w:t>
      </w:r>
    </w:p>
    <w:p w:rsidR="00000000" w:rsidDel="00000000" w:rsidP="00000000" w:rsidRDefault="00000000" w:rsidRPr="00000000" w14:paraId="00000047">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D --&gt; E[Detección temprana de tóxicos o estrés]</w:t>
      </w:r>
    </w:p>
    <w:p w:rsidR="00000000" w:rsidDel="00000000" w:rsidP="00000000" w:rsidRDefault="00000000" w:rsidRPr="00000000" w14:paraId="00000048">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E --&gt; F[Recomendaciones operativas&lt;br&gt;(ajuste procesos, p.ej. aireación, lodos, químicos)]</w:t>
      </w:r>
    </w:p>
    <w:p w:rsidR="00000000" w:rsidDel="00000000" w:rsidP="00000000" w:rsidRDefault="00000000" w:rsidRPr="00000000" w14:paraId="00000049">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F --&gt; G[Acciones correctivas en planta]</w:t>
      </w:r>
    </w:p>
    <w:p w:rsidR="00000000" w:rsidDel="00000000" w:rsidP="00000000" w:rsidRDefault="00000000" w:rsidRPr="00000000" w14:paraId="0000004A">
      <w:pPr>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G --&gt; H[Reducción de riesgo de infracción]</w:t>
      </w:r>
    </w:p>
    <w:p w:rsidR="00000000" w:rsidDel="00000000" w:rsidP="00000000" w:rsidRDefault="00000000" w:rsidRPr="00000000" w14:paraId="0000004B">
      <w:pPr>
        <w:shd w:fill="f8f8fa" w:val="clear"/>
        <w:spacing w:line="390" w:lineRule="auto"/>
        <w:rPr>
          <w:rFonts w:ascii="Courier New" w:cs="Courier New" w:eastAsia="Courier New" w:hAnsi="Courier New"/>
          <w:color w:val="0d0d0d"/>
          <w:sz w:val="20"/>
          <w:szCs w:val="20"/>
          <w:highlight w:val="white"/>
        </w:rPr>
      </w:pPr>
      <w:r w:rsidDel="00000000" w:rsidR="00000000" w:rsidRPr="00000000">
        <w:rPr>
          <w:rFonts w:ascii="Courier New" w:cs="Courier New" w:eastAsia="Courier New" w:hAnsi="Courier New"/>
          <w:color w:val="0d0d0d"/>
          <w:sz w:val="20"/>
          <w:szCs w:val="20"/>
          <w:highlight w:val="white"/>
          <w:rtl w:val="0"/>
        </w:rPr>
        <w:t xml:space="preserve">    H --&gt; I[Garantía de cumplimiento ambiental y acceso a mercados EU]</w:t>
      </w:r>
    </w:p>
    <w:p w:rsidR="00000000" w:rsidDel="00000000" w:rsidP="00000000" w:rsidRDefault="00000000" w:rsidRPr="00000000" w14:paraId="0000004C">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Conclusión:</w:t>
      </w:r>
      <w:r w:rsidDel="00000000" w:rsidR="00000000" w:rsidRPr="00000000">
        <w:rPr>
          <w:rFonts w:ascii="Roboto" w:cs="Roboto" w:eastAsia="Roboto" w:hAnsi="Roboto"/>
          <w:color w:val="0d0d0d"/>
          <w:rtl w:val="0"/>
        </w:rPr>
        <w:t xml:space="preserve"> Con el acceso a mercados europeos condicionados por estándares ambientales cada vez más estrictos, Bio‑Meat Intelligence se posiciona no sólo como un controlador de multas, sino como </w:t>
      </w:r>
      <w:r w:rsidDel="00000000" w:rsidR="00000000" w:rsidRPr="00000000">
        <w:rPr>
          <w:rFonts w:ascii="Roboto" w:cs="Roboto" w:eastAsia="Roboto" w:hAnsi="Roboto"/>
          <w:b w:val="1"/>
          <w:bCs w:val="1"/>
          <w:color w:val="0d0d0d"/>
          <w:rtl w:val="0"/>
        </w:rPr>
        <w:t xml:space="preserve">garantía de sostenibilidad y competitividad exportadora</w:t>
      </w:r>
      <w:r w:rsidDel="00000000" w:rsidR="00000000" w:rsidRPr="00000000">
        <w:rPr>
          <w:rFonts w:ascii="Roboto" w:cs="Roboto" w:eastAsia="Roboto" w:hAnsi="Roboto"/>
          <w:color w:val="0d0d0d"/>
          <w:rtl w:val="0"/>
        </w:rPr>
        <w:t xml:space="preserve">. Su despliegue gradual (MVP) y escalado (automatización, certificación) debe ser parte del roadmap estratégico de cualquier planta frigorífica que aspire a crecer en mercados internacionales.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Bdr>
          <w:top w:color="0d0d0d" w:space="0" w:sz="0" w:val="none"/>
          <w:left w:color="0d0d0d" w:space="0" w:sz="0" w:val="none"/>
          <w:bottom w:color="0d0d0d" w:space="0" w:sz="0" w:val="none"/>
          <w:right w:color="0d0d0d" w:space="0" w:sz="0" w:val="none"/>
          <w:between w:color="0d0d0d" w:space="0" w:sz="0" w:val="none"/>
        </w:pBdr>
        <w:shd w:fill="ffffff" w:val="clear"/>
        <w:spacing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Referencias:</w:t>
      </w:r>
      <w:r w:rsidDel="00000000" w:rsidR="00000000" w:rsidRPr="00000000">
        <w:rPr>
          <w:rFonts w:ascii="Roboto" w:cs="Roboto" w:eastAsia="Roboto" w:hAnsi="Roboto"/>
          <w:color w:val="0d0d0d"/>
          <w:rtl w:val="0"/>
        </w:rPr>
        <w:t xml:space="preserve"> Documentos oficiales de la UE y Argentina, y literatura técnica han sido consultados para sustentar este informe. Cada fuente está citada en el texto.</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