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ФИНАНСОВАЯ МОДЕЛЬ УК «СПАРТАК»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E1B31"/>
          <w:sz w:val="40"/>
          <w:szCs w:val="40"/>
        </w:rPr>
        <w:t xml:space="preserve">Чем текущая модель отличается от v4.0</w:t>
      </w:r>
    </w:p>
    <w:p>
      <w:pPr>
        <w:pBdr>
          <w:bottom w:val="single" w:color="9E1B31" w:sz="12" w:space="6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Сравнение файла «Финансовая модель франшизы Спартак v4.0» (15 листов, около 28 400 формул) с текущей моделью Spartak_V9_0.xlsx (11 листов, 22 510 формул). Состояние на 11 сентября 2026 года.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9E1B31" w:sz="18"/>
              <w:bottom w:val="none"/>
              <w:right w:val="none"/>
            </w:tcBorders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Коротко.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Экономика франшизы осталась той же — паушальный взнос, роялти, мерч, доли ФК, займ 50 млн ₽. Изменились три вещи:</w:t>
            </w:r>
          </w:p>
          <w:p>
            <w:pPr>
              <w:spacing w:after="80" w:before="0" w:line="26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из чего считается сеть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партнёр перестал быть равен школе;</w:t>
            </w:r>
          </w:p>
          <w:p>
            <w:pPr>
              <w:spacing w:after="80" w:before="0" w:line="26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на чём стоят доходные вводные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факт реестра вместо круглых чисел;</w:t>
            </w:r>
          </w:p>
          <w:p>
            <w:pPr>
              <w:spacing w:after="0" w:before="0" w:line="26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как устроена книга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одно место ввода, один расчёт, проверяемый скриптом.</w:t>
            </w:r>
          </w:p>
        </w:tc>
      </w:tr>
    </w:tbl>
    <w:p>
      <w:pPr>
        <w:spacing w:after="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9E1B31" w:sz="8" w:space="4"/>
        </w:pBdr>
        <w:spacing w:after="140" w:before="340"/>
      </w:pPr>
      <w:r>
        <w:rPr>
          <w:rFonts w:ascii="Arial" w:cs="Arial" w:eastAsia="Arial" w:hAnsi="Arial"/>
          <w:b/>
          <w:bCs/>
          <w:color w:val="9E1B31"/>
          <w:sz w:val="28"/>
          <w:szCs w:val="28"/>
        </w:rPr>
        <w:t xml:space="preserve">1. Структура файла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v4.0</w:t>
            </w:r>
          </w:p>
        </w:tc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Сейчас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Вводные</w:t>
            </w:r>
          </w:p>
        </w:tc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Размазаны по листам «Допущения», «План_продаж», «Типы_продукта», «Микс_продаж», «Штатное_расписание»</w:t>
            </w:r>
          </w:p>
        </w:tc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Все ручные вводные на листе 01_Вводные, больше нигде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Сценарии</w:t>
            </w:r>
          </w:p>
        </w:tc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Три полных помесячных листа, считаются всегда</w:t>
            </w:r>
          </w:p>
        </w:tc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Один расчёт и переключатель на дашборде; сравнение трёх сценариев считается отдельно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Именованные диапазоны</w:t>
            </w:r>
          </w:p>
        </w:tc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Нет</w:t>
            </w:r>
          </w:p>
        </w:tc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203 имени — формулы читаются словами, а не адресами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Проверки</w:t>
            </w:r>
          </w:p>
        </w:tc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Лист «Проверка_модели», 54 формулы</w:t>
            </w:r>
          </w:p>
        </w:tc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Лист 08_Проверки, 55 автотестов и мутационная самопроверка на 13 подсаженных дефектов</w:t>
            </w:r>
          </w:p>
        </w:tc>
      </w:tr>
    </w:tbl>
    <w:p>
      <w:pPr>
        <w:spacing w:after="120" w:before="16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В v4 одну вводную приходилось менять в трёх-четырёх местах, и расхождение между сценарными листами ничем не ловилось. Сейчас вводная одна, а расхождение витрины и расчётного движка ловят проверки.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Почему проверки стали сильнее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54 формулы в v4 — это контрольные суммы: «доли дают 100 %», «баланс склада равен нулю». Они ловят опечатку в соседней ячейке и молчат обо всём остальном: формулу можно заменить целиком, и контроль останется зелёным.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Сейчас проверки трёх уровней:</w:t>
      </w:r>
    </w:p>
    <w:p>
      <w:pPr>
        <w:pStyle w:val="ListParagraph"/>
        <w:numPr>
          <w:ilvl w:val="0"/>
          <w:numId w:val="2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Контрольные суммы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остались — лист 08_Проверки, 8 контролей по делу вместо 54 «на всякий случай».</w:t>
      </w:r>
    </w:p>
    <w:p>
      <w:pPr>
        <w:pStyle w:val="ListParagraph"/>
        <w:numPr>
          <w:ilvl w:val="0"/>
          <w:numId w:val="2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55 автотестов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проверяют не арифметику, а экономический смысл: «новые школы набирают детей постепенно, а не выходят на полную загрузку сразу», «партнёров не больше, чем школ», «счёт не уходит в минус», «БДР и БДДС не смешаны». Такие правила формулой в ячейке не выражаются.</w:t>
      </w:r>
    </w:p>
    <w:p>
      <w:pPr>
        <w:pStyle w:val="ListParagraph"/>
        <w:numPr>
          <w:ilvl w:val="0"/>
          <w:numId w:val="2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Мутационная самопроверка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отвечает на вопрос, который в v4 задать было некому: а тесты вообще работают? Модель ломается нарочно — 13 подсаженных дефектов, по одному за раз, — и каждый обязан быть пойман. Это уже находило дыры: два теста проходили вхолостую и были переписаны именно после такого прогона.</w:t>
      </w:r>
    </w:p>
    <w:p>
      <w:pPr>
        <w:spacing w:after="120" w:before="12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Зелёные тесты сами по себе ничего не доказывают: они могли бы молчать и на сломанной модели. Мутационная проверка — единственный способ это исключить, и в v4 его не было.</w:t>
      </w:r>
    </w:p>
    <w:p>
      <w:pPr>
        <w:pStyle w:val="Heading1"/>
        <w:pBdr>
          <w:bottom w:val="single" w:color="9E1B31" w:sz="8" w:space="4"/>
        </w:pBdr>
        <w:spacing w:after="140" w:before="340"/>
      </w:pPr>
      <w:r>
        <w:rPr>
          <w:rFonts w:ascii="Arial" w:cs="Arial" w:eastAsia="Arial" w:hAnsi="Arial"/>
          <w:b/>
          <w:bCs/>
          <w:color w:val="9E1B31"/>
          <w:sz w:val="28"/>
          <w:szCs w:val="28"/>
        </w:rPr>
        <w:t xml:space="preserve">2. Что изменилось в допущениях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Календарь и план продаж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3470"/>
        <w:gridCol w:w="3469"/>
      </w:tblGrid>
      <w:tr>
        <w:trPr>
          <w:tblHeader/>
        </w:trPr>
        <w:tc>
          <w:tcPr>
            <w:tcW w:type="dxa" w:w="269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v4.0</w:t>
            </w:r>
          </w:p>
        </w:tc>
        <w:tc>
          <w:tcPr>
            <w:tcW w:type="dxa" w:w="346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Сейчас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Старт модели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01.08.2026, сезон август — июль</w:t>
            </w:r>
          </w:p>
        </w:tc>
        <w:tc>
          <w:tcPr>
            <w:tcW w:type="dxa" w:w="3469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01.09.2026, сезон сентябрь — август; считается от любой даты старта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План продаж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37,8 / 43 / 43 / 43 / 43 = 210 сделок</w:t>
            </w:r>
          </w:p>
        </w:tc>
        <w:tc>
          <w:tcPr>
            <w:tcW w:type="dxa" w:w="346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66 / 72 / 72 / 60 / 50 = 320 сделок</w:t>
            </w:r>
          </w:p>
        </w:tc>
      </w:tr>
    </w:tbl>
    <w:p>
      <w:pPr>
        <w:spacing w:after="120" w:before="1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Позитивный сценарий v4 давал 317 сделок — почти то же, что сегодняшняя база. Но это совпадение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только по плану продаж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назвать текущую модель «бывшим позитивным сценарием v4» нельзя, остальные допущения взяты с другого конца — разбор в конце этого раздела. Откуда взялась цифра плана и чем она подтверждается — раздел 6.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Стартовая сеть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3470"/>
        <w:gridCol w:w="3469"/>
      </w:tblGrid>
      <w:tr>
        <w:trPr>
          <w:tblHeader/>
        </w:trPr>
        <w:tc>
          <w:tcPr>
            <w:tcW w:type="dxa" w:w="269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v4.0</w:t>
            </w:r>
          </w:p>
        </w:tc>
        <w:tc>
          <w:tcPr>
            <w:tcW w:type="dxa" w:w="346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Сейчас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Действующие школы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</w:t>
            </w:r>
          </w:p>
        </w:tc>
        <w:tc>
          <w:tcPr>
            <w:tcW w:type="dxa" w:w="3469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104 (по реестру сети)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Действующие юрлица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Отдельно не считались: школа = юрлицо</w:t>
            </w:r>
          </w:p>
        </w:tc>
        <w:tc>
          <w:tcPr>
            <w:tcW w:type="dxa" w:w="346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Дети действующей сети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 × 100 = 5 100 (допущение)</w:t>
            </w:r>
          </w:p>
        </w:tc>
        <w:tc>
          <w:tcPr>
            <w:tcW w:type="dxa" w:w="3469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5 200 (по реестру)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Доходные вводные действующей сети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3470"/>
        <w:gridCol w:w="3469"/>
      </w:tblGrid>
      <w:tr>
        <w:trPr>
          <w:tblHeader/>
        </w:trPr>
        <w:tc>
          <w:tcPr>
            <w:tcW w:type="dxa" w:w="269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v4.0</w:t>
            </w:r>
          </w:p>
        </w:tc>
        <w:tc>
          <w:tcPr>
            <w:tcW w:type="dxa" w:w="346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Сейчас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Средний абонемент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7 800 ₽</w:t>
            </w:r>
          </w:p>
        </w:tc>
        <w:tc>
          <w:tcPr>
            <w:tcW w:type="dxa" w:w="3469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6 000 ₽ (подтверждено владельцем)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Минимальный роялти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17 500 ₽ на школу, одним котлом</w:t>
            </w:r>
          </w:p>
        </w:tc>
        <w:tc>
          <w:tcPr>
            <w:tcW w:type="dxa" w:w="3469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Пять групп точек начисления: только фикс, только процент, максимум из двух и так далее. Средний фикс 17 246 ₽ на точку</w:t>
            </w:r>
          </w:p>
        </w:tc>
      </w:tr>
    </w:tbl>
    <w:p>
      <w:pPr>
        <w:spacing w:after="120" w:before="16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Расчёт по группам воспроизводит фактический реестр начислений за август 2026 с точностью 0,1 %. Котёл «школы, умноженные на ставку» давал на том же реестре заметную ошибку в обе стороны.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Мерч и склад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3181"/>
        <w:gridCol w:w="3180"/>
      </w:tblGrid>
      <w:tr>
        <w:trPr>
          <w:tblHeader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8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v4.0</w:t>
            </w:r>
          </w:p>
        </w:tc>
        <w:tc>
          <w:tcPr>
            <w:tcW w:type="dxa" w:w="318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Сейчас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Себестоимость комплекта</w:t>
            </w:r>
          </w:p>
        </w:tc>
        <w:tc>
          <w:tcPr>
            <w:tcW w:type="dxa" w:w="318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4 400 ₽</w:t>
            </w:r>
          </w:p>
        </w:tc>
        <w:tc>
          <w:tcPr>
            <w:tcW w:type="dxa" w:w="318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2 100 ₽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Наценка</w:t>
            </w:r>
          </w:p>
        </w:tc>
        <w:tc>
          <w:tcPr>
            <w:tcW w:type="dxa" w:w="318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70 %</w:t>
            </w:r>
          </w:p>
        </w:tc>
        <w:tc>
          <w:tcPr>
            <w:tcW w:type="dxa" w:w="318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85 % (расчётная цена 3 885 ₽)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Коэффициент формы</w:t>
            </w:r>
          </w:p>
        </w:tc>
        <w:tc>
          <w:tcPr>
            <w:tcW w:type="dxa" w:w="318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 комплекта на ребёнка за сезон</w:t>
            </w:r>
          </w:p>
        </w:tc>
        <w:tc>
          <w:tcPr>
            <w:tcW w:type="dxa" w:w="318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Целевой запас</w:t>
            </w:r>
          </w:p>
        </w:tc>
        <w:tc>
          <w:tcPr>
            <w:tcW w:type="dxa" w:w="318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месяца; вводная ни на что не влияла</w:t>
            </w:r>
          </w:p>
        </w:tc>
        <w:tc>
          <w:tcPr>
            <w:tcW w:type="dxa" w:w="318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месяца будущих продаж, закупка до цели четыре раза в год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Доля себестоимости на погашение займа</w:t>
            </w:r>
          </w:p>
        </w:tc>
        <w:tc>
          <w:tcPr>
            <w:tcW w:type="dxa" w:w="318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50 %</w:t>
            </w:r>
          </w:p>
        </w:tc>
        <w:tc>
          <w:tcPr>
            <w:tcW w:type="dxa" w:w="318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60 %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Стартовый склад и займ ФК</w:t>
            </w:r>
          </w:p>
        </w:tc>
        <w:tc>
          <w:tcPr>
            <w:tcW w:type="dxa" w:w="318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млн ₽ и 50 млн ₽</w:t>
            </w:r>
          </w:p>
        </w:tc>
        <w:tc>
          <w:tcPr>
            <w:tcW w:type="dxa" w:w="318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Ставки, налоги, доли ФК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v4.0</w:t>
            </w:r>
          </w:p>
        </w:tc>
        <w:tc>
          <w:tcPr>
            <w:tcW w:type="dxa" w:w="289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Сейчас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Роялти: действующие и продажи до 31.12.2026</w:t>
            </w:r>
          </w:p>
        </w:tc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6,5 %</w:t>
            </w:r>
          </w:p>
        </w:tc>
        <w:tc>
          <w:tcPr>
            <w:tcW w:type="dxa" w:w="289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Роялти: новые партнёры с 01.01.2027</w:t>
            </w:r>
          </w:p>
        </w:tc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8,5 %</w:t>
            </w:r>
          </w:p>
        </w:tc>
        <w:tc>
          <w:tcPr>
            <w:tcW w:type="dxa" w:w="289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Общее повышение до 10 %</w:t>
            </w:r>
          </w:p>
        </w:tc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 01.10.2030</w:t>
            </w:r>
          </w:p>
        </w:tc>
        <w:tc>
          <w:tcPr>
            <w:tcW w:type="dxa" w:w="289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 01.01.2030 (по ТЗ)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Каникулы по роялти новых партнёров</w:t>
            </w:r>
          </w:p>
        </w:tc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месяца</w:t>
            </w:r>
          </w:p>
        </w:tc>
        <w:tc>
          <w:tcPr>
            <w:tcW w:type="dxa" w:w="289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0; штатный параметр B297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Доли ФК: паушальный / роялти / прибыль мерча</w:t>
            </w:r>
          </w:p>
        </w:tc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35 % / 10 % / 35 %</w:t>
            </w:r>
          </w:p>
        </w:tc>
        <w:tc>
          <w:tcPr>
            <w:tcW w:type="dxa" w:w="289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НДС и УСН</w:t>
            </w:r>
          </w:p>
        </w:tc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5 %; 15 % с минимумом 1 %</w:t>
            </w:r>
          </w:p>
        </w:tc>
        <w:tc>
          <w:tcPr>
            <w:tcW w:type="dxa" w:w="289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Страховые взносы</w:t>
            </w:r>
          </w:p>
        </w:tc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Предельная база 2 979 000 ₽: 30 % до и 15,1 % сверх</w:t>
            </w:r>
          </w:p>
        </w:tc>
        <w:tc>
          <w:tcPr>
            <w:tcW w:type="dxa" w:w="289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Плоские 30 %, льгот нет (решение владельца)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ERP</w:t>
            </w:r>
          </w:p>
        </w:tc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180 000 ₽ при 60 школах и 3 000 ₽ за школу сверх</w:t>
            </w:r>
          </w:p>
        </w:tc>
        <w:tc>
          <w:tcPr>
            <w:tcW w:type="dxa" w:w="289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80 000 ₽ при 104 школах и 3 000 ₽ за новую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ФОТ ядра УК</w:t>
            </w:r>
          </w:p>
        </w:tc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3 058 402 ₽ в месяц</w:t>
            </w:r>
          </w:p>
        </w:tc>
        <w:tc>
          <w:tcPr>
            <w:tcW w:type="dxa" w:w="289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Без изменений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Что перестало быть сценарным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 v4 сценарий двигал конверсию открытия (85 / 95 / 97 %), закрытия школ (5 / 3 / 2 %) и рост детей действующей сети (5 / 7 / 10 %). Сейчас это штатные вводные с одним значением для всех сценариев: конверсия 85 %, закрытия 3 % в год, рост 10 % в год.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Сценарий двигает объём продаж, набор детей и цену — то, что действительно неизвестно, а не механику расчёта.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Конверсия 85 % выбрана владельцем 11.09.2026 сознательно консервативно: это значение негативного сценария v4, в базовом там стояло 95 %. До этого в модели стояло 100 %, то есть «ни одна проданная франшиза не срывается на поиске площадки, согласовании или финансировании партнёра» — такого не бывает. Цена вопроса: EBITDA 731,5 → 599,0 млн ₽ за пять лет.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Где сегодняшние допущения лежат относительно сценариев v4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Ни в одном сценарии целиком. Модель берёт план продаж с оптимистичного конца, а допущения о том, как этот план исполняется и сколько приносит действующая сеть, — с консервативного.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253"/>
        <w:gridCol w:w="1253"/>
        <w:gridCol w:w="1253"/>
        <w:gridCol w:w="1253"/>
        <w:gridCol w:w="1735"/>
      </w:tblGrid>
      <w:tr>
        <w:trPr>
          <w:tblHeader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Допущение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негат.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базов.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позит.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Сейчас</w:t>
            </w:r>
          </w:p>
        </w:tc>
        <w:tc>
          <w:tcPr>
            <w:tcW w:type="dxa" w:w="173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лежит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План продаж за 5 лет, сделок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146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210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317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320</w:t>
            </w:r>
          </w:p>
        </w:tc>
        <w:tc>
          <w:tcPr>
            <w:tcW w:type="dxa" w:w="173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выше позитивного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Конверсия продажи в открытие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85 %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95 %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97 %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85 %</w:t>
            </w:r>
          </w:p>
        </w:tc>
        <w:tc>
          <w:tcPr>
            <w:tcW w:type="dxa" w:w="173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негативный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Закрытие школ в год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5 %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3 %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2 %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3 %</w:t>
            </w:r>
          </w:p>
        </w:tc>
        <w:tc>
          <w:tcPr>
            <w:tcW w:type="dxa" w:w="173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базовый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Рост детей действующей сети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5 %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7 %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10 %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10 %</w:t>
            </w:r>
          </w:p>
        </w:tc>
        <w:tc>
          <w:tcPr>
            <w:tcW w:type="dxa" w:w="1735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позитивный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Средний абонемент действующей сети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7 800 ₽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7 800 ₽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7 800 ₽</w:t>
            </w:r>
          </w:p>
        </w:tc>
        <w:tc>
          <w:tcPr>
            <w:tcW w:type="dxa" w:w="1253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6 000 ₽</w:t>
            </w:r>
          </w:p>
        </w:tc>
        <w:tc>
          <w:tcPr>
            <w:tcW w:type="dxa" w:w="1735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ниже всех трёх</w:t>
            </w:r>
          </w:p>
        </w:tc>
      </w:tr>
    </w:tbl>
    <w:p>
      <w:pPr>
        <w:spacing w:after="120" w:before="20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Одной фразой: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оптимистичный план продаж на консервативных допущениях о его исполнении и о доходности действующей сети.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Это осознанная конструкция, а не недосмотр: план — обязательство собственника, которое он берёт на себя, а всё остальное — то, что модель должна выдержать, если обязательство исполнится хуже ожидаемого.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Практическое следствие: прямого аналога сегодняшней модели в старом файле нет. Сравнивать её с одной колонкой v4 нельзя — в разделе 5 поэтому даны обе.</w:t>
      </w:r>
    </w:p>
    <w:p>
      <w:pPr>
        <w:pStyle w:val="Heading1"/>
        <w:pBdr>
          <w:bottom w:val="single" w:color="9E1B31" w:sz="8" w:space="4"/>
        </w:pBdr>
        <w:spacing w:after="140" w:before="340"/>
      </w:pPr>
      <w:r>
        <w:rPr>
          <w:rFonts w:ascii="Arial" w:cs="Arial" w:eastAsia="Arial" w:hAnsi="Arial"/>
          <w:b/>
          <w:bCs/>
          <w:color w:val="9E1B31"/>
          <w:sz w:val="28"/>
          <w:szCs w:val="28"/>
        </w:rPr>
        <w:t xml:space="preserve">3. Что изменилось в логике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Партнёр не равен школе — главное структурное изменение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 v4 одна продажа давала одну школу. Сейчас один партнёр открывает 1,5 школы, и не разом: первая — через лаг «продажа → открытие» (2 месяца), следующие — ещё через 3 месяца. Отсюда и расхождение в размере сети: 320 продаж дают не 320 школ, а около 408 открытий до закрытий — с учётом конверсии 85 %.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Параметр лага решает многое — вилка EBITDA от 437 до 626 млн ₽ за пять лет. Подробнее в разделе 7.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Постепенный набор детей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Принцип v4 сохранён: школа выходит на мощность этапами 1–12 месяцев, 13–24 месяца, зрелая (от 75 до 165 детей при полной загрузке). Заменён способ расчёта — вместо длинной формулы в помесячном листе используются когорты школ. Принцип роста не изменился.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Тарифная матрица работает помесячно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Матрица «5 территорий × 4 формата» (паушальный от 390 тыс. до 1 490 тыс. ₽, дети от 12,5 до 250 на школу) была и в v4, но взвешенное среднее было статичным. Сейчас оно индексируется инфляцией помесячно вместе с ценами и расходами: паушальный 937 767 ₽ с НДС в первом сезоне, дальше по индексу.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Кассовый разрыв закрывается правилом, а не деньгами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 v4 отрицательный остаток закрывался строкой «Привлечено внешнего финансирования» — 4,5 млн ₽ в базовом сценарии и 26,4 млн ₽ в негативном. Откуда эти деньги и по какой ставке, модель не говорила.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Сейчас такой строки нет: овердрафт владелец решил не заводить. Вместо неё работает ограничение 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минимальный остаток на счёте 10 млн ₽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Зачем оно.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Возврат займа клубу — единственный крупный платёж, который УК делает по своему усмотрению: сроки в договоре не зафиксированы, платим «сколько можем». Без ограничения формула отдавала клубу всё, что есть: в первый же месяц модель платила 3 075 292 ₽, имея на старте 187 878 ₽, остаток становился ровно нулём — и дальше любой рядовой расход уводил счёт в минус. Двенадцать месяцев подряд, глубина −8 707 185 ₽. Это не дефицит бизнеса, а порядок платежей: деньги на операционную деятельность были, их просто уже отдали.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Почему именно 10 млн.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Это примерно полтора месяца операционных расходов первого года — 6,8 млн ₽ в месяц по модели. Не подушка на полгода, а страховка от кассового провала внутри сезона: в августе платят 6 % детей, а аренда, ФОТ и ERP идут как обычно.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Порог считается не только в месяц платежа: клубу возвращаем займ лишь тем, что остаётся сверх 10 млн и сверх резерва на ближайшую сезонную просадку. Иначе платёж проходил проверку, а через два месяца счёт всё равно проваливался ниже порога.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Что это стоит.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Ничего. Клубу возвращаются те же 50 млн ₽ и в тот же срок — займ закрыт на 48-м месяце, в августе 2030, — меняется только внутригодовое распределение платежей. EBITDA не меняется: это денежный поток, а не начисление. Минимальный остаток за 60 месяцев +723 716 ₽, отрицательных месяцев нет.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Порог меняется на листе 01_Вводные, ячейка B237; поставить ноль — значит вернуть старое поведение.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В негативном сценарии разрыв остаётся — девять месяцев, до −7,5 млн ₽. Там он операционный: резерв не создаёт денег, которых нет. Это открытый вопрос к владельцу.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БДР и БДДС разведены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 v4 начисление и деньги жили в одном помесячном листе. Сейчас это разные блоки, а расхождение между ними объясняется складом, займом и авансами. Сходимость проверяется формулой «мост от EBITDA к денежному потоку»: контроль должен давать ноль.</w:t>
      </w:r>
    </w:p>
    <w:p>
      <w:pPr>
        <w:pStyle w:val="Heading1"/>
        <w:pBdr>
          <w:bottom w:val="single" w:color="9E1B31" w:sz="8" w:space="4"/>
        </w:pBdr>
        <w:spacing w:after="140" w:before="340"/>
      </w:pPr>
      <w:r>
        <w:rPr>
          <w:rFonts w:ascii="Arial" w:cs="Arial" w:eastAsia="Arial" w:hAnsi="Arial"/>
          <w:b/>
          <w:bCs/>
          <w:color w:val="9E1B31"/>
          <w:sz w:val="28"/>
          <w:szCs w:val="28"/>
        </w:rPr>
        <w:t xml:space="preserve">4. Что добавилось, чего в v4 не было</w:t>
      </w:r>
    </w:p>
    <w:p>
      <w:pPr>
        <w:pStyle w:val="ListParagraph"/>
        <w:numPr>
          <w:ilvl w:val="0"/>
          <w:numId w:val="3"/>
        </w:numPr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Лагеря — участники, выручка, расходы, авансы и проживание. Сейчас выключены и ждут решения владельца.</w:t>
      </w:r>
    </w:p>
    <w:p>
      <w:pPr>
        <w:pStyle w:val="ListParagraph"/>
        <w:numPr>
          <w:ilvl w:val="0"/>
          <w:numId w:val="3"/>
        </w:numPr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Факт сезона 25/26 — помесячный P&amp;L за сентябрь 2025 — июль 2026 и реестр начислений за октябрь 2025 — август 2026. Выручка 26,44 млн ₽, EBITDA −23,68 млн ₽. Включается в итог переключателем на дашборде.</w:t>
      </w:r>
    </w:p>
    <w:p>
      <w:pPr>
        <w:pStyle w:val="ListParagraph"/>
        <w:numPr>
          <w:ilvl w:val="0"/>
          <w:numId w:val="3"/>
        </w:numPr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Чувствительность — отдельный расчёт по шести драйверам.</w:t>
      </w:r>
    </w:p>
    <w:p>
      <w:pPr>
        <w:pStyle w:val="ListParagraph"/>
        <w:numPr>
          <w:ilvl w:val="0"/>
          <w:numId w:val="3"/>
        </w:numPr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Расчёт от любой даты старта: веса плана продаж и согласованный мерч ищутся по календарю, а не по номеру столбца. В v4 сентябрь был зашит номером месяца, и сдвиг старта ломал сезонность молча.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Что исправлено по дороге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Не переносы и не оформление — ошибки, которые давали неверные числа.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470"/>
        <w:gridCol w:w="3277"/>
      </w:tblGrid>
      <w:tr>
        <w:trPr>
          <w:tblHeader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было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Чем это грозило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сейчас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Клубу платили до нуля на счёте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Двенадцать месяцев с отрицательной кассой, глубина −8,7 млн ₽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Порог остатка 10 млн ₽ плюс резерв на сезонную просадку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Порог остатка проверялся только в месяц платежа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Счёт проваливался ниже порога через два месяца; второй год показывал поток −41 871 ₽ при живой EBITDA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Порог держится весь сезон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Роялти действующей сети считалось котлом «школы × ставку»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Заметная ошибка в обе стороны против фактического реестра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Пять групп точек начисления, сходится с фактом на 0,1 %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Коэффициент «школ на партнёра» доезжал до витрины, но не до расчётного движка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При значении больше единицы витрина и сценарии расходились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Связь починена, расхождение ловят проверки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Стартовый склад кончался за 16 месяцев, а пополнение начиналось позже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Семь месяцев подряд сеть без формы: склад −11,7 млн ₽ по себестоимости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Начало пополнения сдвинуто на 01.11.2027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Целевой запас формы 6 месяцев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47,5 млн ₽ заморожено в складе, квартальная закупка била по кассе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месяца будущих продаж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Дети на дашборде показывались на конец периода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Август — дно сезонности: 3 775 вместо 41 930 в среднем за год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Показывается среднее за период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Рентабельность EBITDA усреднялась по месяцам, затем считалась по зашитым номерам строк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Дашборд показывал то −15,3 %, то 288,9 % вместо 33,5 %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Считается как сумма к сумме, строки ищутся по названию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Премия Евгения трактовалась как оклад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Взносы начислялись сверх 4 %, расход завышался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4 % — полная стоимость, взносы внутри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Десять мёртвых строк в каждой из пяти копий движка; два контроля считались в стол</w:t>
            </w:r>
          </w:p>
        </w:tc>
        <w:tc>
          <w:tcPr>
            <w:tcW w:type="dxa" w:w="347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Лишние 50 строк расчёта и невидимые проверки</w:t>
            </w:r>
          </w:p>
        </w:tc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Убрано, контроли выведены на лист проверок</w:t>
            </w:r>
          </w:p>
        </w:tc>
      </w:tr>
    </w:tbl>
    <w:p>
      <w:pPr>
        <w:spacing w:after="120" w:before="16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Плюс то, что ошибок не давало, но мешало работать: защита ввода на 117 ячеек — выпадающие списки и запрет неверных форматов, — разделители разрядов и календарные даты вместо «М1…М60», честный столбец «Итого за 5 лет».</w:t>
      </w:r>
    </w:p>
    <w:p>
      <w:pPr>
        <w:pStyle w:val="Heading1"/>
        <w:pBdr>
          <w:bottom w:val="single" w:color="9E1B31" w:sz="8" w:space="4"/>
        </w:pBdr>
        <w:spacing w:after="140" w:before="340"/>
      </w:pPr>
      <w:r>
        <w:rPr>
          <w:rFonts w:ascii="Arial" w:cs="Arial" w:eastAsia="Arial" w:hAnsi="Arial"/>
          <w:b/>
          <w:bCs/>
          <w:color w:val="9E1B31"/>
          <w:sz w:val="28"/>
          <w:szCs w:val="28"/>
        </w:rPr>
        <w:t xml:space="preserve">5. Результаты: было и стало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Прямого аналога сегодняшней модели в v4 нет: план продаж у неё на уровне позитивного сценария, а конверсия и абонемент — на консервативном конце, см. конец раздела 2. Поэтому даны обе колонки старого файла, и ни одна из них не является корректной базой для сравнения «один к одному».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2120"/>
        <w:gridCol w:w="2120"/>
        <w:gridCol w:w="2121"/>
      </w:tblGrid>
      <w:tr>
        <w:trPr>
          <w:tblHeader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 за 5 лет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«Базовый»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«Позитивный»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Сейчас «Базовый»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Продано франшиз, шт.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210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317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320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Активные школы на конец, шт.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229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338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451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Выручка УК без НДС, ₽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1 537 338 920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2 415 023 533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1 948 443 373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EBITDA, ₽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382 900 614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800 830 838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599 036 354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Рентабельность EBITDA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24,9 %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33,2 %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30,7 %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Деньги на конец, ₽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299 662 194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641 909 558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400 539 937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Внешнее финансирование, ₽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4 474 785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4 960 581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Погашение займа ФК, ₽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50 000 000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50 000 000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50 000 000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Срок закрытия займа ФК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 показан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не показан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48 мес. (авг 2030)</w:t>
            </w:r>
          </w:p>
        </w:tc>
      </w:tr>
    </w:tbl>
    <w:p>
      <w:pPr>
        <w:spacing w:after="120" w:before="20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Школ больше при сопоставимом плане продаж — это 1,5 школы на партнёра. Выручка и EBITDA ниже позитивного сценария v4 при большем числе школ — это снижение среднего абонемента действующей сети с 7 800 до 6 000 ₽, лаг открытия следующих школ и конверсия 85 % вместо 97 %.</w:t>
      </w:r>
    </w:p>
    <w:p>
      <w:pPr>
        <w:pBdr>
          <w:top w:val="single" w:color="D4D4D4" w:sz="2" w:space="6"/>
          <w:bottom w:val="single" w:color="D4D4D4" w:sz="2" w:space="6"/>
        </w:pBdr>
        <w:spacing w:after="60" w:before="140" w:line="260"/>
      </w:pPr>
      <w:r>
        <w:rPr>
          <w:rFonts w:ascii="Arial" w:cs="Arial" w:eastAsia="Arial" w:hAnsi="Arial"/>
          <w:b/>
          <w:bCs/>
          <w:i w:val="false"/>
          <w:iCs w:val="false"/>
          <w:color w:val="9E1B31"/>
          <w:sz w:val="20"/>
          <w:szCs w:val="20"/>
        </w:rPr>
        <w:t xml:space="preserve">Оговорка.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Метрику «дети на конец» из v4 сравнивать нельзя: в самом файле v4 базовый сценарий показывает 25 266 детей против 5 906 в позитивном — при меньшем числе школ и меньшей выручке. Это дефект расчёта старой модели, а не разница допущений.</w:t>
      </w:r>
    </w:p>
    <w:p>
      <w:pPr>
        <w:pStyle w:val="Heading1"/>
        <w:pBdr>
          <w:bottom w:val="single" w:color="9E1B31" w:sz="8" w:space="4"/>
        </w:pBdr>
        <w:spacing w:after="140" w:before="340"/>
      </w:pPr>
      <w:r>
        <w:rPr>
          <w:rFonts w:ascii="Arial" w:cs="Arial" w:eastAsia="Arial" w:hAnsi="Arial"/>
          <w:b/>
          <w:bCs/>
          <w:color w:val="9E1B31"/>
          <w:sz w:val="28"/>
          <w:szCs w:val="28"/>
        </w:rPr>
        <w:t xml:space="preserve">6. Откуда план продаж 320 сделок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Вопрос законный: в v4 базовый план был 210 сделок за пять лет, стал 320 — рост в полтора раза. Разберём честно, откуда цифра и чем она подтверждается.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Откуда взялась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Прямо из ТЗ v6.011: «Годовые планы по пяти сезонам: 66, 72, 72, 60 и 50 проданных франшиз». Модель эту цифру не выводила — она принимает её как вводную от собственника. Это план, а не прогноз, и в таком качестве он в модели и стоит: 01_Вводные, ячейки B210:B214, меняется в одну минуту.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Что за планом стоит внутри модели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Единственное, что можно проверить расчётом, — воронка. Модель считает, чего план требует: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928"/>
        <w:gridCol w:w="3084"/>
        <w:gridCol w:w="3084"/>
      </w:tblGrid>
      <w:tr>
        <w:trPr>
          <w:tblHeader/>
        </w:trPr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Сезон</w:t>
            </w:r>
          </w:p>
        </w:tc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Продаж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Лидов нужно (конверсия 3 %)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Маркетинг, ₽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66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2 200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14 764 333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2 400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13 482 668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2 400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13 791 392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2 000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12 450 455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1 667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8 740 912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320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10 667</w:t>
            </w:r>
          </w:p>
        </w:tc>
        <w:tc>
          <w:tcPr>
            <w:tcW w:type="dxa" w:w="3084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63 229 760</w:t>
            </w:r>
          </w:p>
        </w:tc>
      </w:tr>
    </w:tbl>
    <w:p>
      <w:pPr>
        <w:spacing w:after="120" w:before="20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То есть: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178 лидов в месяц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на протяжении пяти лет и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63,2 млн ₽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маркетинга — таргет 160 тыс. ₽ на будущую продажу плюс ежегодные размещения на БИБОСС, TopFranchise и Forbes по 250 тыс. ₽.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Это и есть первая проверка плана: не «верим ли мы в 66 продаж», а «обеспечиваем ли мы 2 200 заявок в первый сезон и держим ли конверсию 3 %».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Чем план не подтверждён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Фактом. За сезон 25/26 паушальных взносов начислено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62 922 ₽ за одиннадцать месяцев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при среднем паушальном 937 767 ₽ с НДС это меньше одной полной продажи. Помесячно: 34 000 ₽ в ноябре, 17 000 в декабре, дальше по 1–5 тыс. Похоже на задатки и частичные оплаты, а не на закрытые сделки.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Значит, план первого сезона в 66 продаж не опирается ни на один наблюдаемый месяц продаж. Это нужно понимать прямо, а не прятать.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На что можно апеллировать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Три аргумента в пользу плана, которые в данных есть:</w:t>
      </w:r>
    </w:p>
    <w:p>
      <w:pPr>
        <w:pStyle w:val="ListParagraph"/>
        <w:numPr>
          <w:ilvl w:val="0"/>
          <w:numId w:val="4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Сеть уже построена.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104 школы и 51 партнёр на сентябрь 2026 — канал продаж когда-то работал. Модель не знает, за сколько лет и с какой скоростью, но нулевой базы здесь нет.</w:t>
      </w:r>
    </w:p>
    <w:p>
      <w:pPr>
        <w:pStyle w:val="ListParagraph"/>
        <w:numPr>
          <w:ilvl w:val="0"/>
          <w:numId w:val="4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Партнёр расширяется сам.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Действующая сеть даёт 2,04 школы на партнёра. Часть роста сети не требует новых продаж вообще — именно поэтому в модели коэффициент 1,5.</w:t>
      </w:r>
    </w:p>
    <w:p>
      <w:pPr>
        <w:pStyle w:val="ListParagraph"/>
        <w:numPr>
          <w:ilvl w:val="0"/>
          <w:numId w:val="4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Маркетинг посчитан, а не предположен.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63,2 млн ₽ и 178 лидов в месяц — конкретное обязательство, которое можно сверять с фактом помесячно уже с первого месяца.</w:t>
      </w:r>
    </w:p>
    <w:p>
      <w:pPr>
        <w:spacing w:after="120" w:before="16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Три числа, которых не хватает, чтобы план стал доказуемым:</w:t>
      </w:r>
    </w:p>
    <w:p>
      <w:pPr>
        <w:pStyle w:val="ListParagraph"/>
        <w:numPr>
          <w:ilvl w:val="0"/>
          <w:numId w:val="3"/>
        </w:numPr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продажи франшиз помесячно за сезоны 24/25 и 25/26;</w:t>
      </w:r>
    </w:p>
    <w:p>
      <w:pPr>
        <w:pStyle w:val="ListParagraph"/>
        <w:numPr>
          <w:ilvl w:val="0"/>
          <w:numId w:val="3"/>
        </w:numPr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фактическая конверсия «лид → продажа» — в модели допущение 3 %;</w:t>
      </w:r>
    </w:p>
    <w:p>
      <w:pPr>
        <w:pStyle w:val="ListParagraph"/>
        <w:numPr>
          <w:ilvl w:val="0"/>
          <w:numId w:val="3"/>
        </w:numPr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фактическая стоимость лида — в модели 160 тыс. ₽ на будущую продажу.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Сколько стоит невыполнение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Модель к плану очень чувствительна. Если продажи окажутся на уровне базового плана v4 — 210 сделок вместо 320: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2120"/>
        <w:gridCol w:w="2120"/>
        <w:gridCol w:w="2121"/>
      </w:tblGrid>
      <w:tr>
        <w:trPr>
          <w:tblHeader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 за 5 лет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план 320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план 210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дельта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EBITDA, ₽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599 036 354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359 920 135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−239 116 219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Активные школы на конец, шт.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451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276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−175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Деньги на конец, ₽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400 539 937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218 852 454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−181 687 483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Минимальный остаток, ₽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+723 716</w:t>
            </w:r>
          </w:p>
        </w:tc>
        <w:tc>
          <w:tcPr>
            <w:tcW w:type="dxa" w:w="2120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−8 037 558</w:t>
            </w:r>
          </w:p>
        </w:tc>
        <w:tc>
          <w:tcPr>
            <w:tcW w:type="dxa" w:w="2121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разрыв возвращается</w:t>
            </w:r>
          </w:p>
        </w:tc>
      </w:tr>
    </w:tbl>
    <w:p>
      <w:pPr>
        <w:spacing w:after="120" w:before="20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Это главный вывод раздела: план продаж — не деталь оформления, а параметр, от которого зависит, нужно ли компании внешнее финансирование. При 320 сделках не нужно, при 210 — нужно.</w:t>
      </w:r>
    </w:p>
    <w:p>
      <w:pPr>
        <w:pStyle w:val="Heading1"/>
        <w:pBdr>
          <w:bottom w:val="single" w:color="9E1B31" w:sz="8" w:space="4"/>
        </w:pBdr>
        <w:spacing w:after="140" w:before="340"/>
      </w:pPr>
      <w:r>
        <w:rPr>
          <w:rFonts w:ascii="Arial" w:cs="Arial" w:eastAsia="Arial" w:hAnsi="Arial"/>
          <w:b/>
          <w:bCs/>
          <w:color w:val="9E1B31"/>
          <w:sz w:val="28"/>
          <w:szCs w:val="28"/>
        </w:rPr>
        <w:t xml:space="preserve">7. Что осталось открытым</w:t>
      </w:r>
    </w:p>
    <w:p>
      <w:pPr>
        <w:spacing w:after="120" w:before="0" w:lin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Решает владелец модели, не расчёт.</w:t>
      </w:r>
    </w:p>
    <w:p>
      <w:pPr>
        <w:pStyle w:val="ListParagraph"/>
        <w:numPr>
          <w:ilvl w:val="0"/>
          <w:numId w:val="5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Лаг открытия следующих школ партнёра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сейчас 3 месяца. Вилка EBITDA за пять лет: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1542"/>
        <w:gridCol w:w="1542"/>
        <w:gridCol w:w="1542"/>
        <w:gridCol w:w="1542"/>
        <w:gridCol w:w="1542"/>
      </w:tblGrid>
      <w:tr>
        <w:trPr>
          <w:tblHeader/>
        </w:trPr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Лаг, мес.</w:t>
            </w:r>
          </w:p>
        </w:tc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(сейчас)</w:t>
            </w:r>
          </w:p>
        </w:tc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shd w:fill="9E1B3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EBITDA за 5 лет, млн ₽</w:t>
            </w:r>
          </w:p>
        </w:tc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626</w:t>
            </w:r>
          </w:p>
        </w:tc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599</w:t>
            </w:r>
          </w:p>
        </w:tc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572</w:t>
            </w:r>
          </w:p>
        </w:tc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520</w:t>
            </w:r>
          </w:p>
        </w:tc>
        <w:tc>
          <w:tcPr>
            <w:tcW w:type="dxa" w:w="1542"/>
            <w:tcBorders>
              <w:top w:val="single" w:color="D4D4D4" w:sz="2"/>
              <w:left w:val="none"/>
              <w:bottom w:val="single" w:color="D4D4D4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437</w:t>
            </w:r>
          </w:p>
        </w:tc>
      </w:tr>
    </w:tbl>
    <w:p>
      <w:pPr>
        <w:spacing w:after="120" w:before="120" w:line="2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Факт даёт только нижнюю границу: пять наблюдаемых вторых школ открылись через 0–3 месяца, но окно наблюдения — один сезон.</w:t>
      </w:r>
    </w:p>
    <w:p>
      <w:pPr>
        <w:pStyle w:val="ListParagraph"/>
        <w:numPr>
          <w:ilvl w:val="0"/>
          <w:numId w:val="5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План продаж не подтверждён фактом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см. раздел 6. Нужны продажи помесячно за 24/25 и 25/26, фактическая конверсия лида и стоимость лида.</w:t>
      </w:r>
    </w:p>
    <w:p>
      <w:pPr>
        <w:pStyle w:val="ListParagraph"/>
        <w:numPr>
          <w:ilvl w:val="0"/>
          <w:numId w:val="5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Кассовый разрыв в негативном сценарии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девять месяцев, до −7,5 млн ₽.</w:t>
      </w:r>
    </w:p>
    <w:p>
      <w:pPr>
        <w:pStyle w:val="ListParagraph"/>
        <w:numPr>
          <w:ilvl w:val="0"/>
          <w:numId w:val="5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Месяцы закупок склада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квартальная закупка до цели одним платежом бьёт по кассе; помесячное пополнение сгладило бы её.</w:t>
      </w:r>
    </w:p>
    <w:p>
      <w:pPr>
        <w:pStyle w:val="ListParagraph"/>
        <w:numPr>
          <w:ilvl w:val="0"/>
          <w:numId w:val="5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Когда включать лагеря.</w:t>
      </w:r>
    </w:p>
    <w:p>
      <w:pPr>
        <w:pStyle w:val="ListParagraph"/>
        <w:numPr>
          <w:ilvl w:val="0"/>
          <w:numId w:val="5"/>
        </w:numPr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P&amp;L за август 2026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единственный недостающий месяц факта.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Финмодель УК «Спартак» · отличия от v4.0 ·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Чем текущая модель отличается от v4.0</dc:title>
  <dc:creator>Финмодель УК «Спартак»</dc:creator>
  <dc:description>Сравнение финансовой модели франшизы Спартак v4.0 с текущей моделью Spartak_V9_0</dc:description>
  <cp:lastModifiedBy>Un-named</cp:lastModifiedBy>
  <cp:revision>1</cp:revision>
  <dcterms:created xsi:type="dcterms:W3CDTF">2026-09-11T16:57:21.736Z</dcterms:created>
  <dcterms:modified xsi:type="dcterms:W3CDTF">2026-09-11T16:57:21.750Z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