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ФИНАНСОВАЯ МОДЕЛЬ УК «СПАРТАК»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E1B31"/>
          <w:sz w:val="40"/>
          <w:szCs w:val="40"/>
        </w:rPr>
        <w:t xml:space="preserve">Чем текущая модель отличается от v4.0</w:t>
      </w:r>
    </w:p>
    <w:p>
      <w:pPr>
        <w:pBdr>
          <w:bottom w:val="single" w:color="9E1B31" w:sz="12" w:space="6"/>
        </w:pBdr>
        <w:spacing w:after="20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Сравнение файла «Финансовая модель франшизы Спартак v4.0» (15 листов, около 28 400 формул) с текущей моделью Spartak_V9_0.xlsx (11 листов, 22 510 формул). Состояние на 11 сентября 2026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/>
              <w:left w:val="single" w:color="9E1B31" w:sz="18"/>
              <w:bottom w:val="none"/>
              <w:right w:val="none"/>
            </w:tcBorders>
            <w:shd w:fill="F5F5F5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60" w:before="0" w:line="2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Коротко.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Экономика франшизы осталась той же — паушальный взнос, роялти, мерч, доли ФК, займ 50 млн ₽. Изменились три вещи:</w:t>
            </w:r>
          </w:p>
          <w:p>
            <w:pPr>
              <w:spacing w:after="8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из чего считается сеть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партнёр перестал быть равен школе;</w:t>
            </w:r>
          </w:p>
          <w:p>
            <w:pPr>
              <w:spacing w:after="8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на чём стоят доходные вводные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факт реестра вместо круглых чисел;</w:t>
            </w:r>
          </w:p>
          <w:p>
            <w:pPr>
              <w:spacing w:after="0" w:before="0" w:line="260"/>
              <w:ind w:left="2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как устроена книга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 — одно место ввода, один расчёт, проверяемый скриптом.</w:t>
            </w:r>
          </w:p>
        </w:tc>
      </w:tr>
    </w:tbl>
    <w:p>
      <w:pPr>
        <w:spacing w:after="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1. Структура файла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Вводные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Размазаны по листам «Допущения», «План_продаж», «Типы_продукта», «Микс_продаж», «Штатное_расписание»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Все ручные вводные на листе 01_Вводные, больше нигде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Сценарии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Три полных помесячных листа, считаются всегда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Один расчёт и переключатель на дашборде; сравнение трёх сценариев считается отдельно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Именованные диапазоны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Нет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203 имени — формулы читаются словами, а не адресами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Проверки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Лист «Проверка_модели», 54 формулы</w:t>
            </w:r>
          </w:p>
        </w:tc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Лист 08_Проверки, 55 автотестов и мутационная самопроверка на 13 подсаженных дефектов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В v4 одну вводную приходилось менять в трёх-четырёх местах, и расхождение между сценарными листами ничем не ловилось. Сейчас вводная одна, а расхождение витрины и расчётного движка ловят проверки.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Почему проверки стали сильнее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54 формулы в v4 — это контрольные суммы: «доли дают 100 %», «баланс склада равен нулю». Они ловят опечатку в соседней ячейке и молчат обо всём остальном: формулу можно заменить целиком, и контроль останется зелёным.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Сейчас проверки трёх уровней: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Контрольные суммы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остались — лист 08_Проверки, 8 контролей по делу вместо 54 «на всякий случай».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55 автотестов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проверяют не арифметику, а экономический смысл: «новые школы набирают детей постепенно, а не выходят на полную загрузку сразу», «партнёров не больше, чем школ», «счёт не уходит в минус», «БДР и БДДС не смешаны». Такие правила формулой в ячейке не выражаются.</w:t>
      </w:r>
    </w:p>
    <w:p>
      <w:pPr>
        <w:pStyle w:val="ListParagraph"/>
        <w:numPr>
          <w:ilvl w:val="0"/>
          <w:numId w:val="2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Мутационная самопроверка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отвечает на вопрос, который в v4 задать было некому: а тесты вообще работают? Модель ломается нарочно — 13 подсаженных дефектов, по одному за раз, — и каждый обязан быть пойман. Это уже находило дыры: два теста проходили вхолостую и были переписаны именно после такого прогона.</w:t>
      </w:r>
    </w:p>
    <w:p>
      <w:pPr>
        <w:spacing w:after="120" w:before="12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Зелёные тесты сами по себе ничего не доказывают: они могли бы молчать и на сломанной модели. Мутационная проверка — единственный способ это исключить, и в v4 его не было.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2. Что изменилось в допущениях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Календарь и план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Старт модели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01.08.2026, сезон август — июль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01.09.2026, сезон сентябрь — август; считается от любой даты старта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План продаж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37,8 / 43 / 43 / 43 / 43 = 210 сделок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66 / 72 / 72 / 60 / 50 = 320 сделок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Позитивный сценарий v4 давал 317 сделок — почти то же, что сегодняшняя база.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Текущий базовый план — это бывший позитивный сценарий v4,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поэтому сравнивать сегодняшнюю базу корректно с колонкой «Позитивный» старого файла. Откуда взялась цифра и чем она подтверждается — раздел 6.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Стартовая сеть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Действующие школы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104 (по реестру сети)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Действующие юрлица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Отдельно не считались: школа = юрлицо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Дети действующей сети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51 × 100 = 5 100 (допущение)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5 200 (по реестру)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Доходные вводные действующей сети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99"/>
        <w:gridCol w:w="3470"/>
        <w:gridCol w:w="3469"/>
      </w:tblGrid>
      <w:tr>
        <w:trPr>
          <w:tblHeader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Средний абонемент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7 800 ₽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6 000 ₽ (подтверждено владельцем)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Минимальный роялти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17 500 ₽ на школу, одним котлом</w:t>
            </w:r>
          </w:p>
        </w:tc>
        <w:tc>
          <w:tcPr>
            <w:tcW w:type="dxa" w:w="3469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Пять групп точек начисления: только фикс, только процент, максимум из двух и так далее. Средний фикс 17 246 ₽ на точку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Расчёт по группам воспроизводит фактический реестр начислений за август 2026 с точностью 0,1 %. Котёл «школы, умноженные на ставку» давал на том же реестре заметную ошибку в обе стороны.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Мерч и склад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3181"/>
        <w:gridCol w:w="3180"/>
      </w:tblGrid>
      <w:tr>
        <w:trPr>
          <w:tblHeader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Себестоимость комплекта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4 400 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2 100 ₽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Наценка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70 %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85 % (расчётная цена 3 885 ₽)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Коэффициент формы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1,2 комплекта на ребёнка за сезон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Целевой запас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месяца; вводная ни на что не влияла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 месяца будущих продаж, закупка до цели четыре раза в год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Доля себестоимости на погашение займа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50 %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60 %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Стартовый склад и займ ФК</w:t>
            </w:r>
          </w:p>
        </w:tc>
        <w:tc>
          <w:tcPr>
            <w:tcW w:type="dxa" w:w="318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млн ₽ и 50 млн ₽</w:t>
            </w:r>
          </w:p>
        </w:tc>
        <w:tc>
          <w:tcPr>
            <w:tcW w:type="dxa" w:w="318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Ставки, налоги, доли ФК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2891"/>
        <w:gridCol w:w="2892"/>
      </w:tblGrid>
      <w:tr>
        <w:trPr>
          <w:tblHeader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v4.0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Роялти: действующие и продажи до 31.12.2026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6,5 %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Роялти: новые партнёры с 01.01.2027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8,5 %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Общее повышение до 10 %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 01.10.2030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 01.01.2030 (по ТЗ)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Каникулы по роялти новых партнёров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месяца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0; штатный параметр B297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Доли ФК: паушальный / роялти / прибыль мерча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35 % / 10 % / 35 %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НДС и УСН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5 %; 15 % с минимумом 1 %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Страховые взносы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Предельная база 2 979 000 ₽: 30 % до и 15,1 % сверх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Плоские 30 %, льгот нет (решение владельца)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ERP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180 000 ₽ при 60 школах и 3 000 ₽ за школу сверх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80 000 ₽ при 104 школах и 3 000 ₽ за новую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ФОТ ядра УК</w:t>
            </w:r>
          </w:p>
        </w:tc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3 058 402 ₽ в месяц</w:t>
            </w:r>
          </w:p>
        </w:tc>
        <w:tc>
          <w:tcPr>
            <w:tcW w:type="dxa" w:w="289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Что перестало быть сценарным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сценарий двигал конверсию открытия (85 / 95 / 97 %), закрытия школ (5 / 3 / 2 %) и рост детей действующей сети (5 / 7 / 10 %). Сейчас это штатные вводные с одним значением для всех сценариев: конверсия 85 %, закрытия 3 % в год, рост 10 % в год.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Сценарий двигает объём продаж, набор детей и цену — то, что действительно неизвестно, а не механику расчёта.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Конверсия 85 % выбрана владельцем 11.09.2026 сознательно консервативно: это значение негативного сценария v4, в базовом там стояло 95 %. До этого в модели стояло 100 %, то есть «ни одна проданная франшиза не срывается на поиске площадки, согласовании или финансировании партнёра» — такого не бывает. Цена вопроса: EBITDA 731,5 → 599,0 млн ₽ за пять лет.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3. Что изменилось в логике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Партнёр не равен школе — главное структурное изменение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одна продажа давала одну школу. Сейчас один партнёр открывает 1,5 школы, и не разом: первая — через лаг «продажа → открытие» (2 месяца), следующие — ещё через 3 месяца. Отсюда и расхождение в размере сети: 320 продаж дают не 320 школ, а около 408 открытий до закрытий — с учётом конверсии 85 %.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Параметр лага решает многое — вилка EBITDA от 437 до 626 млн ₽ за пять лет. Подробнее в разделе 7.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Постепенный набор детей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Принцип v4 сохранён: школа выходит на мощность этапами 1–12 месяцев, 13–24 месяца, зрелая (от 75 до 165 детей при полной загрузке). Заменён способ расчёта — вместо длинной формулы в помесячном листе используются когорты школ. Принцип роста не изменился.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Тарифная матрица работает помесячно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Матрица «5 территорий × 4 формата» (паушальный от 390 тыс. до 1 490 тыс. ₽, дети от 12,5 до 250 на школу) была и в v4, но взвешенное среднее было статичным. Сейчас оно индексируется инфляцией помесячно вместе с ценами и расходами: паушальный 937 767 ₽ с НДС в первом сезоне, дальше по индексу.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Кассовый разрыв закрывается правилом, а не деньгами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отрицательный остаток закрывался строкой «Привлечено внешнего финансирования» — 4,5 млн ₽ в базовом сценарии и 26,4 млн ₽ в негативном. Откуда эти деньги и по какой ставке, модель не говорила.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Сейчас такой строки нет: овердрафт владелец решил не заводить. Вместо неё работает ограничение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минимальный остаток на счёте 10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Зачем оно.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Возврат займа клубу — единственный крупный платёж, который УК делает по своему усмотрению: сроки в договоре не зафиксированы, платим «сколько можем». Без ограничения формула отдавала клубу всё, что есть: в первый же месяц модель платила 3 075 292 ₽, имея на старте 187 878 ₽, остаток становился ровно нулём — и дальше любой рядовой расход уводил счёт в минус. Двенадцать месяцев подряд, глубина −8 707 185 ₽. Это не дефицит бизнеса, а порядок платежей: деньги на операционную деятельность были, их просто уже отдали.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Почему именно 10 млн.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Это примерно полтора месяца операционных расходов первого года — 6,8 млн ₽ в месяц по модели. Не подушка на полгода, а страховка от кассового провала внутри сезона: в августе платят 6 % детей, а аренда, ФОТ и ERP идут как обычно.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Порог считается не только в месяц платежа: клубу возвращаем займ лишь тем, что остаётся сверх 10 млн и сверх резерва на ближайшую сезонную просадку. Иначе платёж проходил проверку, а через два месяца счёт всё равно проваливался ниже порога.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Что это стоит.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Ничего. Клубу возвращаются те же 50 млн ₽ и в тот же срок — займ закрыт на 48-м месяце, в августе 2030, — меняется только внутригодовое распределение платежей. EBITDA не меняется: это денежный поток, а не начисление. Минимальный остаток за 60 месяцев +723 716 ₽, отрицательных месяцев нет.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Порог меняется на листе 01_Вводные, ячейка B237; поставить ноль — значит вернуть старое поведение.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В негативном сценарии разрыв остаётся — девять месяцев, до −7,5 млн ₽. Там он операционный: резерв не создаёт денег, которых нет. Это открытый вопрос к владельцу.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БДР и БДДС разведены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v4 начисление и деньги жили в одном помесячном листе. Сейчас это разные блоки, а расхождение между ними объясняется складом, займом и авансами. Сходимость проверяется формулой «мост от EBITDA к денежному потоку»: контроль должен давать ноль.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4. Что добавилось, чего в v4 не было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Лагеря — участники, выручка, расходы, авансы и проживание. Сейчас выключены и ждут решения владельца.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Факт сезона 25/26 — помесячный P&amp;L за сентябрь 2025 — июль 2026 и реестр начислений за октябрь 2025 — август 2026. Выручка 26,44 млн ₽, EBITDA −23,68 млн ₽. Включается в итог переключателем на дашборде.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Чувствительность — отдельный расчёт по шести драйверам.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Расчёт от любой даты старта: веса плана продаж и согласованный мерч ищутся по календарю, а не по номеру столбца. В v4 сентябрь был зашит номером месяца, и сдвиг старта ломал сезонность молча.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Что исправлено по дороге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Не переносы и не оформление — ошибки, которые давали неверные числа.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470"/>
        <w:gridCol w:w="3277"/>
      </w:tblGrid>
      <w:tr>
        <w:trPr>
          <w:tblHeader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было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Чем это грозило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Как сейчас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Клубу платили до нуля на счёте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Двенадцать месяцев с отрицательной кассой, глубина −8,7 млн ₽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Порог остатка 10 млн ₽ плюс резерв на сезонную просадку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Порог остатка проверялся только в месяц платежа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Счёт проваливался ниже порога через два месяца; второй год показывал поток −41 871 ₽ при живой EBITDA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Порог держится весь сезон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Роялти действующей сети считалось котлом «школы × ставку»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Заметная ошибка в обе стороны против фактического реестра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Пять групп точек начисления, сходится с фактом на 0,1 %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Коэффициент «школ на партнёра» доезжал до витрины, но не до расчётного движка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При значении больше единицы витрина и сценарии расходились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Связь починена, расхождение ловят проверки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Стартовый склад кончался за 16 месяцев, а пополнение начиналось позже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Семь месяцев подряд сеть без формы: склад −11,7 млн ₽ по себестоимости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Начало пополнения сдвинуто на 01.11.2027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Целевой запас формы 6 месяцев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47,5 млн ₽ заморожено в складе, квартальная закупка била по кассе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 месяца будущих продаж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Дети на дашборде показывались на конец периода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Август — дно сезонности: 3 775 вместо 41 930 в среднем за год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Показывается среднее за период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Рентабельность EBITDA усреднялась по месяцам, затем считалась по зашитым номерам строк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Дашборд показывал то −15,3 %, то 288,9 % вместо 33,5 %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Считается как сумма к сумме, строки ищутся по названию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Премия Евгения трактовалась как оклад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Взносы начислялись сверх 4 %, расход завышался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4 % — полная стоимость, взносы внутри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Десять мёртвых строк в каждой из пяти копий движка; два контроля считались в стол</w:t>
            </w:r>
          </w:p>
        </w:tc>
        <w:tc>
          <w:tcPr>
            <w:tcW w:type="dxa" w:w="347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Лишние 50 строк расчёта и невидимые проверки</w:t>
            </w:r>
          </w:p>
        </w:tc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Убрано, контроли выведены на лист проверок</w:t>
            </w:r>
          </w:p>
        </w:tc>
      </w:tr>
    </w:tbl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Плюс то, что ошибок не давало, но мешало работать: защита ввода на 117 ячеек — выпадающие списки и запрет неверных форматов, — разделители разрядов и календарные даты вместо «М1…М60», честный столбец «Итого за 5 лет».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5. Результаты: было и стало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Базовый сценарий сегодня соответствует позитивному плану v4 — 320 продаж против 317, — поэтому даны обе колонки старого файла.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2120"/>
        <w:gridCol w:w="2120"/>
        <w:gridCol w:w="2121"/>
      </w:tblGrid>
      <w:tr>
        <w:trPr>
          <w:tblHeader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Показатель за 5 лет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 «Базовый»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v4 «Позитивный»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Сейчас «Базовый»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Продано франшиз, шт.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210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317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320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Активные школы на конец, шт.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229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338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451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Выручка УК без НДС,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1 537 338 920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2 415 023 533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1 948 443 373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EBITDA,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382 900 614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800 830 838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599 036 354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Рентабельность EBITDA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24,9 %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33,2 %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30,7 %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Деньги на конец,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299 662 194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641 909 558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400 539 937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Внешнее финансирование,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4 474 785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4 960 581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Погашение займа ФК,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50 000 000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50 000 000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50 000 000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Срок закрытия займа ФК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не показан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не показан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48 мес. (авг 2030)</w:t>
            </w:r>
          </w:p>
        </w:tc>
      </w:tr>
    </w:tbl>
    <w:p>
      <w:pPr>
        <w:spacing w:after="120" w:before="20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Школ больше при сопоставимом плане продаж — это 1,5 школы на партнёра. Выручка и EBITDA ниже позитивного сценария v4 при большем числе школ — это снижение среднего абонемента действующей сети с 7 800 до 6 000 ₽, лаг открытия следующих школ и конверсия 85 % вместо 97 %.</w:t>
      </w:r>
    </w:p>
    <w:p>
      <w:pPr>
        <w:pBdr>
          <w:top w:val="single" w:color="D4D4D4" w:sz="2" w:space="6"/>
          <w:bottom w:val="single" w:color="D4D4D4" w:sz="2" w:space="6"/>
        </w:pBdr>
        <w:spacing w:after="60" w:before="140" w:line="260"/>
      </w:pPr>
      <w:r>
        <w:rPr>
          <w:rFonts w:ascii="Arial" w:cs="Arial" w:eastAsia="Arial" w:hAnsi="Arial"/>
          <w:b/>
          <w:bCs/>
          <w:i w:val="false"/>
          <w:iCs w:val="false"/>
          <w:color w:val="9E1B31"/>
          <w:sz w:val="20"/>
          <w:szCs w:val="20"/>
        </w:rPr>
        <w:t xml:space="preserve">Оговорка.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Метрику «дети на конец» из v4 сравнивать нельзя: в самом файле v4 базовый сценарий показывает 25 266 детей против 5 906 в позитивном — при меньшем числе школ и меньшей выручке. Это дефект расчёта старой модели, а не разница допущений.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6. Откуда план продаж 320 сделок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Вопрос законный: в v4 базовый план был 210 сделок за пять лет, стал 320 — рост в полтора раза. Разберём честно, откуда цифра и чем она подтверждается.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Откуда взялась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Прямо из ТЗ v6.011: «Годовые планы по пяти сезонам: 66, 72, 72, 60 и 50 проданных франшиз». Модель эту цифру не выводила — она принимает её как вводную от собственника. Это план, а не прогноз, и в таком качестве он в модели и стоит: 01_Вводные, ячейки B210:B214, меняется в одну минуту.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Что за планом стоит внутри модели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Единственное, что можно проверить расчётом, — воронка. Модель считает, чего план требует: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1928"/>
        <w:gridCol w:w="3084"/>
        <w:gridCol w:w="3084"/>
      </w:tblGrid>
      <w:tr>
        <w:trPr>
          <w:tblHeader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Сезон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Продаж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Лидов нужно (конверсия 3 %)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Маркетинг, 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66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2 200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14 764 333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72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2 400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13 482 668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72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2 400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13 791 392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2 000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12 450 455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1 667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8 740 912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320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10 667</w:t>
            </w:r>
          </w:p>
        </w:tc>
        <w:tc>
          <w:tcPr>
            <w:tcW w:type="dxa" w:w="3084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63 229 760</w:t>
            </w:r>
          </w:p>
        </w:tc>
      </w:tr>
    </w:tbl>
    <w:p>
      <w:pPr>
        <w:spacing w:after="120" w:before="20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То есть: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178 лидов в месяц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на протяжении пяти лет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63,2 млн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маркетинга — таргет 160 тыс. ₽ на будущую продажу плюс ежегодные размещения на БИБОСС, TopFranchise и Forbes по 250 тыс. ₽.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Это и есть первая проверка плана: не «верим ли мы в 66 продаж», а «обеспечиваем ли мы 2 200 заявок в первый сезон и держим ли конверсию 3 %».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Чем план не подтверждён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Фактом. За сезон 25/26 паушальных взносов начислено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62 922 ₽ за одиннадцать месяцев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при среднем паушальном 937 767 ₽ с НДС это меньше одной полной продажи. Помесячно: 34 000 ₽ в ноябре, 17 000 в декабре, дальше по 1–5 тыс. Похоже на задатки и частичные оплаты, а не на закрытые сделки.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Значит, план первого сезона в 66 продаж не опирается ни на один наблюдаемый месяц продаж. Это нужно понимать прямо, а не прятать.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На что можно апеллировать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Три аргумента в пользу плана, которые в данных есть:</w:t>
      </w:r>
    </w:p>
    <w:p>
      <w:pPr>
        <w:pStyle w:val="ListParagraph"/>
        <w:numPr>
          <w:ilvl w:val="0"/>
          <w:numId w:val="4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Сеть уже построена.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104 школы и 51 партнёр на сентябрь 2026 — канал продаж когда-то работал. Модель не знает, за сколько лет и с какой скоростью, но нулевой базы здесь нет.</w:t>
      </w:r>
    </w:p>
    <w:p>
      <w:pPr>
        <w:pStyle w:val="ListParagraph"/>
        <w:numPr>
          <w:ilvl w:val="0"/>
          <w:numId w:val="4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Партнёр расширяется сам.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Действующая сеть даёт 2,04 школы на партнёра. Часть роста сети не требует новых продаж вообще — именно поэтому в модели коэффициент 1,5.</w:t>
      </w:r>
    </w:p>
    <w:p>
      <w:pPr>
        <w:pStyle w:val="ListParagraph"/>
        <w:numPr>
          <w:ilvl w:val="0"/>
          <w:numId w:val="4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Маркетинг посчитан, а не предположен.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63,2 млн ₽ и 178 лидов в месяц — конкретное обязательство, которое можно сверять с фактом помесячно уже с первого месяца.</w:t>
      </w:r>
    </w:p>
    <w:p>
      <w:pPr>
        <w:spacing w:after="120" w:before="16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Три числа, которых не хватает, чтобы план стал доказуемым: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продажи франшиз помесячно за сезоны 24/25 и 25/26;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фактическая конверсия «лид → продажа» — в модели допущение 3 %;</w:t>
      </w:r>
    </w:p>
    <w:p>
      <w:pPr>
        <w:pStyle w:val="ListParagraph"/>
        <w:numPr>
          <w:ilvl w:val="0"/>
          <w:numId w:val="3"/>
        </w:numPr>
        <w:spacing w:after="6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фактическая стоимость лида — в модели 160 тыс. ₽ на будущую продажу.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Сколько стоит невыполнение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Модель к плану очень чувствительна. Если продажи окажутся на уровне базового плана v4 — 210 сделок вместо 320: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77"/>
        <w:gridCol w:w="2120"/>
        <w:gridCol w:w="2120"/>
        <w:gridCol w:w="2121"/>
      </w:tblGrid>
      <w:tr>
        <w:trPr>
          <w:tblHeader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Показатель за 5 лет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план 320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план 210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дельта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EBITDA,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599 036 354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359 920 135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−239 116 219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Активные школы на конец, шт.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451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276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−175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Деньги на конец,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400 539 937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218 852 454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−181 687 483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Минимальный остаток, ₽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+723 716</w:t>
            </w:r>
          </w:p>
        </w:tc>
        <w:tc>
          <w:tcPr>
            <w:tcW w:type="dxa" w:w="2120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−8 037 558</w:t>
            </w:r>
          </w:p>
        </w:tc>
        <w:tc>
          <w:tcPr>
            <w:tcW w:type="dxa" w:w="2121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разрыв возвращается</w:t>
            </w:r>
          </w:p>
        </w:tc>
      </w:tr>
    </w:tbl>
    <w:p>
      <w:pPr>
        <w:spacing w:after="120" w:before="20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Это главный вывод раздела: план продаж — не деталь оформления, а параметр, от которого зависит, нужно ли компании внешнее финансирование. При 320 сделках не нужно, при 210 — нужно.</w:t>
      </w:r>
    </w:p>
    <w:p>
      <w:pPr>
        <w:pStyle w:val="Heading1"/>
        <w:pBdr>
          <w:bottom w:val="single" w:color="9E1B31" w:sz="8" w:space="4"/>
        </w:pBdr>
        <w:spacing w:after="140" w:before="340"/>
      </w:pPr>
      <w:r>
        <w:rPr>
          <w:rFonts w:ascii="Arial" w:cs="Arial" w:eastAsia="Arial" w:hAnsi="Arial"/>
          <w:b/>
          <w:bCs/>
          <w:color w:val="9E1B31"/>
          <w:sz w:val="28"/>
          <w:szCs w:val="28"/>
        </w:rPr>
        <w:t xml:space="preserve">7. Что осталось открытым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Решает владелец модели, не расчёт.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Лаг открытия следующих школ партнёра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сейчас 3 месяца. Вилка EBITDA за пять лет: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1542"/>
        <w:gridCol w:w="1542"/>
        <w:gridCol w:w="1542"/>
        <w:gridCol w:w="1542"/>
        <w:gridCol w:w="1542"/>
      </w:tblGrid>
      <w:tr>
        <w:trPr>
          <w:tblHeader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Лаг, мес.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0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3 (сейчас)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shd w:fill="9E1B3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EBITDA за 5 лет, млн ₽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626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599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572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520</w:t>
            </w:r>
          </w:p>
        </w:tc>
        <w:tc>
          <w:tcPr>
            <w:tcW w:type="dxa" w:w="1542"/>
            <w:tcBorders>
              <w:top w:val="single" w:color="D4D4D4" w:sz="2"/>
              <w:left w:val="none"/>
              <w:bottom w:val="single" w:color="D4D4D4" w:sz="2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437</w:t>
            </w:r>
          </w:p>
        </w:tc>
      </w:tr>
    </w:tbl>
    <w:p>
      <w:pPr>
        <w:spacing w:after="120" w:before="120" w:line="2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Факт даёт только нижнюю границу: пять наблюдаемых вторых школ открылись через 0–3 месяца, но окно наблюдения — один сезон.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План продаж не подтверждён фактом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см. раздел 6. Нужны продажи помесячно за 24/25 и 25/26, фактическая конверсия лида и стоимость лида.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Кассовый разрыв в негативном сценарии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девять месяцев, до −7,5 млн ₽.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Месяцы закупок склада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квартальная закупка до цели одним платежом бьёт по кассе; помесячное пополнение сгладило бы её.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Когда включать лагеря.</w:t>
      </w:r>
    </w:p>
    <w:p>
      <w:pPr>
        <w:pStyle w:val="ListParagraph"/>
        <w:numPr>
          <w:ilvl w:val="0"/>
          <w:numId w:val="5"/>
        </w:numPr>
        <w:spacing w:after="6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P&amp;L за август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единственный недостающий месяц факта.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20"/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Финмодель УК «Спартак» · отличия от v4.0 ·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Чем текущая модель отличается от v4.0</dc:title>
  <dc:creator>Финмодель УК «Спартак»</dc:creator>
  <dc:description>Сравнение финансовой модели франшизы Спартак v4.0 с текущей моделью Spartak_V9_0</dc:description>
  <cp:lastModifiedBy>Un-named</cp:lastModifiedBy>
  <cp:revision>1</cp:revision>
  <dcterms:created xsi:type="dcterms:W3CDTF">2026-09-11T16:42:16.528Z</dcterms:created>
  <dcterms:modified xsi:type="dcterms:W3CDTF">2026-09-11T16:42:16.529Z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