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ФИНАНСОВАЯ МОДЕЛЬ УК «СПАРТАК»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9E1B31"/>
          <w:sz w:val="40"/>
          <w:szCs w:val="40"/>
        </w:rPr>
        <w:t xml:space="preserve">Чем текущая модель отличается от v4.0</w:t>
      </w:r>
    </w:p>
    <w:p>
      <w:pPr>
        <w:pBdr>
          <w:bottom w:val="single" w:color="9E1B31" w:sz="12" w:space="6"/>
        </w:pBdr>
        <w:spacing w:after="200"/>
      </w:pP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Сравнение файла «Финансовая модель франшизы Спартак v4.0» (15 листов, около 28 400 формул) с текущей моделью Spartak_V9_0.xlsx (11 листов, 22 510 формул). Состояние на 11 сентября 2026 года.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/>
              <w:left w:val="single" w:color="9E1B31" w:sz="18"/>
              <w:bottom w:val="none"/>
              <w:right w:val="none"/>
            </w:tcBorders>
            <w:shd w:fill="F5F5F5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6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Коротко.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Экономика франшизы осталась той же — паушальный взнос, роялти, мерч, доли ФК, займ 50 млн ₽. Изменились три вещи:</w:t>
            </w:r>
          </w:p>
          <w:p>
            <w:pPr>
              <w:spacing w:after="80" w:before="0" w:line="260"/>
              <w:ind w:left="2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из чего считается сеть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— партнёр перестал быть равен школе;</w:t>
            </w:r>
          </w:p>
          <w:p>
            <w:pPr>
              <w:spacing w:after="80" w:before="0" w:line="260"/>
              <w:ind w:left="2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на чём стоят доходные вводные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— факт реестра вместо круглых чисел;</w:t>
            </w:r>
          </w:p>
          <w:p>
            <w:pPr>
              <w:spacing w:after="0" w:before="0" w:line="260"/>
              <w:ind w:left="2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как устроена книга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— одно место ввода, один расчёт, проверяемый скриптом.</w:t>
            </w:r>
          </w:p>
        </w:tc>
      </w:tr>
    </w:tbl>
    <w:p>
      <w:pPr>
        <w:spacing w:after="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pStyle w:val="Heading1"/>
        <w:pBdr>
          <w:bottom w:val="single" w:color="9E1B31" w:sz="8" w:space="4"/>
        </w:pBdr>
        <w:spacing w:after="140" w:before="340"/>
      </w:pPr>
      <w:r>
        <w:rPr>
          <w:rFonts w:ascii="Arial" w:cs="Arial" w:eastAsia="Arial" w:hAnsi="Arial"/>
          <w:b/>
          <w:bCs/>
          <w:color w:val="9E1B31"/>
          <w:sz w:val="28"/>
          <w:szCs w:val="28"/>
        </w:rPr>
        <w:t xml:space="preserve">1. Структура файла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3855"/>
        <w:gridCol w:w="3855"/>
      </w:tblGrid>
      <w:tr>
        <w:trPr>
          <w:tblHeader/>
        </w:trPr>
        <w:tc>
          <w:tcPr>
            <w:tcW w:type="dxa" w:w="1928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v4.0</w:t>
            </w:r>
          </w:p>
        </w:tc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Сейчас</w:t>
            </w:r>
          </w:p>
        </w:tc>
      </w:tr>
      <w:tr>
        <w:tc>
          <w:tcPr>
            <w:tcW w:type="dxa" w:w="1928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Вводные</w:t>
            </w:r>
          </w:p>
        </w:tc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Размазаны по листам «Допущения», «План_продаж», «Типы_продукта», «Микс_продаж», «Штатное_расписание»</w:t>
            </w:r>
          </w:p>
        </w:tc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Все ручные вводные на листе 01_Вводные, больше нигде</w:t>
            </w:r>
          </w:p>
        </w:tc>
      </w:tr>
      <w:tr>
        <w:tc>
          <w:tcPr>
            <w:tcW w:type="dxa" w:w="1928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Сценарии</w:t>
            </w:r>
          </w:p>
        </w:tc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Три полных помесячных листа, считаются всегда</w:t>
            </w:r>
          </w:p>
        </w:tc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Один расчёт и переключатель на дашборде; сравнение трёх сценариев считается отдельно</w:t>
            </w:r>
          </w:p>
        </w:tc>
      </w:tr>
      <w:tr>
        <w:tc>
          <w:tcPr>
            <w:tcW w:type="dxa" w:w="1928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Именованные диапазоны</w:t>
            </w:r>
          </w:p>
        </w:tc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Нет</w:t>
            </w:r>
          </w:p>
        </w:tc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203 имени — формулы читаются словами, а не адресами</w:t>
            </w:r>
          </w:p>
        </w:tc>
      </w:tr>
      <w:tr>
        <w:tc>
          <w:tcPr>
            <w:tcW w:type="dxa" w:w="1928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Правка модели</w:t>
            </w:r>
          </w:p>
        </w:tc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Вручную в ячейках</w:t>
            </w:r>
          </w:p>
        </w:tc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Скриптом: правка видна в диффе и откатывается</w:t>
            </w:r>
          </w:p>
        </w:tc>
      </w:tr>
      <w:tr>
        <w:tc>
          <w:tcPr>
            <w:tcW w:type="dxa" w:w="1928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Проверки</w:t>
            </w:r>
          </w:p>
        </w:tc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Лист «Проверка_модели», 54 формулы</w:t>
            </w:r>
          </w:p>
        </w:tc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Лист 08_Проверки, 55 автотестов и мутационная самопроверка на 13 подсаженных дефектов</w:t>
            </w:r>
          </w:p>
        </w:tc>
      </w:tr>
    </w:tbl>
    <w:p>
      <w:pPr>
        <w:spacing w:after="120" w:before="160" w:line="2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В v4 одну вводную приходилось менять в трёх-четырёх местах, и расхождение между сценарными листами ничем не ловилось. Сейчас вводная одна, а расхождение витрины и расчётного движка ловят проверки.</w:t>
      </w:r>
    </w:p>
    <w:p>
      <w:pPr>
        <w:pStyle w:val="Heading1"/>
        <w:pBdr>
          <w:bottom w:val="single" w:color="9E1B31" w:sz="8" w:space="4"/>
        </w:pBdr>
        <w:spacing w:after="140" w:before="340"/>
      </w:pPr>
      <w:r>
        <w:rPr>
          <w:rFonts w:ascii="Arial" w:cs="Arial" w:eastAsia="Arial" w:hAnsi="Arial"/>
          <w:b/>
          <w:bCs/>
          <w:color w:val="9E1B31"/>
          <w:sz w:val="28"/>
          <w:szCs w:val="28"/>
        </w:rPr>
        <w:t xml:space="preserve">2. Что изменилось в допущениях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Календарь и план продаж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99"/>
        <w:gridCol w:w="3470"/>
        <w:gridCol w:w="3469"/>
      </w:tblGrid>
      <w:tr>
        <w:trPr>
          <w:tblHeader/>
        </w:trPr>
        <w:tc>
          <w:tcPr>
            <w:tcW w:type="dxa" w:w="2699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47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v4.0</w:t>
            </w:r>
          </w:p>
        </w:tc>
        <w:tc>
          <w:tcPr>
            <w:tcW w:type="dxa" w:w="3469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Сейчас</w:t>
            </w:r>
          </w:p>
        </w:tc>
      </w:tr>
      <w:tr>
        <w:tc>
          <w:tcPr>
            <w:tcW w:type="dxa" w:w="2699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Старт модели</w:t>
            </w:r>
          </w:p>
        </w:tc>
        <w:tc>
          <w:tcPr>
            <w:tcW w:type="dxa" w:w="347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01.08.2026, сезон август — июль</w:t>
            </w:r>
          </w:p>
        </w:tc>
        <w:tc>
          <w:tcPr>
            <w:tcW w:type="dxa" w:w="3469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01.09.2026, сезон сентябрь — август; считается от любой даты старта</w:t>
            </w:r>
          </w:p>
        </w:tc>
      </w:tr>
      <w:tr>
        <w:tc>
          <w:tcPr>
            <w:tcW w:type="dxa" w:w="2699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План продаж, базовый</w:t>
            </w:r>
          </w:p>
        </w:tc>
        <w:tc>
          <w:tcPr>
            <w:tcW w:type="dxa" w:w="347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37,8 / 43 / 43 / 43 / 43 = 210 сделок</w:t>
            </w:r>
          </w:p>
        </w:tc>
        <w:tc>
          <w:tcPr>
            <w:tcW w:type="dxa" w:w="3469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66 / 72 / 72 / 60 / 50 = 320 сделок</w:t>
            </w:r>
          </w:p>
        </w:tc>
      </w:tr>
      <w:tr>
        <w:tc>
          <w:tcPr>
            <w:tcW w:type="dxa" w:w="2699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План продаж, позитивный</w:t>
            </w:r>
          </w:p>
        </w:tc>
        <w:tc>
          <w:tcPr>
            <w:tcW w:type="dxa" w:w="347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63,4 / 72 / 72 / 60 / 50 = 317 сделок</w:t>
            </w:r>
          </w:p>
        </w:tc>
        <w:tc>
          <w:tcPr>
            <w:tcW w:type="dxa" w:w="3469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 w:before="160" w:line="2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Текущий базовый план — это бывший позитивный сценарий v4.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Сравнивать сегодняшнюю базу корректно с колонкой «Позитивный» старого файла.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Стартовая сеть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99"/>
        <w:gridCol w:w="3470"/>
        <w:gridCol w:w="3469"/>
      </w:tblGrid>
      <w:tr>
        <w:trPr>
          <w:tblHeader/>
        </w:trPr>
        <w:tc>
          <w:tcPr>
            <w:tcW w:type="dxa" w:w="2699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47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v4.0</w:t>
            </w:r>
          </w:p>
        </w:tc>
        <w:tc>
          <w:tcPr>
            <w:tcW w:type="dxa" w:w="3469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Сейчас</w:t>
            </w:r>
          </w:p>
        </w:tc>
      </w:tr>
      <w:tr>
        <w:tc>
          <w:tcPr>
            <w:tcW w:type="dxa" w:w="2699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Действующие школы</w:t>
            </w:r>
          </w:p>
        </w:tc>
        <w:tc>
          <w:tcPr>
            <w:tcW w:type="dxa" w:w="347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51</w:t>
            </w:r>
          </w:p>
        </w:tc>
        <w:tc>
          <w:tcPr>
            <w:tcW w:type="dxa" w:w="3469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104 (по реестру сети)</w:t>
            </w:r>
          </w:p>
        </w:tc>
      </w:tr>
      <w:tr>
        <w:tc>
          <w:tcPr>
            <w:tcW w:type="dxa" w:w="2699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Действующие юрлица</w:t>
            </w:r>
          </w:p>
        </w:tc>
        <w:tc>
          <w:tcPr>
            <w:tcW w:type="dxa" w:w="347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Отдельно не считались: школа = юрлицо</w:t>
            </w:r>
          </w:p>
        </w:tc>
        <w:tc>
          <w:tcPr>
            <w:tcW w:type="dxa" w:w="3469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51</w:t>
            </w:r>
          </w:p>
        </w:tc>
      </w:tr>
      <w:tr>
        <w:tc>
          <w:tcPr>
            <w:tcW w:type="dxa" w:w="2699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Дети действующей сети</w:t>
            </w:r>
          </w:p>
        </w:tc>
        <w:tc>
          <w:tcPr>
            <w:tcW w:type="dxa" w:w="347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51 × 100 = 5 100 (допущение)</w:t>
            </w:r>
          </w:p>
        </w:tc>
        <w:tc>
          <w:tcPr>
            <w:tcW w:type="dxa" w:w="3469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5 200 (по реестру)</w:t>
            </w:r>
          </w:p>
        </w:tc>
      </w:tr>
    </w:tbl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Доходные вводные действующей сети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99"/>
        <w:gridCol w:w="3470"/>
        <w:gridCol w:w="3469"/>
      </w:tblGrid>
      <w:tr>
        <w:trPr>
          <w:tblHeader/>
        </w:trPr>
        <w:tc>
          <w:tcPr>
            <w:tcW w:type="dxa" w:w="2699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47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v4.0</w:t>
            </w:r>
          </w:p>
        </w:tc>
        <w:tc>
          <w:tcPr>
            <w:tcW w:type="dxa" w:w="3469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Сейчас</w:t>
            </w:r>
          </w:p>
        </w:tc>
      </w:tr>
      <w:tr>
        <w:tc>
          <w:tcPr>
            <w:tcW w:type="dxa" w:w="2699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Средний абонемент</w:t>
            </w:r>
          </w:p>
        </w:tc>
        <w:tc>
          <w:tcPr>
            <w:tcW w:type="dxa" w:w="347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7 800 ₽</w:t>
            </w:r>
          </w:p>
        </w:tc>
        <w:tc>
          <w:tcPr>
            <w:tcW w:type="dxa" w:w="3469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6 000 ₽ (подтверждено владельцем)</w:t>
            </w:r>
          </w:p>
        </w:tc>
      </w:tr>
      <w:tr>
        <w:tc>
          <w:tcPr>
            <w:tcW w:type="dxa" w:w="2699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Минимальный роялти</w:t>
            </w:r>
          </w:p>
        </w:tc>
        <w:tc>
          <w:tcPr>
            <w:tcW w:type="dxa" w:w="347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17 500 ₽ на школу, одним котлом</w:t>
            </w:r>
          </w:p>
        </w:tc>
        <w:tc>
          <w:tcPr>
            <w:tcW w:type="dxa" w:w="3469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Пять групп точек начисления: только фикс, только процент, максимум из двух и так далее. Средний фикс 17 246 ₽ на точку</w:t>
            </w:r>
          </w:p>
        </w:tc>
      </w:tr>
    </w:tbl>
    <w:p>
      <w:pPr>
        <w:spacing w:after="120" w:before="160" w:line="2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Расчёт по группам воспроизводит фактический реестр начислений за август 2026 с точностью 0,1 %. Котёл «школы, умноженные на ставку» давал на том же реестре заметную ошибку в обе стороны.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Мерч и склад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77"/>
        <w:gridCol w:w="3181"/>
        <w:gridCol w:w="3180"/>
      </w:tblGrid>
      <w:tr>
        <w:trPr>
          <w:tblHeader/>
        </w:trPr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181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v4.0</w:t>
            </w:r>
          </w:p>
        </w:tc>
        <w:tc>
          <w:tcPr>
            <w:tcW w:type="dxa" w:w="318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Сейчас</w:t>
            </w:r>
          </w:p>
        </w:tc>
      </w:tr>
      <w:tr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Себестоимость комплекта</w:t>
            </w:r>
          </w:p>
        </w:tc>
        <w:tc>
          <w:tcPr>
            <w:tcW w:type="dxa" w:w="3181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4 400 ₽</w:t>
            </w:r>
          </w:p>
        </w:tc>
        <w:tc>
          <w:tcPr>
            <w:tcW w:type="dxa" w:w="318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2 100 ₽</w:t>
            </w:r>
          </w:p>
        </w:tc>
      </w:tr>
      <w:tr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Наценка</w:t>
            </w:r>
          </w:p>
        </w:tc>
        <w:tc>
          <w:tcPr>
            <w:tcW w:type="dxa" w:w="3181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70 %</w:t>
            </w:r>
          </w:p>
        </w:tc>
        <w:tc>
          <w:tcPr>
            <w:tcW w:type="dxa" w:w="318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85 % (расчётная цена 3 885 ₽)</w:t>
            </w:r>
          </w:p>
        </w:tc>
      </w:tr>
      <w:tr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Коэффициент формы</w:t>
            </w:r>
          </w:p>
        </w:tc>
        <w:tc>
          <w:tcPr>
            <w:tcW w:type="dxa" w:w="3181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1,2 комплекта на ребёнка за сезон</w:t>
            </w:r>
          </w:p>
        </w:tc>
        <w:tc>
          <w:tcPr>
            <w:tcW w:type="dxa" w:w="318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Без изменений</w:t>
            </w:r>
          </w:p>
        </w:tc>
      </w:tr>
      <w:tr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Целевой запас</w:t>
            </w:r>
          </w:p>
        </w:tc>
        <w:tc>
          <w:tcPr>
            <w:tcW w:type="dxa" w:w="3181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4 месяца; вводная ни на что не влияла</w:t>
            </w:r>
          </w:p>
        </w:tc>
        <w:tc>
          <w:tcPr>
            <w:tcW w:type="dxa" w:w="318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3 месяца будущих продаж, закупка до цели четыре раза в год</w:t>
            </w:r>
          </w:p>
        </w:tc>
      </w:tr>
      <w:tr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Доля себестоимости на погашение займа</w:t>
            </w:r>
          </w:p>
        </w:tc>
        <w:tc>
          <w:tcPr>
            <w:tcW w:type="dxa" w:w="3181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50 %</w:t>
            </w:r>
          </w:p>
        </w:tc>
        <w:tc>
          <w:tcPr>
            <w:tcW w:type="dxa" w:w="318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60 %</w:t>
            </w:r>
          </w:p>
        </w:tc>
      </w:tr>
      <w:tr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Стартовый склад и займ ФК</w:t>
            </w:r>
          </w:p>
        </w:tc>
        <w:tc>
          <w:tcPr>
            <w:tcW w:type="dxa" w:w="3181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50 млн ₽ и 50 млн ₽</w:t>
            </w:r>
          </w:p>
        </w:tc>
        <w:tc>
          <w:tcPr>
            <w:tcW w:type="dxa" w:w="318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Без изменений</w:t>
            </w:r>
          </w:p>
        </w:tc>
      </w:tr>
    </w:tbl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Ставки, налоги, доли ФК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55"/>
        <w:gridCol w:w="2891"/>
        <w:gridCol w:w="2892"/>
      </w:tblGrid>
      <w:tr>
        <w:trPr>
          <w:tblHeader/>
        </w:trPr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2891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v4.0</w:t>
            </w:r>
          </w:p>
        </w:tc>
        <w:tc>
          <w:tcPr>
            <w:tcW w:type="dxa" w:w="2892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Сейчас</w:t>
            </w:r>
          </w:p>
        </w:tc>
      </w:tr>
      <w:tr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Роялти: действующие и продажи до 31.12.2026</w:t>
            </w:r>
          </w:p>
        </w:tc>
        <w:tc>
          <w:tcPr>
            <w:tcW w:type="dxa" w:w="2891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6,5 %</w:t>
            </w:r>
          </w:p>
        </w:tc>
        <w:tc>
          <w:tcPr>
            <w:tcW w:type="dxa" w:w="2892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Без изменений</w:t>
            </w:r>
          </w:p>
        </w:tc>
      </w:tr>
      <w:tr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Роялти: новые партнёры с 01.01.2027</w:t>
            </w:r>
          </w:p>
        </w:tc>
        <w:tc>
          <w:tcPr>
            <w:tcW w:type="dxa" w:w="2891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8,5 %</w:t>
            </w:r>
          </w:p>
        </w:tc>
        <w:tc>
          <w:tcPr>
            <w:tcW w:type="dxa" w:w="2892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Без изменений</w:t>
            </w:r>
          </w:p>
        </w:tc>
      </w:tr>
      <w:tr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Общее повышение до 10 %</w:t>
            </w:r>
          </w:p>
        </w:tc>
        <w:tc>
          <w:tcPr>
            <w:tcW w:type="dxa" w:w="2891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с 01.10.2030</w:t>
            </w:r>
          </w:p>
        </w:tc>
        <w:tc>
          <w:tcPr>
            <w:tcW w:type="dxa" w:w="2892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с 01.01.2030 (по ТЗ)</w:t>
            </w:r>
          </w:p>
        </w:tc>
      </w:tr>
      <w:tr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Каникулы по роялти новых партнёров</w:t>
            </w:r>
          </w:p>
        </w:tc>
        <w:tc>
          <w:tcPr>
            <w:tcW w:type="dxa" w:w="2891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2 месяца</w:t>
            </w:r>
          </w:p>
        </w:tc>
        <w:tc>
          <w:tcPr>
            <w:tcW w:type="dxa" w:w="2892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0; штатный параметр B297</w:t>
            </w:r>
          </w:p>
        </w:tc>
      </w:tr>
      <w:tr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Доли ФК: паушальный / роялти / прибыль мерча</w:t>
            </w:r>
          </w:p>
        </w:tc>
        <w:tc>
          <w:tcPr>
            <w:tcW w:type="dxa" w:w="2891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35 % / 10 % / 35 %</w:t>
            </w:r>
          </w:p>
        </w:tc>
        <w:tc>
          <w:tcPr>
            <w:tcW w:type="dxa" w:w="2892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Без изменений</w:t>
            </w:r>
          </w:p>
        </w:tc>
      </w:tr>
      <w:tr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НДС и УСН</w:t>
            </w:r>
          </w:p>
        </w:tc>
        <w:tc>
          <w:tcPr>
            <w:tcW w:type="dxa" w:w="2891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5 %; 15 % с минимумом 1 %</w:t>
            </w:r>
          </w:p>
        </w:tc>
        <w:tc>
          <w:tcPr>
            <w:tcW w:type="dxa" w:w="2892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Без изменений</w:t>
            </w:r>
          </w:p>
        </w:tc>
      </w:tr>
      <w:tr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Страховые взносы</w:t>
            </w:r>
          </w:p>
        </w:tc>
        <w:tc>
          <w:tcPr>
            <w:tcW w:type="dxa" w:w="2891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Предельная база 2 979 000 ₽: 30 % до и 15,1 % сверх</w:t>
            </w:r>
          </w:p>
        </w:tc>
        <w:tc>
          <w:tcPr>
            <w:tcW w:type="dxa" w:w="2892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Плоские 30 %, льгот нет (решение владельца)</w:t>
            </w:r>
          </w:p>
        </w:tc>
      </w:tr>
      <w:tr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ERP</w:t>
            </w:r>
          </w:p>
        </w:tc>
        <w:tc>
          <w:tcPr>
            <w:tcW w:type="dxa" w:w="2891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180 000 ₽ при 60 школах и 3 000 ₽ за школу сверх</w:t>
            </w:r>
          </w:p>
        </w:tc>
        <w:tc>
          <w:tcPr>
            <w:tcW w:type="dxa" w:w="2892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80 000 ₽ при 104 школах и 3 000 ₽ за новую</w:t>
            </w:r>
          </w:p>
        </w:tc>
      </w:tr>
      <w:tr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ФОТ ядра УК</w:t>
            </w:r>
          </w:p>
        </w:tc>
        <w:tc>
          <w:tcPr>
            <w:tcW w:type="dxa" w:w="2891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3 058 402 ₽ в месяц</w:t>
            </w:r>
          </w:p>
        </w:tc>
        <w:tc>
          <w:tcPr>
            <w:tcW w:type="dxa" w:w="2892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Без изменений</w:t>
            </w:r>
          </w:p>
        </w:tc>
      </w:tr>
    </w:tbl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Что перестало быть сценарным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В v4 сценарий двигал конверсию открытия (85 / 95 / 97 %), закрытия школ (5 / 3 / 2 %) и рост детей действующей сети (5 / 7 / 10 %). Сейчас это штатные вводные с одним значением для всех сценариев: конверсия 100 %, закрытия 3 % в год, рост 10 % в год.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Сценарий двигает объём продаж, набор детей и цену — то, что действительно неизвестно, а не механику расчёта.</w:t>
      </w:r>
    </w:p>
    <w:p>
      <w:pPr>
        <w:pStyle w:val="Heading1"/>
        <w:pBdr>
          <w:bottom w:val="single" w:color="9E1B31" w:sz="8" w:space="4"/>
        </w:pBdr>
        <w:spacing w:after="140" w:before="340"/>
      </w:pPr>
      <w:r>
        <w:rPr>
          <w:rFonts w:ascii="Arial" w:cs="Arial" w:eastAsia="Arial" w:hAnsi="Arial"/>
          <w:b/>
          <w:bCs/>
          <w:color w:val="9E1B31"/>
          <w:sz w:val="28"/>
          <w:szCs w:val="28"/>
        </w:rPr>
        <w:t xml:space="preserve">3. Что изменилось в логике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Партнёр не равен школе — главное структурное изменение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В v4 одна продажа давала одну школу. Сейчас один партнёр открывает 1,5 школы, и не разом: первая — через лаг «продажа → открытие» (2 месяца), следующие — ещё через 3 месяца. Отсюда и расхождение в размере сети: 320 продаж дают не 320 школ, а около 480 открытий до закрытий.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Лаг открытия следующих школ решает многое: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1542"/>
        <w:gridCol w:w="1542"/>
        <w:gridCol w:w="1542"/>
        <w:gridCol w:w="1542"/>
        <w:gridCol w:w="1542"/>
      </w:tblGrid>
      <w:tr>
        <w:trPr>
          <w:tblHeader/>
        </w:trPr>
        <w:tc>
          <w:tcPr>
            <w:tcW w:type="dxa" w:w="1928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Лаг, мес.</w:t>
            </w:r>
          </w:p>
        </w:tc>
        <w:tc>
          <w:tcPr>
            <w:tcW w:type="dxa" w:w="1542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0</w:t>
            </w:r>
          </w:p>
        </w:tc>
        <w:tc>
          <w:tcPr>
            <w:tcW w:type="dxa" w:w="1542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3 (сейчас)</w:t>
            </w:r>
          </w:p>
        </w:tc>
        <w:tc>
          <w:tcPr>
            <w:tcW w:type="dxa" w:w="1542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6</w:t>
            </w:r>
          </w:p>
        </w:tc>
        <w:tc>
          <w:tcPr>
            <w:tcW w:type="dxa" w:w="1542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12</w:t>
            </w:r>
          </w:p>
        </w:tc>
        <w:tc>
          <w:tcPr>
            <w:tcW w:type="dxa" w:w="1542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24</w:t>
            </w:r>
          </w:p>
        </w:tc>
      </w:tr>
      <w:tr>
        <w:tc>
          <w:tcPr>
            <w:tcW w:type="dxa" w:w="1928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EBITDA за 5 лет, млн ₽</w:t>
            </w:r>
          </w:p>
        </w:tc>
        <w:tc>
          <w:tcPr>
            <w:tcW w:type="dxa" w:w="1542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763</w:t>
            </w:r>
          </w:p>
        </w:tc>
        <w:tc>
          <w:tcPr>
            <w:tcW w:type="dxa" w:w="1542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731</w:t>
            </w:r>
          </w:p>
        </w:tc>
        <w:tc>
          <w:tcPr>
            <w:tcW w:type="dxa" w:w="1542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700</w:t>
            </w:r>
          </w:p>
        </w:tc>
        <w:tc>
          <w:tcPr>
            <w:tcW w:type="dxa" w:w="1542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638</w:t>
            </w:r>
          </w:p>
        </w:tc>
        <w:tc>
          <w:tcPr>
            <w:tcW w:type="dxa" w:w="1542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541</w:t>
            </w:r>
          </w:p>
        </w:tc>
      </w:tr>
    </w:tbl>
    <w:p>
      <w:pPr>
        <w:spacing w:after="120" w:before="160" w:line="2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Факт даёт только нижнюю границу: пять наблюдаемых вторых школ открылись через 0–3 месяца, но окно наблюдения — один сезон. Параметр остаётся на решении владельца модели.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Постепенный набор детей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Принцип v4 сохранён: школа выходит на мощность этапами 1–12 месяцев, 13–24 месяца, зрелая (от 75 до 165 детей при полной загрузке). Заменён способ расчёта — вместо длинной формулы в помесячном листе используются когорты школ. Принцип роста не изменился.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Тарифная матрица работает помесячно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Матрица «5 территорий × 4 формата» (паушальный от 390 тыс. до 1 490 тыс. ₽, дети от 12,5 до 250 на школу) была и в v4, но взвешенное среднее было статичным. Сейчас оно индексируется инфляцией помесячно вместе с ценами и расходами: паушальный 937 767 ₽ с НДС в первом сезоне, дальше по индексу.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Кассовый разрыв закрывается правилом, а не деньгами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В v4 отрицательный остаток закрывался строкой «Привлечено внешнего финансирования» — 4,5 млн ₽ в базовом сценарии и 26,4 млн ₽ в негативном. Откуда эти деньги и по какой ставке, модель не говорила.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Сейчас такой строки нет: овердрафт владелец решил не заводить. Вместо неё действует ограничение — клубу возвращаем займ только тем, что остаётся сверх 10 млн ₽ на счёте и сверх резерва на ближайшую сезонную просадку. Результат: минимальный остаток за 60 месяцев +894 718 ₽, отрицательных месяцев нет, клубу возвращаются те же 50 млн ₽.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В негативном сценарии разрыв остаётся — девять месяцев, до −7,5 млн ₽. Там он операционный, и это открытый вопрос к владельцу.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БДР и БДДС разведены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В v4 начисление и деньги жили в одном помесячном листе. Сейчас это разные блоки, а расхождение между ними объясняется складом, займом и авансами. Сходимость проверяется формулой «мост от EBITDA к денежному потоку»: контроль должен давать ноль.</w:t>
      </w:r>
    </w:p>
    <w:p>
      <w:pPr>
        <w:pStyle w:val="Heading1"/>
        <w:pBdr>
          <w:bottom w:val="single" w:color="9E1B31" w:sz="8" w:space="4"/>
        </w:pBdr>
        <w:spacing w:after="140" w:before="340"/>
      </w:pPr>
      <w:r>
        <w:rPr>
          <w:rFonts w:ascii="Arial" w:cs="Arial" w:eastAsia="Arial" w:hAnsi="Arial"/>
          <w:b/>
          <w:bCs/>
          <w:color w:val="9E1B31"/>
          <w:sz w:val="28"/>
          <w:szCs w:val="28"/>
        </w:rPr>
        <w:t xml:space="preserve">4. Что добавилось, чего в v4 не было</w:t>
      </w:r>
    </w:p>
    <w:p>
      <w:pPr>
        <w:pStyle w:val="ListParagraph"/>
        <w:numPr>
          <w:ilvl w:val="0"/>
          <w:numId w:val="2"/>
        </w:numPr>
        <w:spacing w:after="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Лагеря — участники, выручка, расходы, авансы и проживание. Сейчас выключены и ждут решения владельца.</w:t>
      </w:r>
    </w:p>
    <w:p>
      <w:pPr>
        <w:pStyle w:val="ListParagraph"/>
        <w:numPr>
          <w:ilvl w:val="0"/>
          <w:numId w:val="2"/>
        </w:numPr>
        <w:spacing w:after="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Факт сезона 25/26 — помесячный P&amp;L за сентябрь 2025 — июль 2026 и реестр начислений за октябрь 2025 — август 2026. Выручка 26,44 млн ₽, EBITDA −23,68 млн ₽. Включается в итог переключателем на дашборде.</w:t>
      </w:r>
    </w:p>
    <w:p>
      <w:pPr>
        <w:pStyle w:val="ListParagraph"/>
        <w:numPr>
          <w:ilvl w:val="0"/>
          <w:numId w:val="2"/>
        </w:numPr>
        <w:spacing w:after="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Чувствительность — отдельный расчёт по шести драйверам.</w:t>
      </w:r>
    </w:p>
    <w:p>
      <w:pPr>
        <w:pStyle w:val="ListParagraph"/>
        <w:numPr>
          <w:ilvl w:val="0"/>
          <w:numId w:val="2"/>
        </w:numPr>
        <w:spacing w:after="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Расчёт от любой даты старта: веса плана продаж и согласованный мерч ищутся по календарю, а не по номеру столбца.</w:t>
      </w:r>
    </w:p>
    <w:p>
      <w:pPr>
        <w:pStyle w:val="Heading1"/>
        <w:pBdr>
          <w:bottom w:val="single" w:color="9E1B31" w:sz="8" w:space="4"/>
        </w:pBdr>
        <w:spacing w:after="140" w:before="340"/>
      </w:pPr>
      <w:r>
        <w:rPr>
          <w:rFonts w:ascii="Arial" w:cs="Arial" w:eastAsia="Arial" w:hAnsi="Arial"/>
          <w:b/>
          <w:bCs/>
          <w:color w:val="9E1B31"/>
          <w:sz w:val="28"/>
          <w:szCs w:val="28"/>
        </w:rPr>
        <w:t xml:space="preserve">5. Результаты: было и стало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Базовый сценарий сегодня соответствует позитивному плану v4 — 320 продаж против 317, — поэтому даны обе колонки старого файла.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77"/>
        <w:gridCol w:w="2120"/>
        <w:gridCol w:w="2120"/>
        <w:gridCol w:w="2121"/>
      </w:tblGrid>
      <w:tr>
        <w:trPr>
          <w:tblHeader/>
        </w:trPr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Показатель за 5 лет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v4 «Базовый»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v4 «Позитивный»</w:t>
            </w:r>
          </w:p>
        </w:tc>
        <w:tc>
          <w:tcPr>
            <w:tcW w:type="dxa" w:w="2121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Сейчас «Базовый»</w:t>
            </w:r>
          </w:p>
        </w:tc>
      </w:tr>
      <w:tr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Продано франшиз, шт.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210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317</w:t>
            </w:r>
          </w:p>
        </w:tc>
        <w:tc>
          <w:tcPr>
            <w:tcW w:type="dxa" w:w="2121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320</w:t>
            </w:r>
          </w:p>
        </w:tc>
      </w:tr>
      <w:tr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Активные школы на конец, шт.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229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338</w:t>
            </w:r>
          </w:p>
        </w:tc>
        <w:tc>
          <w:tcPr>
            <w:tcW w:type="dxa" w:w="2121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515</w:t>
            </w:r>
          </w:p>
        </w:tc>
      </w:tr>
      <w:tr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Выручка УК без НДС, ₽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1 537 338 920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2 415 023 533</w:t>
            </w:r>
          </w:p>
        </w:tc>
        <w:tc>
          <w:tcPr>
            <w:tcW w:type="dxa" w:w="2121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2 181 352 193</w:t>
            </w:r>
          </w:p>
        </w:tc>
      </w:tr>
      <w:tr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EBITDA, ₽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382 900 614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800 830 838</w:t>
            </w:r>
          </w:p>
        </w:tc>
        <w:tc>
          <w:tcPr>
            <w:tcW w:type="dxa" w:w="2121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731 487 728</w:t>
            </w:r>
          </w:p>
        </w:tc>
      </w:tr>
      <w:tr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Рентабельность EBITDA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24,9 %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33,2 %</w:t>
            </w:r>
          </w:p>
        </w:tc>
        <w:tc>
          <w:tcPr>
            <w:tcW w:type="dxa" w:w="2121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33,5 %</w:t>
            </w:r>
          </w:p>
        </w:tc>
      </w:tr>
      <w:tr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Деньги на конец, ₽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299 662 194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641 909 558</w:t>
            </w:r>
          </w:p>
        </w:tc>
        <w:tc>
          <w:tcPr>
            <w:tcW w:type="dxa" w:w="2121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498 613 411</w:t>
            </w:r>
          </w:p>
        </w:tc>
      </w:tr>
      <w:tr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Внешнее финансирование, ₽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4 474 785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4 960 581</w:t>
            </w:r>
          </w:p>
        </w:tc>
        <w:tc>
          <w:tcPr>
            <w:tcW w:type="dxa" w:w="2121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Погашение займа ФК, ₽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50 000 000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50 000 000</w:t>
            </w:r>
          </w:p>
        </w:tc>
        <w:tc>
          <w:tcPr>
            <w:tcW w:type="dxa" w:w="2121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50 000 000</w:t>
            </w:r>
          </w:p>
        </w:tc>
      </w:tr>
    </w:tbl>
    <w:p>
      <w:pPr>
        <w:spacing w:after="120" w:before="20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Школ больше при сопоставимом плане продаж — это 1,5 школы на партнёра. Выручка и EBITDA ниже позитивного сценария v4 при большем числе школ — это снижение среднего абонемента действующей сети с 7 800 до 6 000 ₽ и лаг открытия следующих школ.</w:t>
      </w:r>
    </w:p>
    <w:p>
      <w:pPr>
        <w:pBdr>
          <w:top w:val="single" w:color="D4D4D4" w:sz="2" w:space="6"/>
          <w:bottom w:val="single" w:color="D4D4D4" w:sz="2" w:space="6"/>
        </w:pBdr>
        <w:spacing w:after="60" w:before="140" w:line="260"/>
      </w:pPr>
      <w:r>
        <w:rPr>
          <w:rFonts w:ascii="Arial" w:cs="Arial" w:eastAsia="Arial" w:hAnsi="Arial"/>
          <w:b/>
          <w:bCs/>
          <w:i w:val="false"/>
          <w:iCs w:val="false"/>
          <w:color w:val="9E1B31"/>
          <w:sz w:val="20"/>
          <w:szCs w:val="20"/>
        </w:rPr>
        <w:t xml:space="preserve">Оговорка.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Метрику «дети на конец» из v4 сравнивать нельзя: в самом файле v4 базовый сценарий показывает 25 266 детей против 5 906 в позитивном — при меньшем числе школ и меньшей выручке. Это дефект расчёта старой модели, а не разница допущений.</w:t>
      </w:r>
    </w:p>
    <w:p>
      <w:pPr>
        <w:pStyle w:val="Heading1"/>
        <w:pBdr>
          <w:bottom w:val="single" w:color="9E1B31" w:sz="8" w:space="4"/>
        </w:pBdr>
        <w:spacing w:after="140" w:before="340"/>
      </w:pPr>
      <w:r>
        <w:rPr>
          <w:rFonts w:ascii="Arial" w:cs="Arial" w:eastAsia="Arial" w:hAnsi="Arial"/>
          <w:b/>
          <w:bCs/>
          <w:color w:val="9E1B31"/>
          <w:sz w:val="28"/>
          <w:szCs w:val="28"/>
        </w:rPr>
        <w:t xml:space="preserve">6. Что осталось открытым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Решает владелец модели, не расчёт.</w:t>
      </w:r>
    </w:p>
    <w:p>
      <w:pPr>
        <w:pStyle w:val="ListParagraph"/>
        <w:numPr>
          <w:ilvl w:val="0"/>
          <w:numId w:val="3"/>
        </w:numPr>
        <w:spacing w:after="6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Лаг открытия следующих школ партнёра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сейчас 3 месяца. Вилка EBITDA от 541 до 763 млн ₽.</w:t>
      </w:r>
    </w:p>
    <w:p>
      <w:pPr>
        <w:pStyle w:val="ListParagraph"/>
        <w:numPr>
          <w:ilvl w:val="0"/>
          <w:numId w:val="3"/>
        </w:numPr>
        <w:spacing w:after="6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База выручки действующей сети занижена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модель считает 272 млн ₽ за год, факт сезона 25/26 составил 417 млн ₽. Средний чек подтверждён, значит расходится число детей или профиль летней сезонности: индекс посещаемости падает до 6 %, а фактическая выручка июля — августа держится на уровне марта.</w:t>
      </w:r>
    </w:p>
    <w:p>
      <w:pPr>
        <w:pStyle w:val="ListParagraph"/>
        <w:numPr>
          <w:ilvl w:val="0"/>
          <w:numId w:val="3"/>
        </w:numPr>
        <w:spacing w:after="6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Кассовый разрыв в негативном сценарии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девять месяцев, до −7,5 млн ₽.</w:t>
      </w:r>
    </w:p>
    <w:p>
      <w:pPr>
        <w:pStyle w:val="ListParagraph"/>
        <w:numPr>
          <w:ilvl w:val="0"/>
          <w:numId w:val="3"/>
        </w:numPr>
        <w:spacing w:after="6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Месяцы закупок склада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квартальная закупка до цели одним платежом бьёт по кассе; помесячное пополнение сгладило бы её.</w:t>
      </w:r>
    </w:p>
    <w:p>
      <w:pPr>
        <w:pStyle w:val="ListParagraph"/>
        <w:numPr>
          <w:ilvl w:val="0"/>
          <w:numId w:val="3"/>
        </w:numPr>
        <w:spacing w:after="6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Когда включать лагеря.</w:t>
      </w:r>
    </w:p>
    <w:p>
      <w:pPr>
        <w:pStyle w:val="ListParagraph"/>
        <w:numPr>
          <w:ilvl w:val="0"/>
          <w:numId w:val="3"/>
        </w:numPr>
        <w:spacing w:after="6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P&amp;L за август 2026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единственный недостающий месяц факта.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20"/>
      <w:jc w:val="center"/>
    </w:pPr>
    <w:r>
      <w:rPr>
        <w:rFonts w:ascii="Arial" w:cs="Arial" w:eastAsia="Arial" w:hAnsi="Arial"/>
        <w:color w:val="595959"/>
        <w:sz w:val="16"/>
        <w:szCs w:val="16"/>
      </w:rPr>
      <w:t xml:space="preserve">Финмодель УК «Спартак» · отличия от v4.0 · </w:t>
      <w:fldChar w:fldCharType="begin"/>
      <w:instrText xml:space="preserve">PAGE</w:instrText>
      <w:fldChar w:fldCharType="separate"/>
      <w:fldChar w:fldCharType="end"/>
      <w:t xml:space="preserve"> из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Чем текущая модель отличается от v4.0</dc:title>
  <dc:creator>Финмодель УК «Спартак»</dc:creator>
  <dc:description>Сравнение финансовой модели франшизы Спартак v4.0 с текущей моделью Spartak_V9_0</dc:description>
  <cp:lastModifiedBy>Un-named</cp:lastModifiedBy>
  <cp:revision>1</cp:revision>
  <dcterms:created xsi:type="dcterms:W3CDTF">2026-09-11T16:16:42.339Z</dcterms:created>
  <dcterms:modified xsi:type="dcterms:W3CDTF">2026-09-11T16:16:42.339Z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