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1F34B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kern w:val="36"/>
          <w:sz w:val="48"/>
          <w:szCs w:val="48"/>
        </w:rPr>
      </w:pPr>
      <w:r w:rsidRPr="00AC17EA">
        <w:rPr>
          <w:rFonts w:ascii="pplxSerif" w:eastAsia="Times New Roman" w:hAnsi="pplxSerif" w:cs="Times New Roman"/>
          <w:b/>
          <w:bCs/>
          <w:kern w:val="36"/>
          <w:sz w:val="48"/>
          <w:szCs w:val="48"/>
        </w:rPr>
        <w:t>GLIOMA-TARGET: A Groundbreaking Computational Pipeline for Therapeutic Target Discovery in High-Grade Gliomas</w:t>
      </w:r>
    </w:p>
    <w:p w14:paraId="31AF5552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Executive Summary</w:t>
      </w:r>
    </w:p>
    <w:p w14:paraId="2E68F2CC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High-grade gliomas (HGG) — including glioblastoma multiforme (GBM, WHO Grade IV), IDH-wildtype diffuse astrocytoma, and diffuse midline gliomas (DMG/DIPG) — remain among the most lethal human malignancies, with GBM carrying a median survival of just 12–15 months despite maximal surgical resection and chemoradiotherapy. The central barrier to therapeutic progress is not a lack of candidate targets, but rather a failure to systematically integrate the diverse biological signals — genomic, transcriptomic, proteomic, epigenomic, and spatial — that together define true, clinically actionable vulnerabilities.</w:t>
      </w:r>
    </w:p>
    <w:p w14:paraId="0B3744F1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This document outlines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GLIOMA-TARGET</w:t>
      </w:r>
      <w:r w:rsidRPr="00AC17EA">
        <w:rPr>
          <w:rFonts w:ascii="pplxSerif" w:eastAsia="Times New Roman" w:hAnsi="pplxSerif" w:cs="Times New Roman"/>
          <w:sz w:val="24"/>
          <w:szCs w:val="24"/>
        </w:rPr>
        <w:t> (Gene-Level Integrative Oncogenomic Multi-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omic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Assessment for Targeted Antigen and Receptor Gene Expression Therapy), a comprehensive 7-module computational pipeline designed to identify, prioritize, and translate high-confidence therapeutic targets across three therapeutic modalities: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targeted small-molecule/kinase inhibitor therapy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chemotherapy sensitization</w:t>
      </w:r>
      <w:r w:rsidRPr="00AC17EA">
        <w:rPr>
          <w:rFonts w:ascii="pplxSerif" w:eastAsia="Times New Roman" w:hAnsi="pplxSerif" w:cs="Times New Roman"/>
          <w:sz w:val="24"/>
          <w:szCs w:val="24"/>
        </w:rPr>
        <w:t>, and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CAR-T/CAR-NK cell immunotherapy</w:t>
      </w:r>
      <w:r w:rsidRPr="00AC17EA">
        <w:rPr>
          <w:rFonts w:ascii="pplxSerif" w:eastAsia="Times New Roman" w:hAnsi="pplxSerif" w:cs="Times New Roman"/>
          <w:sz w:val="24"/>
          <w:szCs w:val="24"/>
        </w:rPr>
        <w:t>. The pipeline leverages the latest advances in multi-omics integration, single-cell and spatial transcriptomics, network medicine, large language model–guided literature mining, and AI-driven structural pharmacology.</w:t>
      </w:r>
    </w:p>
    <w:p w14:paraId="625C9A4E" w14:textId="77777777" w:rsidR="00AC17EA" w:rsidRPr="00AC17EA" w:rsidRDefault="00AC17EA" w:rsidP="00AC17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A">
        <w:rPr>
          <w:rFonts w:ascii="Times New Roman" w:eastAsia="Times New Roman" w:hAnsi="Times New Roman" w:cs="Times New Roman"/>
          <w:sz w:val="24"/>
          <w:szCs w:val="24"/>
        </w:rPr>
        <w:pict w14:anchorId="6B287185">
          <v:rect id="_x0000_i1025" style="width:0;height:.75pt" o:hralign="center" o:hrstd="t" o:hr="t" fillcolor="#a0a0a0" stroked="f"/>
        </w:pict>
      </w:r>
    </w:p>
    <w:p w14:paraId="15988A7D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Biological Rationale and Problem Statement</w:t>
      </w:r>
    </w:p>
    <w:p w14:paraId="1805A352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 xml:space="preserve">GBM is stratified by TCGA into four transcriptional subtypes —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Proneural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, Neural, Classical, and Mesenchymal — each with distinct genetic and epigenetic signatures. Yet, this classification fails to capture the profound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intratumoral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heterogeneity that drives therapeutic resistance. Single-cell RNA sequencing (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scRNA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-seq) studies reveal that within a single tumor, GBM cells cycle through multiple transcriptional states — neural progenitor-like (NPC-like), oligodendrocyte-precursor-like (OPC-like), mesenchymal-like, and astrocyte-like — enabling phenotypic plasticity and antigen escape under therapy. Spatially, the tumor core and invasive periphery harbor distinct cell state compositions and metabolic programs, meaning that bulk-sequencing–derived targets may be spatially restricted and clinically insufficient.</w:t>
      </w:r>
    </w:p>
    <w:p w14:paraId="2B574653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lastRenderedPageBreak/>
        <w:t>For DMG/DIPG, the H3K27M mutation in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H3F3A</w:t>
      </w:r>
      <w:r w:rsidRPr="00AC17EA">
        <w:rPr>
          <w:rFonts w:ascii="pplxSerif" w:eastAsia="Times New Roman" w:hAnsi="pplxSerif" w:cs="Times New Roman"/>
          <w:sz w:val="24"/>
          <w:szCs w:val="24"/>
        </w:rPr>
        <w:t> or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HIST1H3B</w:t>
      </w:r>
      <w:r w:rsidRPr="00AC17EA">
        <w:rPr>
          <w:rFonts w:ascii="pplxSerif" w:eastAsia="Times New Roman" w:hAnsi="pplxSerif" w:cs="Times New Roman"/>
          <w:sz w:val="24"/>
          <w:szCs w:val="24"/>
        </w:rPr>
        <w:t> drives global hypomethylation of H3K27me3, reprogramming the epigenomic and transcriptional landscape and creating unique tumor-specific vulnerabilities — including dependency on BET bromodomain proteins and ONC201-targetable DRD2/SIGMAR1 signaling. The antigenic landscape of H3K27M-mutant DMG differs substantially from GBM and must be analyzed separately.</w:t>
      </w:r>
    </w:p>
    <w:p w14:paraId="4E31A735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Effective target discovery therefore requires a framework that simultaneously accounts for:</w:t>
      </w:r>
    </w:p>
    <w:p w14:paraId="61E879EA" w14:textId="77777777" w:rsidR="00AC17EA" w:rsidRPr="00AC17EA" w:rsidRDefault="00AC17EA" w:rsidP="00AC17E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 xml:space="preserve">Inter- and 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intratumoral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 xml:space="preserve"> heterogeneity</w:t>
      </w:r>
      <w:r w:rsidRPr="00AC17EA">
        <w:rPr>
          <w:rFonts w:ascii="pplxSerif" w:eastAsia="Times New Roman" w:hAnsi="pplxSerif" w:cs="Times New Roman"/>
          <w:sz w:val="24"/>
          <w:szCs w:val="24"/>
        </w:rPr>
        <w:t> at single-cell and spatial resolution</w:t>
      </w:r>
    </w:p>
    <w:p w14:paraId="2E99E1CC" w14:textId="77777777" w:rsidR="00AC17EA" w:rsidRPr="00AC17EA" w:rsidRDefault="00AC17EA" w:rsidP="00AC17E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Tumor-subtype specificity</w:t>
      </w:r>
      <w:r w:rsidRPr="00AC17EA">
        <w:rPr>
          <w:rFonts w:ascii="pplxSerif" w:eastAsia="Times New Roman" w:hAnsi="pplxSerif" w:cs="Times New Roman"/>
          <w:sz w:val="24"/>
          <w:szCs w:val="24"/>
        </w:rPr>
        <w:t> (GBM vs. DMG vs. IDH-mutant HGG)</w:t>
      </w:r>
    </w:p>
    <w:p w14:paraId="60781624" w14:textId="77777777" w:rsidR="00AC17EA" w:rsidRPr="00AC17EA" w:rsidRDefault="00AC17EA" w:rsidP="00AC17E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Therapeutic modality requirements</w:t>
      </w:r>
      <w:r w:rsidRPr="00AC17EA">
        <w:rPr>
          <w:rFonts w:ascii="pplxSerif" w:eastAsia="Times New Roman" w:hAnsi="pplxSerif" w:cs="Times New Roman"/>
          <w:sz w:val="24"/>
          <w:szCs w:val="24"/>
        </w:rPr>
        <w:t xml:space="preserve"> (surface expression for CAR-T vs. kinase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druggability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for small molecules)</w:t>
      </w:r>
    </w:p>
    <w:p w14:paraId="79F64468" w14:textId="77777777" w:rsidR="00AC17EA" w:rsidRPr="00AC17EA" w:rsidRDefault="00AC17EA" w:rsidP="00AC17E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CNS-specific constraints</w:t>
      </w:r>
      <w:r w:rsidRPr="00AC17EA">
        <w:rPr>
          <w:rFonts w:ascii="pplxSerif" w:eastAsia="Times New Roman" w:hAnsi="pplxSerif" w:cs="Times New Roman"/>
          <w:sz w:val="24"/>
          <w:szCs w:val="24"/>
        </w:rPr>
        <w:t> (blood-brain barrier penetration, on-target/off-tumor toxicity in normal brain)</w:t>
      </w:r>
    </w:p>
    <w:p w14:paraId="77AB481B" w14:textId="77777777" w:rsidR="00AC17EA" w:rsidRPr="00AC17EA" w:rsidRDefault="00AC17EA" w:rsidP="00AC17E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Resistance mechanisms</w:t>
      </w:r>
      <w:r w:rsidRPr="00AC17EA">
        <w:rPr>
          <w:rFonts w:ascii="pplxSerif" w:eastAsia="Times New Roman" w:hAnsi="pplxSerif" w:cs="Times New Roman"/>
          <w:sz w:val="24"/>
          <w:szCs w:val="24"/>
        </w:rPr>
        <w:t> through longitudinal and evolutionary modeling</w:t>
      </w:r>
    </w:p>
    <w:p w14:paraId="00FA3D9B" w14:textId="77777777" w:rsidR="00AC17EA" w:rsidRPr="00AC17EA" w:rsidRDefault="00AC17EA" w:rsidP="00AC17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A">
        <w:rPr>
          <w:rFonts w:ascii="Times New Roman" w:eastAsia="Times New Roman" w:hAnsi="Times New Roman" w:cs="Times New Roman"/>
          <w:sz w:val="24"/>
          <w:szCs w:val="24"/>
        </w:rPr>
        <w:pict w14:anchorId="0997E232">
          <v:rect id="_x0000_i1026" style="width:0;height:.75pt" o:hralign="center" o:hrstd="t" o:hr="t" fillcolor="#a0a0a0" stroked="f"/>
        </w:pict>
      </w:r>
    </w:p>
    <w:p w14:paraId="1B1A1849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Pipeline Architecture Overview</w:t>
      </w:r>
    </w:p>
    <w:p w14:paraId="53226C1B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The GLIOMA-TARGET pipeline is organized into seven sequential but iterative computational modules, each feeding prioritized candidates into the next:</w:t>
      </w:r>
    </w:p>
    <w:p w14:paraId="6A9A2701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7EA">
        <w:rPr>
          <w:rFonts w:ascii="Courier New" w:eastAsia="Times New Roman" w:hAnsi="Courier New" w:cs="Courier New"/>
          <w:sz w:val="20"/>
          <w:szCs w:val="20"/>
        </w:rPr>
        <w:t>text</w:t>
      </w:r>
    </w:p>
    <w:p w14:paraId="36D735C5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</w:pPr>
      <w:r w:rsidRPr="00AC17EA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</w:rPr>
        <w:t>Module 1: Multi-Omics Data Harmonization &amp; Cohort Construction</w:t>
      </w:r>
    </w:p>
    <w:p w14:paraId="79368953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AC17EA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↓</w:t>
      </w:r>
    </w:p>
    <w:p w14:paraId="3C3F2F49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AC17EA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Module 2: Differential Expression, Mutation Landscape &amp; Subtype Stratification</w:t>
      </w:r>
    </w:p>
    <w:p w14:paraId="5F05E05B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AC17EA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↓</w:t>
      </w:r>
    </w:p>
    <w:p w14:paraId="7F7CDEEB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AC17EA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Module 3: Single-Cell &amp; Spatial Transcriptomics Decomposition</w:t>
      </w:r>
    </w:p>
    <w:p w14:paraId="7480D1BB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AC17EA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↓</w:t>
      </w:r>
    </w:p>
    <w:p w14:paraId="0CFAF696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AC17EA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Module 4: Gene Regulatory Network &amp; Co-Expression Analysis</w:t>
      </w:r>
    </w:p>
    <w:p w14:paraId="12D29184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AC17EA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↓</w:t>
      </w:r>
    </w:p>
    <w:p w14:paraId="33253132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AC17EA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Module 5: Therapeutic Modality–Specific Target Prioritization</w:t>
      </w:r>
    </w:p>
    <w:p w14:paraId="34DD2681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AC17EA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   ↓</w:t>
      </w:r>
    </w:p>
    <w:p w14:paraId="231AE673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AC17EA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Module 6: Structural Biology, </w:t>
      </w:r>
      <w:proofErr w:type="spellStart"/>
      <w:r w:rsidRPr="00AC17EA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Druggability</w:t>
      </w:r>
      <w:proofErr w:type="spellEnd"/>
      <w:r w:rsidRPr="00AC17EA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 xml:space="preserve"> &amp; Toxicity Filtering</w:t>
      </w:r>
    </w:p>
    <w:p w14:paraId="5A079D79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</w:pPr>
      <w:r w:rsidRPr="00AC17EA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lastRenderedPageBreak/>
        <w:t xml:space="preserve">    ↓</w:t>
      </w:r>
    </w:p>
    <w:p w14:paraId="713100AC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7EA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</w:rPr>
        <w:t>Module 7: Experimental Validation Roadmap &amp; Clinical Translation</w:t>
      </w:r>
    </w:p>
    <w:p w14:paraId="7FF3BEE4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Each module generates a scored, ranked candidate list that is intersected with outputs from adjacent modules, producing a final high-confidence target matrix stratified by therapeutic class, tumor subtype, and evidence tier.</w:t>
      </w:r>
    </w:p>
    <w:p w14:paraId="44EF2D22" w14:textId="77777777" w:rsidR="00AC17EA" w:rsidRPr="00AC17EA" w:rsidRDefault="00AC17EA" w:rsidP="00AC17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A">
        <w:rPr>
          <w:rFonts w:ascii="Times New Roman" w:eastAsia="Times New Roman" w:hAnsi="Times New Roman" w:cs="Times New Roman"/>
          <w:sz w:val="24"/>
          <w:szCs w:val="24"/>
        </w:rPr>
        <w:pict w14:anchorId="22CD5AC7">
          <v:rect id="_x0000_i1027" style="width:0;height:.75pt" o:hralign="center" o:hrstd="t" o:hr="t" fillcolor="#a0a0a0" stroked="f"/>
        </w:pict>
      </w:r>
    </w:p>
    <w:p w14:paraId="26A35861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Module 1: Multi-Omics Data Harmonization and Cohort Construction</w:t>
      </w:r>
    </w:p>
    <w:p w14:paraId="638251B6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Data Sources</w:t>
      </w:r>
    </w:p>
    <w:p w14:paraId="1985901B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The pipeline ingests data from all publicly available HGG omics repositories:</w:t>
      </w:r>
    </w:p>
    <w:tbl>
      <w:tblPr>
        <w:tblW w:w="1029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5"/>
        <w:gridCol w:w="3612"/>
        <w:gridCol w:w="2356"/>
      </w:tblGrid>
      <w:tr w:rsidR="00AC17EA" w:rsidRPr="00AC17EA" w14:paraId="59964B37" w14:textId="77777777" w:rsidTr="00AC17E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F61F3F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  <w:t>Dataset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1979A6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5C8CE6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  <w:t>Sample Size (approx.)</w:t>
            </w:r>
          </w:p>
        </w:tc>
      </w:tr>
      <w:tr w:rsidR="00AC17EA" w:rsidRPr="00AC17EA" w14:paraId="5564B5E3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D059E3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TCGA-GBM / TCGA-LGG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1562A8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Bulk RNA-seq, WES, CNV, methylation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76B75A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702 GBM, 534 LGG</w:t>
            </w:r>
          </w:p>
        </w:tc>
      </w:tr>
      <w:tr w:rsidR="00AC17EA" w:rsidRPr="00AC17EA" w14:paraId="27BB0F63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A2962A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CGGA mRNAseq-325 / mRNAseq-693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6794C9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Bulk RNA-seq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C3C075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693 samples</w:t>
            </w:r>
          </w:p>
        </w:tc>
      </w:tr>
      <w:tr w:rsidR="00AC17EA" w:rsidRPr="00AC17EA" w14:paraId="04F7E831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4A1C5C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CPTAC-GBM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2ED5A2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Proteomics + transcriptomics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C66404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~100 GBM</w:t>
            </w:r>
          </w:p>
        </w:tc>
      </w:tr>
      <w:tr w:rsidR="00AC17EA" w:rsidRPr="00AC17EA" w14:paraId="5B172366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93414B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GEO (GSE4290, GSE7696, GSE50161, GSE68848)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3CBB80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Microarray expression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F214DC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510+ samples</w:t>
            </w:r>
          </w:p>
        </w:tc>
      </w:tr>
      <w:tr w:rsidR="00AC17EA" w:rsidRPr="00AC17EA" w14:paraId="6027A50D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B5D3FA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pHGG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 single-cell atlases (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Neftel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, Tirosh,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Bhaduri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91E214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scRNA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-seq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9B0551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Thousands of cells</w:t>
            </w:r>
          </w:p>
        </w:tc>
      </w:tr>
      <w:tr w:rsidR="00AC17EA" w:rsidRPr="00AC17EA" w14:paraId="31C53B23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F3DF80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CBTTC /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pHGG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 pediatric cohorts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D23467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H3K27M DMG WGS, RNA-seq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31137B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200+ pediatric HGG</w:t>
            </w:r>
          </w:p>
        </w:tc>
      </w:tr>
      <w:tr w:rsidR="00AC17EA" w:rsidRPr="00AC17EA" w14:paraId="662FCB6F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7A8574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GTEx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 (frontal lobe, cerebellum, cortex)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EA7E1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Normal brain expression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5B3C94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120+ samples</w:t>
            </w:r>
          </w:p>
        </w:tc>
      </w:tr>
    </w:tbl>
    <w:p w14:paraId="529C6113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Preprocessing and Normalization</w:t>
      </w:r>
    </w:p>
    <w:p w14:paraId="54450A7D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lastRenderedPageBreak/>
        <w:t xml:space="preserve">All RNA-seq data is uniformly processed through a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Snakemake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pipeline:</w:t>
      </w:r>
    </w:p>
    <w:p w14:paraId="77B04F86" w14:textId="77777777" w:rsidR="00AC17EA" w:rsidRPr="00AC17EA" w:rsidRDefault="00AC17EA" w:rsidP="00AC17E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Alignment via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STAR</w:t>
      </w:r>
      <w:r w:rsidRPr="00AC17EA">
        <w:rPr>
          <w:rFonts w:ascii="pplxSerif" w:eastAsia="Times New Roman" w:hAnsi="pplxSerif" w:cs="Times New Roman"/>
          <w:sz w:val="24"/>
          <w:szCs w:val="24"/>
        </w:rPr>
        <w:t> (v2.7+), quantification via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Salmon/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kallisto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 for speed</w:t>
      </w:r>
    </w:p>
    <w:p w14:paraId="41E7BA05" w14:textId="77777777" w:rsidR="00AC17EA" w:rsidRPr="00AC17EA" w:rsidRDefault="00AC17EA" w:rsidP="00AC17E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TMM/TPM normalization via 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edgeR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/DESeq2</w:t>
      </w:r>
      <w:r w:rsidRPr="00AC17EA">
        <w:rPr>
          <w:rFonts w:ascii="pplxSerif" w:eastAsia="Times New Roman" w:hAnsi="pplxSerif" w:cs="Times New Roman"/>
          <w:sz w:val="24"/>
          <w:szCs w:val="24"/>
        </w:rPr>
        <w:t>; batch correction via 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ComBat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-Seq</w:t>
      </w:r>
      <w:r w:rsidRPr="00AC17EA">
        <w:rPr>
          <w:rFonts w:ascii="pplxSerif" w:eastAsia="Times New Roman" w:hAnsi="pplxSerif" w:cs="Times New Roman"/>
          <w:sz w:val="24"/>
          <w:szCs w:val="24"/>
        </w:rPr>
        <w:t> or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Harmony</w:t>
      </w:r>
    </w:p>
    <w:p w14:paraId="71D832D9" w14:textId="77777777" w:rsidR="00AC17EA" w:rsidRPr="00AC17EA" w:rsidRDefault="00AC17EA" w:rsidP="00AC17E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Somatic variant calling: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GATK4 Mutect2</w:t>
      </w:r>
      <w:r w:rsidRPr="00AC17EA">
        <w:rPr>
          <w:rFonts w:ascii="pplxSerif" w:eastAsia="Times New Roman" w:hAnsi="pplxSerif" w:cs="Times New Roman"/>
          <w:sz w:val="24"/>
          <w:szCs w:val="24"/>
        </w:rPr>
        <w:t> with panel-of-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normals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filtering</w:t>
      </w:r>
    </w:p>
    <w:p w14:paraId="0E23914B" w14:textId="77777777" w:rsidR="00AC17EA" w:rsidRPr="00AC17EA" w:rsidRDefault="00AC17EA" w:rsidP="00AC17E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Copy number: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GISTIC2</w:t>
      </w:r>
      <w:r w:rsidRPr="00AC17EA">
        <w:rPr>
          <w:rFonts w:ascii="pplxSerif" w:eastAsia="Times New Roman" w:hAnsi="pplxSerif" w:cs="Times New Roman"/>
          <w:sz w:val="24"/>
          <w:szCs w:val="24"/>
        </w:rPr>
        <w:t> for focal amplification/deletion calling</w:t>
      </w:r>
    </w:p>
    <w:p w14:paraId="05899170" w14:textId="77777777" w:rsidR="00AC17EA" w:rsidRPr="00AC17EA" w:rsidRDefault="00AC17EA" w:rsidP="00AC17E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DNA methylation: 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minfi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 for IDAT-level normalization,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DMPFINDER</w:t>
      </w:r>
      <w:r w:rsidRPr="00AC17EA">
        <w:rPr>
          <w:rFonts w:ascii="pplxSerif" w:eastAsia="Times New Roman" w:hAnsi="pplxSerif" w:cs="Times New Roman"/>
          <w:sz w:val="24"/>
          <w:szCs w:val="24"/>
        </w:rPr>
        <w:t> for DMR analysis</w:t>
      </w:r>
    </w:p>
    <w:p w14:paraId="099D2918" w14:textId="77777777" w:rsidR="00AC17EA" w:rsidRPr="00AC17EA" w:rsidRDefault="00AC17EA" w:rsidP="00AC17E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Proteomics (CPTAC): 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MaxQuant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 →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Perseus</w:t>
      </w:r>
      <w:r w:rsidRPr="00AC17EA">
        <w:rPr>
          <w:rFonts w:ascii="pplxSerif" w:eastAsia="Times New Roman" w:hAnsi="pplxSerif" w:cs="Times New Roman"/>
          <w:sz w:val="24"/>
          <w:szCs w:val="24"/>
        </w:rPr>
        <w:t> for protein-level quantification</w:t>
      </w:r>
    </w:p>
    <w:p w14:paraId="6D3E220E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A harmonized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GBM multi-omics matrix</w:t>
      </w:r>
      <w:r w:rsidRPr="00AC17EA">
        <w:rPr>
          <w:rFonts w:ascii="pplxSerif" w:eastAsia="Times New Roman" w:hAnsi="pplxSerif" w:cs="Times New Roman"/>
          <w:sz w:val="24"/>
          <w:szCs w:val="24"/>
        </w:rPr>
        <w:t> is constructed integrating expression, CNV, mutation, and methylation layers per sample, building on the multi-omics integration frameworks recently validated for GBM subtype discovery.</w:t>
      </w:r>
    </w:p>
    <w:p w14:paraId="03AD76F7" w14:textId="77777777" w:rsidR="00AC17EA" w:rsidRPr="00AC17EA" w:rsidRDefault="00AC17EA" w:rsidP="00AC17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A">
        <w:rPr>
          <w:rFonts w:ascii="Times New Roman" w:eastAsia="Times New Roman" w:hAnsi="Times New Roman" w:cs="Times New Roman"/>
          <w:sz w:val="24"/>
          <w:szCs w:val="24"/>
        </w:rPr>
        <w:pict w14:anchorId="3B204A20">
          <v:rect id="_x0000_i1028" style="width:0;height:.75pt" o:hralign="center" o:hrstd="t" o:hr="t" fillcolor="#a0a0a0" stroked="f"/>
        </w:pict>
      </w:r>
    </w:p>
    <w:p w14:paraId="30B98938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Module 2: Differential Expression, Mutation Landscape, and Subtype Stratification</w:t>
      </w:r>
    </w:p>
    <w:p w14:paraId="58D1F89E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2.1 Differential Expression Analysis (DEA)</w:t>
      </w:r>
    </w:p>
    <w:p w14:paraId="0A3BA5FC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 xml:space="preserve">Tumor-vs.-normal DEA is performed comparing TCGA/CGGA tumor samples against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GTEx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normal frontal lobe and cerebellum controls. This approach was validated by NCATS scientists who identified 318 genes expressed abnormally in GBM cells through multi-omics analysis of patient samples.</w:t>
      </w:r>
    </w:p>
    <w:p w14:paraId="2D5B6D32" w14:textId="77777777" w:rsidR="00AC17EA" w:rsidRPr="00AC17EA" w:rsidRDefault="00AC17EA" w:rsidP="00AC17EA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Tool:</w:t>
      </w:r>
      <w:r w:rsidRPr="00AC17EA">
        <w:rPr>
          <w:rFonts w:ascii="pplxSerif" w:eastAsia="Times New Roman" w:hAnsi="pplxSerif" w:cs="Times New Roman"/>
          <w:sz w:val="24"/>
          <w:szCs w:val="24"/>
        </w:rPr>
        <w:t xml:space="preserve"> DESeq2,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edgeR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with multiple correction (FDR &lt; 0.05, |log2FC| &gt; 1.5)</w:t>
      </w:r>
    </w:p>
    <w:p w14:paraId="2778D6EE" w14:textId="77777777" w:rsidR="00AC17EA" w:rsidRPr="00AC17EA" w:rsidRDefault="00AC17EA" w:rsidP="00AC17EA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Protein-level validation:</w:t>
      </w:r>
      <w:r w:rsidRPr="00AC17EA">
        <w:rPr>
          <w:rFonts w:ascii="pplxSerif" w:eastAsia="Times New Roman" w:hAnsi="pplxSerif" w:cs="Times New Roman"/>
          <w:sz w:val="24"/>
          <w:szCs w:val="24"/>
        </w:rPr>
        <w:t> Cross-reference DEA hits against CPTAC-GBM proteomics for mRNA-protein concordance</w:t>
      </w:r>
    </w:p>
    <w:p w14:paraId="61DA320A" w14:textId="77777777" w:rsidR="00AC17EA" w:rsidRPr="00AC17EA" w:rsidRDefault="00AC17EA" w:rsidP="00AC17EA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Methylation silencing filter:</w:t>
      </w:r>
      <w:r w:rsidRPr="00AC17EA">
        <w:rPr>
          <w:rFonts w:ascii="pplxSerif" w:eastAsia="Times New Roman" w:hAnsi="pplxSerif" w:cs="Times New Roman"/>
          <w:sz w:val="24"/>
          <w:szCs w:val="24"/>
        </w:rPr>
        <w:t> Exclude genes downregulated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solely</w:t>
      </w:r>
      <w:r w:rsidRPr="00AC17EA">
        <w:rPr>
          <w:rFonts w:ascii="pplxSerif" w:eastAsia="Times New Roman" w:hAnsi="pplxSerif" w:cs="Times New Roman"/>
          <w:sz w:val="24"/>
          <w:szCs w:val="24"/>
        </w:rPr>
        <w:t> through promoter hypermethylation in tumor (to focus on stable targets)</w:t>
      </w:r>
    </w:p>
    <w:p w14:paraId="0ABE91B6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2.2 Mutation Landscape and Driver Identification</w:t>
      </w:r>
    </w:p>
    <w:p w14:paraId="4BE8B20E" w14:textId="77777777" w:rsidR="00AC17EA" w:rsidRPr="00AC17EA" w:rsidRDefault="00AC17EA" w:rsidP="00AC17EA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MutSig2CV</w:t>
      </w:r>
      <w:r w:rsidRPr="00AC17EA">
        <w:rPr>
          <w:rFonts w:ascii="pplxSerif" w:eastAsia="Times New Roman" w:hAnsi="pplxSerif" w:cs="Times New Roman"/>
          <w:sz w:val="24"/>
          <w:szCs w:val="24"/>
        </w:rPr>
        <w:t> for significantly mutated gene (SMG) identification across GBM cohorts</w:t>
      </w:r>
    </w:p>
    <w:p w14:paraId="3903B31B" w14:textId="77777777" w:rsidR="00AC17EA" w:rsidRPr="00AC17EA" w:rsidRDefault="00AC17EA" w:rsidP="00AC17EA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CADD/REVEL</w:t>
      </w:r>
      <w:r w:rsidRPr="00AC17EA">
        <w:rPr>
          <w:rFonts w:ascii="pplxSerif" w:eastAsia="Times New Roman" w:hAnsi="pplxSerif" w:cs="Times New Roman"/>
          <w:sz w:val="24"/>
          <w:szCs w:val="24"/>
        </w:rPr>
        <w:t> scoring for variant pathogenicity prioritization</w:t>
      </w:r>
    </w:p>
    <w:p w14:paraId="5DFADB7D" w14:textId="77777777" w:rsidR="00AC17EA" w:rsidRPr="00AC17EA" w:rsidRDefault="00AC17EA" w:rsidP="00AC17EA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dN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/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dS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 xml:space="preserve"> analysis</w:t>
      </w:r>
      <w:r w:rsidRPr="00AC17EA">
        <w:rPr>
          <w:rFonts w:ascii="pplxSerif" w:eastAsia="Times New Roman" w:hAnsi="pplxSerif" w:cs="Times New Roman"/>
          <w:sz w:val="24"/>
          <w:szCs w:val="24"/>
        </w:rPr>
        <w:t> (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dNdScv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) to identify genes under positive selection</w:t>
      </w:r>
    </w:p>
    <w:p w14:paraId="7BC32B97" w14:textId="77777777" w:rsidR="00AC17EA" w:rsidRPr="00AC17EA" w:rsidRDefault="00AC17EA" w:rsidP="00AC17EA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OncoKB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 xml:space="preserve"> + 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ClinVar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 annotation for clinical actionability of identified mutations</w:t>
      </w:r>
    </w:p>
    <w:p w14:paraId="096C3040" w14:textId="77777777" w:rsidR="00AC17EA" w:rsidRPr="00AC17EA" w:rsidRDefault="00AC17EA" w:rsidP="00AC17EA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Key known drivers automatically flagged: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EGFR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PTEN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TP53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IDH1/2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NF1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PIK3CA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ATRX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TERT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CDKN2A/B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RB1</w:t>
      </w:r>
    </w:p>
    <w:p w14:paraId="1683CC69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lastRenderedPageBreak/>
        <w:t>2.3 Subtype Stratification</w:t>
      </w:r>
    </w:p>
    <w:p w14:paraId="5945A4B8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Consensus clustering is performed across 10 algorithms (k-means, NMF, hierarchical, etc.) integrated via the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MOVICS</w:t>
      </w:r>
      <w:r w:rsidRPr="00AC17EA">
        <w:rPr>
          <w:rFonts w:ascii="pplxSerif" w:eastAsia="Times New Roman" w:hAnsi="pplxSerif" w:cs="Times New Roman"/>
          <w:sz w:val="24"/>
          <w:szCs w:val="24"/>
        </w:rPr>
        <w:t> R package, reproducing and extending multi-omics GBM subtype identification. Subtypes are assigned per sample and all downstream analyses are stratified accordingly. For pediatric HGGs,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H3K27M</w:t>
      </w:r>
      <w:r w:rsidRPr="00AC17EA">
        <w:rPr>
          <w:rFonts w:ascii="pplxSerif" w:eastAsia="Times New Roman" w:hAnsi="pplxSerif" w:cs="Times New Roman"/>
          <w:sz w:val="24"/>
          <w:szCs w:val="24"/>
        </w:rPr>
        <w:t> mutation status and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PDGFRA</w:t>
      </w:r>
      <w:r w:rsidRPr="00AC17EA">
        <w:rPr>
          <w:rFonts w:ascii="pplxSerif" w:eastAsia="Times New Roman" w:hAnsi="pplxSerif" w:cs="Times New Roman"/>
          <w:sz w:val="24"/>
          <w:szCs w:val="24"/>
        </w:rPr>
        <w:t> amplification are used as primary strata.</w:t>
      </w:r>
    </w:p>
    <w:p w14:paraId="5FCD191C" w14:textId="77777777" w:rsidR="00AC17EA" w:rsidRPr="00AC17EA" w:rsidRDefault="00AC17EA" w:rsidP="00AC17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A">
        <w:rPr>
          <w:rFonts w:ascii="Times New Roman" w:eastAsia="Times New Roman" w:hAnsi="Times New Roman" w:cs="Times New Roman"/>
          <w:sz w:val="24"/>
          <w:szCs w:val="24"/>
        </w:rPr>
        <w:pict w14:anchorId="60C8928D">
          <v:rect id="_x0000_i1029" style="width:0;height:.75pt" o:hralign="center" o:hrstd="t" o:hr="t" fillcolor="#a0a0a0" stroked="f"/>
        </w:pict>
      </w:r>
    </w:p>
    <w:p w14:paraId="5A492116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Module 3: Single-Cell and Spatial Transcriptomics Decomposition</w:t>
      </w:r>
    </w:p>
    <w:p w14:paraId="428721A2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 xml:space="preserve">This is the most innovative module, addressing the single greatest limitation of previous bulk-omics pipelines: the inability to resolve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intratumoral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heterogeneity.</w:t>
      </w:r>
    </w:p>
    <w:p w14:paraId="5522191E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3.1 Single-Cell RNA-seq Analysis</w:t>
      </w:r>
    </w:p>
    <w:p w14:paraId="182A88DD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Cell state mapping:</w:t>
      </w:r>
    </w:p>
    <w:p w14:paraId="32D14E84" w14:textId="77777777" w:rsidR="00AC17EA" w:rsidRPr="00AC17EA" w:rsidRDefault="00AC17EA" w:rsidP="00AC17E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 xml:space="preserve">Pre-processed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scRNA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-seq data from published GBM atlases (Seurat v5/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Scanpy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) are integrated with in-house or cohort-derived data via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Harmony/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scVI</w:t>
      </w:r>
      <w:proofErr w:type="spellEnd"/>
    </w:p>
    <w:p w14:paraId="22BDFBB1" w14:textId="77777777" w:rsidR="00AC17EA" w:rsidRPr="00AC17EA" w:rsidRDefault="00AC17EA" w:rsidP="00AC17E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Cells are annotated using reference-based classification (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CellTypist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,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SingleR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) and marker-driven Leiden clustering</w:t>
      </w:r>
    </w:p>
    <w:p w14:paraId="6D6D71B1" w14:textId="77777777" w:rsidR="00AC17EA" w:rsidRPr="00AC17EA" w:rsidRDefault="00AC17EA" w:rsidP="00AC17E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The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GBM cellular states program</w:t>
      </w:r>
      <w:r w:rsidRPr="00AC17EA">
        <w:rPr>
          <w:rFonts w:ascii="pplxSerif" w:eastAsia="Times New Roman" w:hAnsi="pplxSerif" w:cs="Times New Roman"/>
          <w:sz w:val="24"/>
          <w:szCs w:val="24"/>
        </w:rPr>
        <w:t> (NPC-like, OPC-like, AC-like, MES-like, cycling, TAM, T cell, endothelial) is reproduced and validated</w:t>
      </w:r>
    </w:p>
    <w:p w14:paraId="1AAF7C94" w14:textId="77777777" w:rsidR="00AC17EA" w:rsidRPr="00AC17EA" w:rsidRDefault="00AC17EA" w:rsidP="00AC17E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Cell-state–specific differential expression</w:t>
      </w:r>
      <w:r w:rsidRPr="00AC17EA">
        <w:rPr>
          <w:rFonts w:ascii="pplxSerif" w:eastAsia="Times New Roman" w:hAnsi="pplxSerif" w:cs="Times New Roman"/>
          <w:sz w:val="24"/>
          <w:szCs w:val="24"/>
        </w:rPr>
        <w:t> identifies targets uniquely upregulated in each state — enabling cell-state targeting strategies</w:t>
      </w:r>
    </w:p>
    <w:p w14:paraId="594AF52F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 xml:space="preserve">Trajectory and 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pseudotime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 xml:space="preserve"> analysis:</w:t>
      </w:r>
    </w:p>
    <w:p w14:paraId="2BACE77D" w14:textId="77777777" w:rsidR="00AC17EA" w:rsidRPr="00AC17EA" w:rsidRDefault="00AC17EA" w:rsidP="00AC17EA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Monocle3/PAGA</w:t>
      </w:r>
      <w:r w:rsidRPr="00AC17EA">
        <w:rPr>
          <w:rFonts w:ascii="pplxSerif" w:eastAsia="Times New Roman" w:hAnsi="pplxSerif" w:cs="Times New Roman"/>
          <w:sz w:val="24"/>
          <w:szCs w:val="24"/>
        </w:rPr>
        <w:t> to map state transitions and identify genes that are consistently upregulated along malignant trajectories regardless of state (pan-state targets)</w:t>
      </w:r>
    </w:p>
    <w:p w14:paraId="233970F7" w14:textId="77777777" w:rsidR="00AC17EA" w:rsidRPr="00AC17EA" w:rsidRDefault="00AC17EA" w:rsidP="00AC17EA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Longitudinal state shift analysis using primary–recurrent paired snRNA-seq data identifies resistance-associated state transitions under temozolomide</w:t>
      </w:r>
    </w:p>
    <w:p w14:paraId="6DAF834D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3.2 Spatial Transcriptomics Integration</w:t>
      </w:r>
    </w:p>
    <w:p w14:paraId="014D1D6F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 xml:space="preserve">Published and public spatial transcriptomics datasets (10X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Visium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, SLIDE-seq, Xenium) of GBM and DMG are integrated:</w:t>
      </w:r>
    </w:p>
    <w:p w14:paraId="066ED391" w14:textId="77777777" w:rsidR="00AC17EA" w:rsidRPr="00AC17EA" w:rsidRDefault="00AC17EA" w:rsidP="00AC17EA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lastRenderedPageBreak/>
        <w:t>Spatial deconvolution</w:t>
      </w:r>
      <w:r w:rsidRPr="00AC17EA">
        <w:rPr>
          <w:rFonts w:ascii="pplxSerif" w:eastAsia="Times New Roman" w:hAnsi="pplxSerif" w:cs="Times New Roman"/>
          <w:sz w:val="24"/>
          <w:szCs w:val="24"/>
        </w:rPr>
        <w:t xml:space="preserve"> (RCTD,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SPOTlight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, cell2location) maps single-cell states to spatial coordinates</w:t>
      </w:r>
    </w:p>
    <w:p w14:paraId="64B7038B" w14:textId="77777777" w:rsidR="00AC17EA" w:rsidRPr="00AC17EA" w:rsidRDefault="00AC17EA" w:rsidP="00AC17EA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Niche-specific gene expression</w:t>
      </w:r>
      <w:r w:rsidRPr="00AC17EA">
        <w:rPr>
          <w:rFonts w:ascii="pplxSerif" w:eastAsia="Times New Roman" w:hAnsi="pplxSerif" w:cs="Times New Roman"/>
          <w:sz w:val="24"/>
          <w:szCs w:val="24"/>
        </w:rPr>
        <w:t> is computed for tumor core, leading edge, perivascular, necrotic, and infiltrative zones</w:t>
      </w:r>
    </w:p>
    <w:p w14:paraId="5C0FD4BA" w14:textId="77777777" w:rsidR="00AC17EA" w:rsidRPr="00AC17EA" w:rsidRDefault="00AC17EA" w:rsidP="00AC17EA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Spatially variable genes</w:t>
      </w:r>
      <w:r w:rsidRPr="00AC17EA">
        <w:rPr>
          <w:rFonts w:ascii="pplxSerif" w:eastAsia="Times New Roman" w:hAnsi="pplxSerif" w:cs="Times New Roman"/>
          <w:sz w:val="24"/>
          <w:szCs w:val="24"/>
        </w:rPr>
        <w:t> (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SpatialDE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, NNSVG) are identified per niche — prioritizing targets present throughout the tumor bulk rather than spatially restricted</w:t>
      </w:r>
    </w:p>
    <w:p w14:paraId="6660CD5E" w14:textId="77777777" w:rsidR="00AC17EA" w:rsidRPr="00AC17EA" w:rsidRDefault="00AC17EA" w:rsidP="00AC17EA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Cell–cell communication analysis</w:t>
      </w:r>
      <w:r w:rsidRPr="00AC17EA">
        <w:rPr>
          <w:rFonts w:ascii="pplxSerif" w:eastAsia="Times New Roman" w:hAnsi="pplxSerif" w:cs="Times New Roman"/>
          <w:sz w:val="24"/>
          <w:szCs w:val="24"/>
        </w:rPr>
        <w:t> (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CellChat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,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NicheNet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) maps ligand–receptor interactions between tumor cells and the immunosuppressive TME, revealing co-target opportunities (e.g., tumor cell surface target + immunosuppressive checkpoint)</w:t>
      </w:r>
    </w:p>
    <w:p w14:paraId="2AB37B46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3.3 Cell-State–Targeting CAR-T Strategy</w:t>
      </w:r>
    </w:p>
    <w:p w14:paraId="428CE407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Building on the Weizmann Institute approach of designing CAR-T cells against defined GBM cellular states, surface targets identified as upregulated in specific cell states are prioritized for immunotherapy, ensuring even heterogeneous tumors are targeted by a panel of CAR-T constructs. This addresses the critical problem that single-antigen CAR-T approaches face: antigen escape due to GBM plasticity.</w:t>
      </w:r>
    </w:p>
    <w:p w14:paraId="3214B1D7" w14:textId="77777777" w:rsidR="00AC17EA" w:rsidRPr="00AC17EA" w:rsidRDefault="00AC17EA" w:rsidP="00AC17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A">
        <w:rPr>
          <w:rFonts w:ascii="Times New Roman" w:eastAsia="Times New Roman" w:hAnsi="Times New Roman" w:cs="Times New Roman"/>
          <w:sz w:val="24"/>
          <w:szCs w:val="24"/>
        </w:rPr>
        <w:pict w14:anchorId="09AB1EC4">
          <v:rect id="_x0000_i1030" style="width:0;height:.75pt" o:hralign="center" o:hrstd="t" o:hr="t" fillcolor="#a0a0a0" stroked="f"/>
        </w:pict>
      </w:r>
    </w:p>
    <w:p w14:paraId="5EF76204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Module 4: Gene Regulatory Network and Co-Expression Analysis</w:t>
      </w:r>
    </w:p>
    <w:p w14:paraId="53781648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4.1 Weighted Gene Co-Expression Network Analysis (WGCNA)</w:t>
      </w:r>
    </w:p>
    <w:p w14:paraId="40FBB866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WGCNA</w:t>
      </w:r>
      <w:r w:rsidRPr="00AC17EA">
        <w:rPr>
          <w:rFonts w:ascii="pplxSerif" w:eastAsia="Times New Roman" w:hAnsi="pplxSerif" w:cs="Times New Roman"/>
          <w:sz w:val="24"/>
          <w:szCs w:val="24"/>
        </w:rPr>
        <w:t> is applied to bulk and pseudo-bulk expression data from all cohorts to identify co-expression modules correlated with:</w:t>
      </w:r>
    </w:p>
    <w:p w14:paraId="13DDFEA5" w14:textId="77777777" w:rsidR="00AC17EA" w:rsidRPr="00AC17EA" w:rsidRDefault="00AC17EA" w:rsidP="00AC17EA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Tumor grade (LGG vs. HGG)</w:t>
      </w:r>
    </w:p>
    <w:p w14:paraId="467EAE66" w14:textId="77777777" w:rsidR="00AC17EA" w:rsidRPr="00AC17EA" w:rsidRDefault="00AC17EA" w:rsidP="00AC17EA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IDH mutation status</w:t>
      </w:r>
    </w:p>
    <w:p w14:paraId="04F54A36" w14:textId="77777777" w:rsidR="00AC17EA" w:rsidRPr="00AC17EA" w:rsidRDefault="00AC17EA" w:rsidP="00AC17EA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Survival outcome (univariate Cox regression)</w:t>
      </w:r>
    </w:p>
    <w:p w14:paraId="512CB436" w14:textId="77777777" w:rsidR="00AC17EA" w:rsidRPr="00AC17EA" w:rsidRDefault="00AC17EA" w:rsidP="00AC17EA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 xml:space="preserve">Immune infiltration scores (ESTIMATE,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ssGSEA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)</w:t>
      </w:r>
    </w:p>
    <w:p w14:paraId="3B0A571B" w14:textId="77777777" w:rsidR="00AC17EA" w:rsidRPr="00AC17EA" w:rsidRDefault="00AC17EA" w:rsidP="00AC17EA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Drug response phenotypes</w:t>
      </w:r>
    </w:p>
    <w:p w14:paraId="16BC7855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Hub genes within survival-associated modules are identified as high-priority targets, mirroring approaches that identified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DLGAP5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CDCA8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NCAPH</w:t>
      </w:r>
      <w:r w:rsidRPr="00AC17EA">
        <w:rPr>
          <w:rFonts w:ascii="pplxSerif" w:eastAsia="Times New Roman" w:hAnsi="pplxSerif" w:cs="Times New Roman"/>
          <w:sz w:val="24"/>
          <w:szCs w:val="24"/>
        </w:rPr>
        <w:t>, and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CCNB2</w:t>
      </w:r>
      <w:r w:rsidRPr="00AC17EA">
        <w:rPr>
          <w:rFonts w:ascii="pplxSerif" w:eastAsia="Times New Roman" w:hAnsi="pplxSerif" w:cs="Times New Roman"/>
          <w:sz w:val="24"/>
          <w:szCs w:val="24"/>
        </w:rPr>
        <w:t xml:space="preserve"> as hub genes overexpressed in high-grade glioma. Prior multi-omics network analyses have identified </w:t>
      </w:r>
      <w:r w:rsidRPr="00AC17EA">
        <w:rPr>
          <w:rFonts w:ascii="pplxSerif" w:eastAsia="Times New Roman" w:hAnsi="pplxSerif" w:cs="Times New Roman"/>
          <w:sz w:val="24"/>
          <w:szCs w:val="24"/>
        </w:rPr>
        <w:lastRenderedPageBreak/>
        <w:t>178 prognostic genes whose combined activity states predict outcomes beyond conventional markers like IDH1 or PTEN.</w:t>
      </w:r>
    </w:p>
    <w:p w14:paraId="57612055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4.2 Single-Cell Gene Regulatory Network (GRN) Inference</w:t>
      </w:r>
    </w:p>
    <w:p w14:paraId="44223359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SCENIC+</w:t>
      </w:r>
      <w:r w:rsidRPr="00AC17EA">
        <w:rPr>
          <w:rFonts w:ascii="pplxSerif" w:eastAsia="Times New Roman" w:hAnsi="pplxSerif" w:cs="Times New Roman"/>
          <w:sz w:val="24"/>
          <w:szCs w:val="24"/>
        </w:rPr>
        <w:t xml:space="preserve"> (single-cell SCENIC) integrates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scRNA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-seq with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scATAC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-seq/ATAC data to reconstruct transcription factor (TF) regulons active in each tumor cell state:</w:t>
      </w:r>
    </w:p>
    <w:p w14:paraId="6F18A855" w14:textId="77777777" w:rsidR="00AC17EA" w:rsidRPr="00AC17EA" w:rsidRDefault="00AC17EA" w:rsidP="00AC17EA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Identifies master transcription factors driving each malignant state (e.g., SOX2, OLIG2, ZEB1, NF-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κB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)</w:t>
      </w:r>
    </w:p>
    <w:p w14:paraId="1FFEBE44" w14:textId="77777777" w:rsidR="00AC17EA" w:rsidRPr="00AC17EA" w:rsidRDefault="00AC17EA" w:rsidP="00AC17EA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TF regulon activity scores are computed per cell and aggregated per state</w:t>
      </w:r>
    </w:p>
    <w:p w14:paraId="0AD5F413" w14:textId="77777777" w:rsidR="00AC17EA" w:rsidRPr="00AC17EA" w:rsidRDefault="00AC17EA" w:rsidP="00AC17EA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TF targets that are also surface proteins are prioritized for immunotherapy; TFs themselves are prioritized for epigenetic targeting</w:t>
      </w:r>
    </w:p>
    <w:p w14:paraId="4D012750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4.3 Protein–Protein Interaction Network Analysis</w:t>
      </w:r>
    </w:p>
    <w:p w14:paraId="404DFA8F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The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STRING/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BioGRID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 human interactome is used to embed all DEG candidates into a network medicine framework:</w:t>
      </w:r>
    </w:p>
    <w:p w14:paraId="0A921944" w14:textId="77777777" w:rsidR="00AC17EA" w:rsidRPr="00AC17EA" w:rsidRDefault="00AC17EA" w:rsidP="00AC17EA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Network proximity analysis:</w:t>
      </w:r>
      <w:r w:rsidRPr="00AC17EA">
        <w:rPr>
          <w:rFonts w:ascii="pplxSerif" w:eastAsia="Times New Roman" w:hAnsi="pplxSerif" w:cs="Times New Roman"/>
          <w:sz w:val="24"/>
          <w:szCs w:val="24"/>
        </w:rPr>
        <w:t> Distance between candidate gene and known GBM disease module quantifies target relevance</w:t>
      </w:r>
    </w:p>
    <w:p w14:paraId="21E00CF6" w14:textId="77777777" w:rsidR="00AC17EA" w:rsidRPr="00AC17EA" w:rsidRDefault="00AC17EA" w:rsidP="00AC17EA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Betweenness/hub centrality scoring:</w:t>
      </w:r>
      <w:r w:rsidRPr="00AC17EA">
        <w:rPr>
          <w:rFonts w:ascii="pplxSerif" w:eastAsia="Times New Roman" w:hAnsi="pplxSerif" w:cs="Times New Roman"/>
          <w:sz w:val="24"/>
          <w:szCs w:val="24"/>
        </w:rPr>
        <w:t> Identifies bottleneck nodes in GBM signaling networks — high-value targets whose inhibition disrupts multiple pathways simultaneously</w:t>
      </w:r>
    </w:p>
    <w:p w14:paraId="2B5E093E" w14:textId="77777777" w:rsidR="00AC17EA" w:rsidRPr="00AC17EA" w:rsidRDefault="00AC17EA" w:rsidP="00AC17EA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Synthetic lethality prediction:</w:t>
      </w:r>
      <w:r w:rsidRPr="00AC17EA">
        <w:rPr>
          <w:rFonts w:ascii="pplxSerif" w:eastAsia="Times New Roman" w:hAnsi="pplxSerif" w:cs="Times New Roman"/>
          <w:sz w:val="24"/>
          <w:szCs w:val="24"/>
        </w:rPr>
        <w:t xml:space="preserve"> Integration with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DepMap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CRISPR/Cas9 KO viability screens across GBM cell lines (ACH lines) identifies synthetic lethal gene pairs — particularly valuable for PTEN-null and TP53-mutant GBM backgrounds</w:t>
      </w:r>
    </w:p>
    <w:p w14:paraId="51955B20" w14:textId="77777777" w:rsidR="00AC17EA" w:rsidRPr="00AC17EA" w:rsidRDefault="00AC17EA" w:rsidP="00AC17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A">
        <w:rPr>
          <w:rFonts w:ascii="Times New Roman" w:eastAsia="Times New Roman" w:hAnsi="Times New Roman" w:cs="Times New Roman"/>
          <w:sz w:val="24"/>
          <w:szCs w:val="24"/>
        </w:rPr>
        <w:pict w14:anchorId="04C7FC21">
          <v:rect id="_x0000_i1031" style="width:0;height:.75pt" o:hralign="center" o:hrstd="t" o:hr="t" fillcolor="#a0a0a0" stroked="f"/>
        </w:pict>
      </w:r>
    </w:p>
    <w:p w14:paraId="69D5BF07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Module 5: Therapeutic Modality–Specific Target Prioritization</w:t>
      </w:r>
    </w:p>
    <w:p w14:paraId="480E58AB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This module diverges into three parallel tracks, each scoring candidates through modality-specific criteria.</w:t>
      </w:r>
    </w:p>
    <w:p w14:paraId="696C6BE4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5A: Track 1 — Targeted Therapy (Small Molecules / Kinase Inhibitors)</w:t>
      </w:r>
    </w:p>
    <w:p w14:paraId="7F73E683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lastRenderedPageBreak/>
        <w:t>Scoring criteria:</w:t>
      </w:r>
    </w:p>
    <w:tbl>
      <w:tblPr>
        <w:tblW w:w="1029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1"/>
        <w:gridCol w:w="3445"/>
        <w:gridCol w:w="1197"/>
      </w:tblGrid>
      <w:tr w:rsidR="00AC17EA" w:rsidRPr="00AC17EA" w14:paraId="1D4AF254" w14:textId="77777777" w:rsidTr="00AC17E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5F23E2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F044FC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  <w:t>Tool/Database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932DA6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  <w:t>Weight</w:t>
            </w:r>
          </w:p>
        </w:tc>
      </w:tr>
      <w:tr w:rsidR="00AC17EA" w:rsidRPr="00AC17EA" w14:paraId="57425749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3F3CC2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Overexpression in tumor vs. normal brain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0AB9D1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DESeq2 log2FC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874A82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High</w:t>
            </w:r>
          </w:p>
        </w:tc>
      </w:tr>
      <w:tr w:rsidR="00AC17EA" w:rsidRPr="00AC17EA" w14:paraId="29A12B73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1B6150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Driver mutation / amplification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711313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GISTIC2 /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MutSig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F5B803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High</w:t>
            </w:r>
          </w:p>
        </w:tc>
      </w:tr>
      <w:tr w:rsidR="00AC17EA" w:rsidRPr="00AC17EA" w14:paraId="1EC10883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0CA508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Kinase/enzyme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druggability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23FDF9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DGIdb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ChEMBL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OpenTargets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D2F9AC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High</w:t>
            </w:r>
          </w:p>
        </w:tc>
      </w:tr>
      <w:tr w:rsidR="00AC17EA" w:rsidRPr="00AC17EA" w14:paraId="1A01001B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7058F0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Network centrality in GBM PPI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10D6BD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STRING betweenness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0AEBB4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Medium</w:t>
            </w:r>
          </w:p>
        </w:tc>
      </w:tr>
      <w:tr w:rsidR="00AC17EA" w:rsidRPr="00AC17EA" w14:paraId="71113C01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6DC9A0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Synthetic lethality with GBM driver (e.g., PTEN-loss)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DCD359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DepMap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 / SLAYER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A4B71A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High</w:t>
            </w:r>
          </w:p>
        </w:tc>
      </w:tr>
      <w:tr w:rsidR="00AC17EA" w:rsidRPr="00AC17EA" w14:paraId="2A3206AD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37F138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BBB penetration of known inhibitors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2DB8C1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CNS-MPO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157B8F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High</w:t>
            </w:r>
          </w:p>
        </w:tc>
      </w:tr>
      <w:tr w:rsidR="00AC17EA" w:rsidRPr="00AC17EA" w14:paraId="58DC69D6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36D9A3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Existing FDA-approved drug or clinical candidate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48244C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DGIdb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DrugBank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A54888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Medium</w:t>
            </w:r>
          </w:p>
        </w:tc>
      </w:tr>
    </w:tbl>
    <w:p w14:paraId="1AD52E2E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Drug repurposing via LINCS/L1000:</w:t>
      </w:r>
      <w:r w:rsidRPr="00AC17EA">
        <w:rPr>
          <w:rFonts w:ascii="pplxSerif" w:eastAsia="Times New Roman" w:hAnsi="pplxSerif" w:cs="Times New Roman"/>
          <w:sz w:val="24"/>
          <w:szCs w:val="24"/>
        </w:rPr>
        <w:br/>
        <w:t>The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summarized Reversal Gene Expression Score (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sRGES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)</w:t>
      </w:r>
      <w:r w:rsidRPr="00AC17EA">
        <w:rPr>
          <w:rFonts w:ascii="pplxSerif" w:eastAsia="Times New Roman" w:hAnsi="pplxSerif" w:cs="Times New Roman"/>
          <w:sz w:val="24"/>
          <w:szCs w:val="24"/>
        </w:rPr>
        <w:t xml:space="preserve"> approach is applied to the GBM gene expression profile (GGEP) constructed from Module 2. Compounds in LINCS L1000 whose transcriptional signatures most strongly oppose the GBM disease signature are ranked — this approach has demonstrated significant correlations with GBM cell line drug sensitivity (r = 0.37, p &lt; .001 in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ChEMBL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; r = 0.35, p &lt; .001 in CTRP). This mirrors the NCATS pipeline that identified 318 suspect GBM genes and matched reversal compounds.</w:t>
      </w:r>
    </w:p>
    <w:p w14:paraId="7F5962B7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Recent work validates repurposed targets including: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TYRO3</w:t>
      </w:r>
      <w:r w:rsidRPr="00AC17EA">
        <w:rPr>
          <w:rFonts w:ascii="pplxSerif" w:eastAsia="Times New Roman" w:hAnsi="pplxSerif" w:cs="Times New Roman"/>
          <w:sz w:val="24"/>
          <w:szCs w:val="24"/>
        </w:rPr>
        <w:t xml:space="preserve"> (targeted by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Vandetanib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),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CDK4/6</w:t>
      </w:r>
      <w:r w:rsidRPr="00AC17EA">
        <w:rPr>
          <w:rFonts w:ascii="pplxSerif" w:eastAsia="Times New Roman" w:hAnsi="pplxSerif" w:cs="Times New Roman"/>
          <w:sz w:val="24"/>
          <w:szCs w:val="24"/>
        </w:rPr>
        <w:t> pathway genes, and Hsp90 inhibitor XL888 identified through STRING-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Cytoscape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and SEA analysis of phenotypic screening hits.</w:t>
      </w:r>
    </w:p>
    <w:p w14:paraId="232CF5AD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Subtype-specific prioritization:</w:t>
      </w:r>
      <w:r w:rsidRPr="00AC17EA">
        <w:rPr>
          <w:rFonts w:ascii="pplxSerif" w:eastAsia="Times New Roman" w:hAnsi="pplxSerif" w:cs="Times New Roman"/>
          <w:sz w:val="24"/>
          <w:szCs w:val="24"/>
        </w:rPr>
        <w:br/>
        <w:t xml:space="preserve">Drug repurposing is repeated separately for each GBM subtype (Classical, Mesenchymal,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Proneural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) and for H3K27M-mutant DMG, enabling subtype-matched target nomination. For DMG, the ONC201/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dordaviprone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-sensitizing pathway (DRD2, SIGMAR1,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ClpP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) and the trametinib/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everolimus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(RAS-MAPK/PI3K-AKT-mTOR) axis are automatically evaluated.</w:t>
      </w:r>
    </w:p>
    <w:p w14:paraId="0ED9B69B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5B: Track 2 — Chemotherapy Sensitization (TMZ Resistance Reversal)</w:t>
      </w:r>
    </w:p>
    <w:p w14:paraId="513F1A18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lastRenderedPageBreak/>
        <w:t>The standard of care chemotherapy, temozolomide (TMZ), fails in most GBM patients due to MGMT promoter methylation status and diverse resistance mechanisms. This track specifically targets genes whose inhibition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restores</w:t>
      </w:r>
      <w:r w:rsidRPr="00AC17EA">
        <w:rPr>
          <w:rFonts w:ascii="pplxSerif" w:eastAsia="Times New Roman" w:hAnsi="pplxSerif" w:cs="Times New Roman"/>
          <w:sz w:val="24"/>
          <w:szCs w:val="24"/>
        </w:rPr>
        <w:t> TMZ sensitivity:</w:t>
      </w:r>
    </w:p>
    <w:p w14:paraId="7CD8F6FD" w14:textId="77777777" w:rsidR="00AC17EA" w:rsidRPr="00AC17EA" w:rsidRDefault="00AC17EA" w:rsidP="00AC17EA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MGMT methylation stratification:</w:t>
      </w:r>
      <w:r w:rsidRPr="00AC17EA">
        <w:rPr>
          <w:rFonts w:ascii="pplxSerif" w:eastAsia="Times New Roman" w:hAnsi="pplxSerif" w:cs="Times New Roman"/>
          <w:sz w:val="24"/>
          <w:szCs w:val="24"/>
        </w:rPr>
        <w:t> Samples split by MGMT promoter methylation; resistance-associated DEGs identified in MGMT-unmethylated tumors</w:t>
      </w:r>
    </w:p>
    <w:p w14:paraId="2A8833CF" w14:textId="77777777" w:rsidR="00AC17EA" w:rsidRPr="00AC17EA" w:rsidRDefault="00AC17EA" w:rsidP="00AC17EA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TMZ-resistant cell state identification:</w:t>
      </w:r>
      <w:r w:rsidRPr="00AC17EA">
        <w:rPr>
          <w:rFonts w:ascii="pplxSerif" w:eastAsia="Times New Roman" w:hAnsi="pplxSerif" w:cs="Times New Roman"/>
          <w:sz w:val="24"/>
          <w:szCs w:val="24"/>
        </w:rPr>
        <w:t> 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scRNA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-seq-based identification of cell populations that expand under TMZ (from longitudinal snRNA-seq data)</w:t>
      </w:r>
    </w:p>
    <w:p w14:paraId="46385541" w14:textId="77777777" w:rsidR="00AC17EA" w:rsidRPr="00AC17EA" w:rsidRDefault="00AC17EA" w:rsidP="00AC17EA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CRISPR sensitization screen integration:</w:t>
      </w:r>
      <w:r w:rsidRPr="00AC17EA">
        <w:rPr>
          <w:rFonts w:ascii="pplxSerif" w:eastAsia="Times New Roman" w:hAnsi="pplxSerif" w:cs="Times New Roman"/>
          <w:sz w:val="24"/>
          <w:szCs w:val="24"/>
        </w:rPr>
        <w:t> Published genome-wide CRISPR KO screens in TMZ-resistant GBM lines (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DepMap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, Project SCORE) are integrated to identify essential genes in TMZ-resistant cells</w:t>
      </w:r>
    </w:p>
    <w:p w14:paraId="7A2B7C45" w14:textId="77777777" w:rsidR="00AC17EA" w:rsidRPr="00AC17EA" w:rsidRDefault="00AC17EA" w:rsidP="00AC17EA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DNA damage response (DDR) synthetic lethality:</w:t>
      </w:r>
      <w:r w:rsidRPr="00AC17EA">
        <w:rPr>
          <w:rFonts w:ascii="pplxSerif" w:eastAsia="Times New Roman" w:hAnsi="pplxSerif" w:cs="Times New Roman"/>
          <w:sz w:val="24"/>
          <w:szCs w:val="24"/>
        </w:rPr>
        <w:t> Genes in the DDR network that are synthetic lethal with TMZ-induced damage are prioritized (e.g., PARP1, ATR, WEE1, RAD51, PRMT5/MAT2A axis)</w:t>
      </w:r>
    </w:p>
    <w:p w14:paraId="714B6537" w14:textId="77777777" w:rsidR="00AC17EA" w:rsidRPr="00AC17EA" w:rsidRDefault="00AC17EA" w:rsidP="00AC17EA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Glial-mesenchymal transition (GMT) reversal:</w:t>
      </w:r>
      <w:r w:rsidRPr="00AC17EA">
        <w:rPr>
          <w:rFonts w:ascii="pplxSerif" w:eastAsia="Times New Roman" w:hAnsi="pplxSerif" w:cs="Times New Roman"/>
          <w:sz w:val="24"/>
          <w:szCs w:val="24"/>
        </w:rPr>
        <w:t> GMT-driving transcription factors identified via SCENIC+ are targeted with compounds that reverse the GMT gene expression program — the JNK inhibitor SP600125 represents a recently validated example</w:t>
      </w:r>
    </w:p>
    <w:p w14:paraId="7476DC73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5C: Track 3 — CAR-T / CAR-NK Cell Therapy (Surface Antigen Discovery)</w:t>
      </w:r>
    </w:p>
    <w:p w14:paraId="0EF41028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This is the most novel and technically demanding track. Surface antigen prioritization follows a systematic funnel:</w:t>
      </w:r>
    </w:p>
    <w:p w14:paraId="441C830E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Step 1 — Surface proteome mining:</w:t>
      </w:r>
    </w:p>
    <w:p w14:paraId="14DC9697" w14:textId="77777777" w:rsidR="00AC17EA" w:rsidRPr="00AC17EA" w:rsidRDefault="00AC17EA" w:rsidP="00AC17EA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 xml:space="preserve">Integration of mass spectrometry–based surface proteomics datasets (published GBM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surfaceomics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) with RNA expression</w:t>
      </w:r>
    </w:p>
    <w:p w14:paraId="6D89E4E9" w14:textId="77777777" w:rsidR="00AC17EA" w:rsidRPr="00AC17EA" w:rsidRDefault="00AC17EA" w:rsidP="00AC17EA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Cell Surface Protein Atlas (CSPA) database filtering: only proteins with confirmed surface localization</w:t>
      </w:r>
    </w:p>
    <w:p w14:paraId="5E1FB87A" w14:textId="77777777" w:rsidR="00AC17EA" w:rsidRPr="00AC17EA" w:rsidRDefault="00AC17EA" w:rsidP="00AC17EA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scRNA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-seq–derived surface protein expression quantified using tools like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CITE-seq</w:t>
      </w:r>
      <w:r w:rsidRPr="00AC17EA">
        <w:rPr>
          <w:rFonts w:ascii="pplxSerif" w:eastAsia="Times New Roman" w:hAnsi="pplxSerif" w:cs="Times New Roman"/>
          <w:sz w:val="24"/>
          <w:szCs w:val="24"/>
        </w:rPr>
        <w:t> integration where available</w:t>
      </w:r>
    </w:p>
    <w:p w14:paraId="01F507A7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Step 2 — IMMUNOTAR scoring:</w:t>
      </w:r>
      <w:r w:rsidRPr="00AC17EA">
        <w:rPr>
          <w:rFonts w:ascii="pplxSerif" w:eastAsia="Times New Roman" w:hAnsi="pplxSerif" w:cs="Times New Roman"/>
          <w:sz w:val="24"/>
          <w:szCs w:val="24"/>
        </w:rPr>
        <w:br/>
        <w:t>The recently published IMMUNOTAR framework is applied to score each surface protein candidate across:</w:t>
      </w:r>
    </w:p>
    <w:p w14:paraId="3033314A" w14:textId="77777777" w:rsidR="00AC17EA" w:rsidRPr="00AC17EA" w:rsidRDefault="00AC17EA" w:rsidP="00AC17EA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Tumor-specific expression (tumor/normal ratio)</w:t>
      </w:r>
    </w:p>
    <w:p w14:paraId="36F6B063" w14:textId="77777777" w:rsidR="00AC17EA" w:rsidRPr="00AC17EA" w:rsidRDefault="00AC17EA" w:rsidP="00AC17EA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Cell line expression fidelity</w:t>
      </w:r>
    </w:p>
    <w:p w14:paraId="30D9A1E7" w14:textId="77777777" w:rsidR="00AC17EA" w:rsidRPr="00AC17EA" w:rsidRDefault="00AC17EA" w:rsidP="00AC17EA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Surface localization evidence strength</w:t>
      </w:r>
    </w:p>
    <w:p w14:paraId="2824EFE3" w14:textId="77777777" w:rsidR="00AC17EA" w:rsidRPr="00AC17EA" w:rsidRDefault="00AC17EA" w:rsidP="00AC17EA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Literature precedent for immunotherapy targeting</w:t>
      </w:r>
    </w:p>
    <w:p w14:paraId="2C13B08E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lastRenderedPageBreak/>
        <w:t>Step 3 — Cell-state coverage analysis:</w:t>
      </w:r>
      <w:r w:rsidRPr="00AC17EA">
        <w:rPr>
          <w:rFonts w:ascii="pplxSerif" w:eastAsia="Times New Roman" w:hAnsi="pplxSerif" w:cs="Times New Roman"/>
          <w:sz w:val="24"/>
          <w:szCs w:val="24"/>
        </w:rPr>
        <w:br/>
        <w:t>For each antigen candidate, the fraction of GBM cell states in which it is expressed above threshold is computed ("state coverage score"). Targets with &gt;70% cell-state coverage are classified as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pan-state targets</w:t>
      </w:r>
      <w:r w:rsidRPr="00AC17EA">
        <w:rPr>
          <w:rFonts w:ascii="pplxSerif" w:eastAsia="Times New Roman" w:hAnsi="pplxSerif" w:cs="Times New Roman"/>
          <w:sz w:val="24"/>
          <w:szCs w:val="24"/>
        </w:rPr>
        <w:t> (highest priority); targets restricted to one state enter a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combination targeting panel</w:t>
      </w:r>
      <w:r w:rsidRPr="00AC17EA">
        <w:rPr>
          <w:rFonts w:ascii="pplxSerif" w:eastAsia="Times New Roman" w:hAnsi="pplxSerif" w:cs="Times New Roman"/>
          <w:sz w:val="24"/>
          <w:szCs w:val="24"/>
        </w:rPr>
        <w:t>.</w:t>
      </w:r>
    </w:p>
    <w:p w14:paraId="0A69104E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Step 4 — On-target/off-tumor safety scoring:</w:t>
      </w:r>
      <w:r w:rsidRPr="00AC17EA">
        <w:rPr>
          <w:rFonts w:ascii="pplxSerif" w:eastAsia="Times New Roman" w:hAnsi="pplxSerif" w:cs="Times New Roman"/>
          <w:sz w:val="24"/>
          <w:szCs w:val="24"/>
        </w:rPr>
        <w:br/>
        <w:t xml:space="preserve">Expression in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GTEx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normal CNS tissues (frontal lobe, cerebellum, hippocampus, spinal cord) and peripheral organs is computed. Targets expressed at high levels in critical normal tissues are down-scored or flagged for epitope-selective CAR design (e.g., mAb806-like tumor-restricted epitopes for EGFR).</w:t>
      </w:r>
    </w:p>
    <w:p w14:paraId="7BA33635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Priority CAR-T antigen classes based on current evidence:</w:t>
      </w:r>
    </w:p>
    <w:tbl>
      <w:tblPr>
        <w:tblW w:w="1029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787"/>
        <w:gridCol w:w="1620"/>
        <w:gridCol w:w="2124"/>
        <w:gridCol w:w="2242"/>
      </w:tblGrid>
      <w:tr w:rsidR="00AC17EA" w:rsidRPr="00AC17EA" w14:paraId="73C5CB3C" w14:textId="77777777" w:rsidTr="00AC17E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638019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  <w:t>Antigen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3607D6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  <w:t>Expression Frequency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D784E5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  <w:t>Cell-State Coverage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120B19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  <w:t>Clinical 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40A9FB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  <w:t>Key Challenge</w:t>
            </w:r>
          </w:p>
        </w:tc>
      </w:tr>
      <w:tr w:rsidR="00AC17EA" w:rsidRPr="00AC17EA" w14:paraId="2F24D0D8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12C0D3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IL13Rα2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7C143B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&gt;75% GBMs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20CA09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Moderate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F3BAB8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Phase 1 (NCT02208362)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4F2400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Antigen escape</w:t>
            </w:r>
          </w:p>
        </w:tc>
      </w:tr>
      <w:tr w:rsidR="00AC17EA" w:rsidRPr="00AC17EA" w14:paraId="1C017678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6CB4D4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EGFRvIII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61F200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~25–40% GBMs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8D9A54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Low (mosaic)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66686D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Phase 1 (NCT01454596)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C0E441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Clonal heterogeneity</w:t>
            </w:r>
          </w:p>
        </w:tc>
      </w:tr>
      <w:tr w:rsidR="00AC17EA" w:rsidRPr="00AC17EA" w14:paraId="16D84393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2A9FF3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EGFR (mAb806 epitope)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471C9F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~60% amplified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21D69B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32BFCA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Phase 1 (NCT05168423)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F48D29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On-target/off-tumor</w:t>
            </w:r>
          </w:p>
        </w:tc>
      </w:tr>
      <w:tr w:rsidR="00AC17EA" w:rsidRPr="00AC17EA" w14:paraId="37CEDB06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A5248A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B7-H3 (CD276)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777635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High in GBM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EB24F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0B6AF2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Preclinical → early clinical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12B5A2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Limited specificity</w:t>
            </w:r>
          </w:p>
        </w:tc>
      </w:tr>
      <w:tr w:rsidR="00AC17EA" w:rsidRPr="00AC17EA" w14:paraId="392514C9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B5407C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PTGFRN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779D93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GBM-specific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E50A03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TBD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BDE75C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Preclinical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619F32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Novel; needs validation</w:t>
            </w:r>
          </w:p>
        </w:tc>
      </w:tr>
      <w:tr w:rsidR="00AC17EA" w:rsidRPr="00AC17EA" w14:paraId="55A0A6D2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9B31C5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HER2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D128BD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GBM-expressed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1489CB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Moderate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F6EDE5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Phase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1116B3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On-tumor expression variability</w:t>
            </w:r>
          </w:p>
        </w:tc>
      </w:tr>
      <w:tr w:rsidR="00AC17EA" w:rsidRPr="00AC17EA" w14:paraId="4A4D8F96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2C9F4F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GD2 (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disialoganglioside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E84515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Pediatric HGG/DMG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AF16FD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High in DMG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11B203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Phase 1/2 (pediatric)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E70F94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Normal tissue expression</w:t>
            </w:r>
          </w:p>
        </w:tc>
      </w:tr>
      <w:tr w:rsidR="00AC17EA" w:rsidRPr="00AC17EA" w14:paraId="363B1CA2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A39C6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lastRenderedPageBreak/>
              <w:t>H3K27M neoantigen peptide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D710F5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100% of H3K27M DMG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B27167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N/A (peptide)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B5538F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Preclinical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53784D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MHC restriction, peptide delivery</w:t>
            </w:r>
          </w:p>
        </w:tc>
      </w:tr>
    </w:tbl>
    <w:p w14:paraId="14C633AB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Step 5 — Dual/multi-antigen panel design:</w:t>
      </w:r>
      <w:r w:rsidRPr="00AC17EA">
        <w:rPr>
          <w:rFonts w:ascii="pplxSerif" w:eastAsia="Times New Roman" w:hAnsi="pplxSerif" w:cs="Times New Roman"/>
          <w:sz w:val="24"/>
          <w:szCs w:val="24"/>
        </w:rPr>
        <w:br/>
        <w:t xml:space="preserve">Using the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scRNA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-seq cell-state heterogeneity map, the pipeline designs optimal 2–3 antigen combinations that together achieve &gt;95% tumor cell coverage while minimizing normal tissue co-expression. This is the computational foundation for next-generation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synNotch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prime-and-kill and bivalent CAR-T constructs.</w:t>
      </w:r>
    </w:p>
    <w:p w14:paraId="12B8DF2C" w14:textId="77777777" w:rsidR="00AC17EA" w:rsidRPr="00AC17EA" w:rsidRDefault="00AC17EA" w:rsidP="00AC17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A">
        <w:rPr>
          <w:rFonts w:ascii="Times New Roman" w:eastAsia="Times New Roman" w:hAnsi="Times New Roman" w:cs="Times New Roman"/>
          <w:sz w:val="24"/>
          <w:szCs w:val="24"/>
        </w:rPr>
        <w:pict w14:anchorId="072036F0">
          <v:rect id="_x0000_i1032" style="width:0;height:.75pt" o:hralign="center" o:hrstd="t" o:hr="t" fillcolor="#a0a0a0" stroked="f"/>
        </w:pict>
      </w:r>
    </w:p>
    <w:p w14:paraId="5956495D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 xml:space="preserve">Module 6: Structural Biology, 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Druggability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, and Toxicity Filtering</w:t>
      </w:r>
    </w:p>
    <w:p w14:paraId="5E495F55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 xml:space="preserve">6.1 AI-Driven 3D Structure Prediction and 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Druggability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 xml:space="preserve"> Assessment</w:t>
      </w:r>
    </w:p>
    <w:p w14:paraId="3FDB24F5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For all candidates passing Module 5 scoring thresholds:</w:t>
      </w:r>
    </w:p>
    <w:p w14:paraId="5525A61E" w14:textId="77777777" w:rsidR="00AC17EA" w:rsidRPr="00AC17EA" w:rsidRDefault="00AC17EA" w:rsidP="00AC17EA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AlphaFold3 / RoseTTAFold2</w:t>
      </w:r>
      <w:r w:rsidRPr="00AC17EA">
        <w:rPr>
          <w:rFonts w:ascii="pplxSerif" w:eastAsia="Times New Roman" w:hAnsi="pplxSerif" w:cs="Times New Roman"/>
          <w:sz w:val="24"/>
          <w:szCs w:val="24"/>
        </w:rPr>
        <w:t> structure prediction for proteins lacking experimental structures</w:t>
      </w:r>
    </w:p>
    <w:p w14:paraId="2062A1F2" w14:textId="77777777" w:rsidR="00AC17EA" w:rsidRPr="00AC17EA" w:rsidRDefault="00AC17EA" w:rsidP="00AC17EA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AutoSite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 xml:space="preserve"> / 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DoGSiteScorer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 xml:space="preserve"> / 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SiteMap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 for binding pocket identification and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druggability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scoring</w:t>
      </w:r>
    </w:p>
    <w:p w14:paraId="02EB7A9D" w14:textId="77777777" w:rsidR="00AC17EA" w:rsidRPr="00AC17EA" w:rsidRDefault="00AC17EA" w:rsidP="00AC17EA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 xml:space="preserve">AI-accelerated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druggability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assessment frameworks identify allosteric sites and cryptic pockets not detectable by classical methods</w:t>
      </w:r>
    </w:p>
    <w:p w14:paraId="1ECB8745" w14:textId="77777777" w:rsidR="00AC17EA" w:rsidRPr="00AC17EA" w:rsidRDefault="00AC17EA" w:rsidP="00AC17EA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Molecular docking</w:t>
      </w:r>
      <w:r w:rsidRPr="00AC17EA">
        <w:rPr>
          <w:rFonts w:ascii="pplxSerif" w:eastAsia="Times New Roman" w:hAnsi="pplxSerif" w:cs="Times New Roman"/>
          <w:sz w:val="24"/>
          <w:szCs w:val="24"/>
        </w:rPr>
        <w:t xml:space="preserve"> (Glide,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AutoDock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-GPU, GNINA) of drug candidates against predicted structures; docking validated by molecular dynamics (GROMACS/AMBER)</w:t>
      </w:r>
    </w:p>
    <w:p w14:paraId="01111852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 xml:space="preserve">Molecular docking of repurposed drugs against key GBM targets has already identified candidates such as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Vandetanib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against TYRO3, validating this approach.</w:t>
      </w:r>
    </w:p>
    <w:p w14:paraId="07DEB964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6.2 CNS Pharmacokinetic Filtering</w:t>
      </w:r>
    </w:p>
    <w:p w14:paraId="067ADC44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A critical filter unique to brain tumor drug discovery:</w:t>
      </w:r>
    </w:p>
    <w:p w14:paraId="3260DEC1" w14:textId="77777777" w:rsidR="00AC17EA" w:rsidRPr="00AC17EA" w:rsidRDefault="00AC17EA" w:rsidP="00AC17EA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CNS Multi-Parameter Optimization (CNS-MPO)</w:t>
      </w:r>
      <w:r w:rsidRPr="00AC17EA">
        <w:rPr>
          <w:rFonts w:ascii="pplxSerif" w:eastAsia="Times New Roman" w:hAnsi="pplxSerif" w:cs="Times New Roman"/>
          <w:sz w:val="24"/>
          <w:szCs w:val="24"/>
        </w:rPr>
        <w:t> scoring for all small molecule candidates</w:t>
      </w:r>
    </w:p>
    <w:p w14:paraId="494E5D3B" w14:textId="77777777" w:rsidR="00AC17EA" w:rsidRPr="00AC17EA" w:rsidRDefault="00AC17EA" w:rsidP="00AC17EA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lastRenderedPageBreak/>
        <w:t>BBB permeability prediction</w:t>
      </w:r>
      <w:r w:rsidRPr="00AC17EA">
        <w:rPr>
          <w:rFonts w:ascii="pplxSerif" w:eastAsia="Times New Roman" w:hAnsi="pplxSerif" w:cs="Times New Roman"/>
          <w:sz w:val="24"/>
          <w:szCs w:val="24"/>
        </w:rPr>
        <w:t> (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SwissADME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,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pkCSM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,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DeepBBB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neural net)</w:t>
      </w:r>
    </w:p>
    <w:p w14:paraId="5E5B6AB9" w14:textId="77777777" w:rsidR="00AC17EA" w:rsidRPr="00AC17EA" w:rsidRDefault="00AC17EA" w:rsidP="00AC17EA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P-glycoprotein efflux liability</w:t>
      </w:r>
      <w:r w:rsidRPr="00AC17EA">
        <w:rPr>
          <w:rFonts w:ascii="pplxSerif" w:eastAsia="Times New Roman" w:hAnsi="pplxSerif" w:cs="Times New Roman"/>
          <w:sz w:val="24"/>
          <w:szCs w:val="24"/>
        </w:rPr>
        <w:t> prediction to identify compounds likely to be pumped out of the CNS</w:t>
      </w:r>
    </w:p>
    <w:p w14:paraId="741A2BE5" w14:textId="77777777" w:rsidR="00AC17EA" w:rsidRPr="00AC17EA" w:rsidRDefault="00AC17EA" w:rsidP="00AC17EA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 xml:space="preserve">Compounds failing BBB penetration criteria are flagged for alternative delivery strategies (convection-enhanced delivery, nanoparticle formulation,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intratumoral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infusion)</w:t>
      </w:r>
    </w:p>
    <w:p w14:paraId="2B12F797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6.3 Toxicity and Off-Target Profiling</w:t>
      </w:r>
    </w:p>
    <w:p w14:paraId="11B11807" w14:textId="77777777" w:rsidR="00AC17EA" w:rsidRPr="00AC17EA" w:rsidRDefault="00AC17EA" w:rsidP="00AC17EA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 xml:space="preserve">ProTox-3.0 / 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admetSAR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 for hepatotoxicity, cardiotoxicity, and organ-specific toxicity prediction</w:t>
      </w:r>
    </w:p>
    <w:p w14:paraId="51F3728C" w14:textId="77777777" w:rsidR="00AC17EA" w:rsidRPr="00AC17EA" w:rsidRDefault="00AC17EA" w:rsidP="00AC17EA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OffsideDB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 xml:space="preserve"> / SIDER</w:t>
      </w:r>
      <w:r w:rsidRPr="00AC17EA">
        <w:rPr>
          <w:rFonts w:ascii="pplxSerif" w:eastAsia="Times New Roman" w:hAnsi="pplxSerif" w:cs="Times New Roman"/>
          <w:sz w:val="24"/>
          <w:szCs w:val="24"/>
        </w:rPr>
        <w:t> for known adverse event profiles of repurposed drugs</w:t>
      </w:r>
    </w:p>
    <w:p w14:paraId="037E52EF" w14:textId="77777777" w:rsidR="00AC17EA" w:rsidRPr="00AC17EA" w:rsidRDefault="00AC17EA" w:rsidP="00AC17EA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Normal brain cell-type toxicity modeling:</w:t>
      </w:r>
      <w:r w:rsidRPr="00AC17EA">
        <w:rPr>
          <w:rFonts w:ascii="pplxSerif" w:eastAsia="Times New Roman" w:hAnsi="pplxSerif" w:cs="Times New Roman"/>
          <w:sz w:val="24"/>
          <w:szCs w:val="24"/>
        </w:rPr>
        <w:t xml:space="preserve"> Expression of targets in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scRNA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-seq atlases of normal human brain (Allen Brain Atlas, Human Cell Atlas) quantified to flag neurotoxicity risk</w:t>
      </w:r>
    </w:p>
    <w:p w14:paraId="204047C9" w14:textId="77777777" w:rsidR="00AC17EA" w:rsidRPr="00AC17EA" w:rsidRDefault="00AC17EA" w:rsidP="00AC17EA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For CAR-T targets, antigen density ratios (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tumor:normal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) are computed with thresholds derived from published clinical safety data (IL13Rα2 precedent: tumor/normal ratio &gt;10-fold required)</w:t>
      </w:r>
    </w:p>
    <w:p w14:paraId="5D0E9CE5" w14:textId="77777777" w:rsidR="00AC17EA" w:rsidRPr="00AC17EA" w:rsidRDefault="00AC17EA" w:rsidP="00AC17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A">
        <w:rPr>
          <w:rFonts w:ascii="Times New Roman" w:eastAsia="Times New Roman" w:hAnsi="Times New Roman" w:cs="Times New Roman"/>
          <w:sz w:val="24"/>
          <w:szCs w:val="24"/>
        </w:rPr>
        <w:pict w14:anchorId="79E84A75">
          <v:rect id="_x0000_i1033" style="width:0;height:.75pt" o:hralign="center" o:hrstd="t" o:hr="t" fillcolor="#a0a0a0" stroked="f"/>
        </w:pict>
      </w:r>
    </w:p>
    <w:p w14:paraId="14A5E3D9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Module 7: Integrated Scoring, Prioritization Matrix, and Experimental Validation Roadmap</w:t>
      </w:r>
    </w:p>
    <w:p w14:paraId="3B22A977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7.1 The GLIOMA-TARGET Scoring System</w:t>
      </w:r>
    </w:p>
    <w:p w14:paraId="3BCC0576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Each candidate gene/target receives a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composite GLIOMA-TARGET Score (GTS)</w:t>
      </w:r>
      <w:r w:rsidRPr="00AC17EA">
        <w:rPr>
          <w:rFonts w:ascii="pplxSerif" w:eastAsia="Times New Roman" w:hAnsi="pplxSerif" w:cs="Times New Roman"/>
          <w:sz w:val="24"/>
          <w:szCs w:val="24"/>
        </w:rPr>
        <w:t> computed as:</w:t>
      </w:r>
    </w:p>
    <w:p w14:paraId="1CFA416F" w14:textId="77777777" w:rsidR="00AC17EA" w:rsidRPr="00AC17EA" w:rsidRDefault="00AC17EA" w:rsidP="00AC17EA">
      <w:pPr>
        <w:spacing w:after="0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</w:rPr>
        <w:t>GTS=w1</w:t>
      </w:r>
      <w:r w:rsidRPr="00AC17EA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</w:rPr>
        <w:t>⋅</w:t>
      </w:r>
      <w:r w:rsidRPr="00AC17EA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</w:rPr>
        <w:t>E+w2</w:t>
      </w:r>
      <w:r w:rsidRPr="00AC17EA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</w:rPr>
        <w:t>⋅</w:t>
      </w:r>
      <w:r w:rsidRPr="00AC17EA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</w:rPr>
        <w:t>M+w3</w:t>
      </w:r>
      <w:r w:rsidRPr="00AC17EA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</w:rPr>
        <w:t>⋅</w:t>
      </w:r>
      <w:r w:rsidRPr="00AC17EA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</w:rPr>
        <w:t>S+w4</w:t>
      </w:r>
      <w:r w:rsidRPr="00AC17EA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</w:rPr>
        <w:t>⋅</w:t>
      </w:r>
      <w:r w:rsidRPr="00AC17EA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</w:rPr>
        <w:t>D+w5</w:t>
      </w:r>
      <w:r w:rsidRPr="00AC17EA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</w:rPr>
        <w:t>⋅</w:t>
      </w:r>
      <w:r w:rsidRPr="00AC17EA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</w:rPr>
        <w:t>N+w6</w:t>
      </w:r>
      <w:r w:rsidRPr="00AC17EA">
        <w:rPr>
          <w:rFonts w:ascii="Cambria Math" w:eastAsia="Times New Roman" w:hAnsi="Cambria Math" w:cs="Cambria Math"/>
          <w:sz w:val="29"/>
          <w:szCs w:val="29"/>
          <w:bdr w:val="none" w:sz="0" w:space="0" w:color="auto" w:frame="1"/>
        </w:rPr>
        <w:t>⋅</w:t>
      </w:r>
      <w:r w:rsidRPr="00AC17EA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</w:rPr>
        <w:t>T</w:t>
      </w:r>
      <w:r w:rsidRPr="00AC17EA">
        <w:rPr>
          <w:rFonts w:ascii="Times New Roman" w:eastAsia="Times New Roman" w:hAnsi="Times New Roman" w:cs="Times New Roman"/>
          <w:sz w:val="29"/>
          <w:szCs w:val="29"/>
          <w:bdr w:val="single" w:sz="2" w:space="0" w:color="auto" w:frame="1"/>
        </w:rPr>
        <w:t>GTS=</w:t>
      </w:r>
      <w:r w:rsidRPr="00AC17EA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auto" w:frame="1"/>
        </w:rPr>
        <w:t>w</w:t>
      </w:r>
      <w:r w:rsidRPr="00AC17EA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1</w:t>
      </w:r>
      <w:r w:rsidRPr="00AC17EA">
        <w:rPr>
          <w:rFonts w:ascii="Times New Roman" w:eastAsia="Times New Roman" w:hAnsi="Times New Roman" w:cs="Times New Roman"/>
          <w:sz w:val="2"/>
          <w:szCs w:val="2"/>
          <w:bdr w:val="single" w:sz="2" w:space="0" w:color="auto" w:frame="1"/>
        </w:rPr>
        <w:t>​</w:t>
      </w:r>
      <w:r w:rsidRPr="00AC17EA">
        <w:rPr>
          <w:rFonts w:ascii="Cambria Math" w:eastAsia="Times New Roman" w:hAnsi="Cambria Math" w:cs="Cambria Math"/>
          <w:sz w:val="29"/>
          <w:szCs w:val="29"/>
          <w:bdr w:val="single" w:sz="2" w:space="0" w:color="auto" w:frame="1"/>
        </w:rPr>
        <w:t>⋅</w:t>
      </w:r>
      <w:r w:rsidRPr="00AC17EA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auto" w:frame="1"/>
        </w:rPr>
        <w:t>E</w:t>
      </w:r>
      <w:r w:rsidRPr="00AC17EA">
        <w:rPr>
          <w:rFonts w:ascii="Times New Roman" w:eastAsia="Times New Roman" w:hAnsi="Times New Roman" w:cs="Times New Roman"/>
          <w:sz w:val="29"/>
          <w:szCs w:val="29"/>
          <w:bdr w:val="single" w:sz="2" w:space="0" w:color="auto" w:frame="1"/>
        </w:rPr>
        <w:t>+</w:t>
      </w:r>
      <w:r w:rsidRPr="00AC17EA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auto" w:frame="1"/>
        </w:rPr>
        <w:t>w</w:t>
      </w:r>
      <w:r w:rsidRPr="00AC17EA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2</w:t>
      </w:r>
      <w:r w:rsidRPr="00AC17EA">
        <w:rPr>
          <w:rFonts w:ascii="Times New Roman" w:eastAsia="Times New Roman" w:hAnsi="Times New Roman" w:cs="Times New Roman"/>
          <w:sz w:val="2"/>
          <w:szCs w:val="2"/>
          <w:bdr w:val="single" w:sz="2" w:space="0" w:color="auto" w:frame="1"/>
        </w:rPr>
        <w:t>​</w:t>
      </w:r>
      <w:r w:rsidRPr="00AC17EA">
        <w:rPr>
          <w:rFonts w:ascii="Cambria Math" w:eastAsia="Times New Roman" w:hAnsi="Cambria Math" w:cs="Cambria Math"/>
          <w:sz w:val="29"/>
          <w:szCs w:val="29"/>
          <w:bdr w:val="single" w:sz="2" w:space="0" w:color="auto" w:frame="1"/>
        </w:rPr>
        <w:t>⋅</w:t>
      </w:r>
      <w:r w:rsidRPr="00AC17EA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auto" w:frame="1"/>
        </w:rPr>
        <w:t>M</w:t>
      </w:r>
      <w:r w:rsidRPr="00AC17EA">
        <w:rPr>
          <w:rFonts w:ascii="Times New Roman" w:eastAsia="Times New Roman" w:hAnsi="Times New Roman" w:cs="Times New Roman"/>
          <w:sz w:val="29"/>
          <w:szCs w:val="29"/>
          <w:bdr w:val="single" w:sz="2" w:space="0" w:color="auto" w:frame="1"/>
        </w:rPr>
        <w:t>+</w:t>
      </w:r>
      <w:r w:rsidRPr="00AC17EA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auto" w:frame="1"/>
        </w:rPr>
        <w:t>w</w:t>
      </w:r>
      <w:r w:rsidRPr="00AC17EA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3</w:t>
      </w:r>
      <w:r w:rsidRPr="00AC17EA">
        <w:rPr>
          <w:rFonts w:ascii="Times New Roman" w:eastAsia="Times New Roman" w:hAnsi="Times New Roman" w:cs="Times New Roman"/>
          <w:sz w:val="2"/>
          <w:szCs w:val="2"/>
          <w:bdr w:val="single" w:sz="2" w:space="0" w:color="auto" w:frame="1"/>
        </w:rPr>
        <w:t>​</w:t>
      </w:r>
      <w:r w:rsidRPr="00AC17EA">
        <w:rPr>
          <w:rFonts w:ascii="Cambria Math" w:eastAsia="Times New Roman" w:hAnsi="Cambria Math" w:cs="Cambria Math"/>
          <w:sz w:val="29"/>
          <w:szCs w:val="29"/>
          <w:bdr w:val="single" w:sz="2" w:space="0" w:color="auto" w:frame="1"/>
        </w:rPr>
        <w:t>⋅</w:t>
      </w:r>
      <w:r w:rsidRPr="00AC17EA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auto" w:frame="1"/>
        </w:rPr>
        <w:t>S</w:t>
      </w:r>
      <w:r w:rsidRPr="00AC17EA">
        <w:rPr>
          <w:rFonts w:ascii="Times New Roman" w:eastAsia="Times New Roman" w:hAnsi="Times New Roman" w:cs="Times New Roman"/>
          <w:sz w:val="29"/>
          <w:szCs w:val="29"/>
          <w:bdr w:val="single" w:sz="2" w:space="0" w:color="auto" w:frame="1"/>
        </w:rPr>
        <w:t>+</w:t>
      </w:r>
      <w:r w:rsidRPr="00AC17EA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auto" w:frame="1"/>
        </w:rPr>
        <w:t>w</w:t>
      </w:r>
      <w:r w:rsidRPr="00AC17EA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4</w:t>
      </w:r>
      <w:r w:rsidRPr="00AC17EA">
        <w:rPr>
          <w:rFonts w:ascii="Times New Roman" w:eastAsia="Times New Roman" w:hAnsi="Times New Roman" w:cs="Times New Roman"/>
          <w:sz w:val="2"/>
          <w:szCs w:val="2"/>
          <w:bdr w:val="single" w:sz="2" w:space="0" w:color="auto" w:frame="1"/>
        </w:rPr>
        <w:t>​</w:t>
      </w:r>
      <w:r w:rsidRPr="00AC17EA">
        <w:rPr>
          <w:rFonts w:ascii="Cambria Math" w:eastAsia="Times New Roman" w:hAnsi="Cambria Math" w:cs="Cambria Math"/>
          <w:sz w:val="29"/>
          <w:szCs w:val="29"/>
          <w:bdr w:val="single" w:sz="2" w:space="0" w:color="auto" w:frame="1"/>
        </w:rPr>
        <w:t>⋅</w:t>
      </w:r>
      <w:r w:rsidRPr="00AC17EA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auto" w:frame="1"/>
        </w:rPr>
        <w:t>D</w:t>
      </w:r>
      <w:r w:rsidRPr="00AC17EA">
        <w:rPr>
          <w:rFonts w:ascii="Times New Roman" w:eastAsia="Times New Roman" w:hAnsi="Times New Roman" w:cs="Times New Roman"/>
          <w:sz w:val="29"/>
          <w:szCs w:val="29"/>
          <w:bdr w:val="single" w:sz="2" w:space="0" w:color="auto" w:frame="1"/>
        </w:rPr>
        <w:t>+</w:t>
      </w:r>
      <w:r w:rsidRPr="00AC17EA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auto" w:frame="1"/>
        </w:rPr>
        <w:t>w</w:t>
      </w:r>
      <w:r w:rsidRPr="00AC17EA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5</w:t>
      </w:r>
      <w:r w:rsidRPr="00AC17EA">
        <w:rPr>
          <w:rFonts w:ascii="Times New Roman" w:eastAsia="Times New Roman" w:hAnsi="Times New Roman" w:cs="Times New Roman"/>
          <w:sz w:val="2"/>
          <w:szCs w:val="2"/>
          <w:bdr w:val="single" w:sz="2" w:space="0" w:color="auto" w:frame="1"/>
        </w:rPr>
        <w:t>​</w:t>
      </w:r>
      <w:r w:rsidRPr="00AC17EA">
        <w:rPr>
          <w:rFonts w:ascii="Cambria Math" w:eastAsia="Times New Roman" w:hAnsi="Cambria Math" w:cs="Cambria Math"/>
          <w:sz w:val="29"/>
          <w:szCs w:val="29"/>
          <w:bdr w:val="single" w:sz="2" w:space="0" w:color="auto" w:frame="1"/>
        </w:rPr>
        <w:t>⋅</w:t>
      </w:r>
      <w:r w:rsidRPr="00AC17EA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auto" w:frame="1"/>
        </w:rPr>
        <w:t>N</w:t>
      </w:r>
      <w:r w:rsidRPr="00AC17EA">
        <w:rPr>
          <w:rFonts w:ascii="Times New Roman" w:eastAsia="Times New Roman" w:hAnsi="Times New Roman" w:cs="Times New Roman"/>
          <w:sz w:val="29"/>
          <w:szCs w:val="29"/>
          <w:bdr w:val="single" w:sz="2" w:space="0" w:color="auto" w:frame="1"/>
        </w:rPr>
        <w:t>+</w:t>
      </w:r>
      <w:r w:rsidRPr="00AC17EA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auto" w:frame="1"/>
        </w:rPr>
        <w:t>w</w:t>
      </w:r>
      <w:r w:rsidRPr="00AC17EA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6</w:t>
      </w:r>
      <w:r w:rsidRPr="00AC17EA">
        <w:rPr>
          <w:rFonts w:ascii="Times New Roman" w:eastAsia="Times New Roman" w:hAnsi="Times New Roman" w:cs="Times New Roman"/>
          <w:sz w:val="2"/>
          <w:szCs w:val="2"/>
          <w:bdr w:val="single" w:sz="2" w:space="0" w:color="auto" w:frame="1"/>
        </w:rPr>
        <w:t>​</w:t>
      </w:r>
      <w:r w:rsidRPr="00AC17EA">
        <w:rPr>
          <w:rFonts w:ascii="Cambria Math" w:eastAsia="Times New Roman" w:hAnsi="Cambria Math" w:cs="Cambria Math"/>
          <w:sz w:val="29"/>
          <w:szCs w:val="29"/>
          <w:bdr w:val="single" w:sz="2" w:space="0" w:color="auto" w:frame="1"/>
        </w:rPr>
        <w:t>⋅</w:t>
      </w:r>
      <w:r w:rsidRPr="00AC17EA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auto" w:frame="1"/>
        </w:rPr>
        <w:t>T</w:t>
      </w:r>
    </w:p>
    <w:p w14:paraId="47ACF054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Where:</w:t>
      </w:r>
    </w:p>
    <w:p w14:paraId="508C9869" w14:textId="77777777" w:rsidR="00AC17EA" w:rsidRPr="00AC17EA" w:rsidRDefault="00AC17EA" w:rsidP="00AC17EA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\(E\) = Expression specificity score (tumor/normal log2FC, cross-platform consistency)</w:t>
      </w:r>
    </w:p>
    <w:p w14:paraId="3CBFE271" w14:textId="77777777" w:rsidR="00AC17EA" w:rsidRPr="00AC17EA" w:rsidRDefault="00AC17EA" w:rsidP="00AC17EA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 xml:space="preserve">\(M\) = Mutation/dependency score (driver status,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DepMap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essentiality in HGG lines)</w:t>
      </w:r>
    </w:p>
    <w:p w14:paraId="285ECAEA" w14:textId="77777777" w:rsidR="00AC17EA" w:rsidRPr="00AC17EA" w:rsidRDefault="00AC17EA" w:rsidP="00AC17EA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\(S\) = Spatial/single-cell coverage score (fraction of cell states and spatial niches expressing target)</w:t>
      </w:r>
    </w:p>
    <w:p w14:paraId="579B3FE2" w14:textId="77777777" w:rsidR="00AC17EA" w:rsidRPr="00AC17EA" w:rsidRDefault="00AC17EA" w:rsidP="00AC17EA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lastRenderedPageBreak/>
        <w:t xml:space="preserve">\(D\) =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Druggability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score (structural pocket score + existing drug/antibody availability)</w:t>
      </w:r>
    </w:p>
    <w:p w14:paraId="79EEA8E0" w14:textId="77777777" w:rsidR="00AC17EA" w:rsidRPr="00AC17EA" w:rsidRDefault="00AC17EA" w:rsidP="00AC17EA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\(N\) = Network centrality score (PPI hub score, synthetic lethality evidence)</w:t>
      </w:r>
    </w:p>
    <w:p w14:paraId="53D1892B" w14:textId="77777777" w:rsidR="00AC17EA" w:rsidRPr="00AC17EA" w:rsidRDefault="00AC17EA" w:rsidP="00AC17EA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\(T\) = Toxicity safety score (inverse of off-tumor expression in critical normal tissues)</w:t>
      </w:r>
    </w:p>
    <w:p w14:paraId="288810C3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Weights </w:t>
      </w:r>
      <w:r w:rsidRPr="00AC17EA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</w:rPr>
        <w:t>w1</w:t>
      </w:r>
      <w:r w:rsidRPr="00AC17EA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auto" w:frame="1"/>
        </w:rPr>
        <w:t>w</w:t>
      </w:r>
      <w:r w:rsidRPr="00AC17EA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1</w:t>
      </w:r>
      <w:r w:rsidRPr="00AC17EA">
        <w:rPr>
          <w:rFonts w:ascii="Times New Roman" w:eastAsia="Times New Roman" w:hAnsi="Times New Roman" w:cs="Times New Roman"/>
          <w:sz w:val="2"/>
          <w:szCs w:val="2"/>
          <w:bdr w:val="single" w:sz="2" w:space="0" w:color="auto" w:frame="1"/>
        </w:rPr>
        <w:t>​</w:t>
      </w:r>
      <w:r w:rsidRPr="00AC17EA">
        <w:rPr>
          <w:rFonts w:ascii="pplxSerif" w:eastAsia="Times New Roman" w:hAnsi="pplxSerif" w:cs="Times New Roman"/>
          <w:sz w:val="24"/>
          <w:szCs w:val="24"/>
        </w:rPr>
        <w:t>–</w:t>
      </w:r>
      <w:r w:rsidRPr="00AC17EA">
        <w:rPr>
          <w:rFonts w:ascii="Times New Roman" w:eastAsia="Times New Roman" w:hAnsi="Times New Roman" w:cs="Times New Roman"/>
          <w:sz w:val="29"/>
          <w:szCs w:val="29"/>
          <w:bdr w:val="none" w:sz="0" w:space="0" w:color="auto" w:frame="1"/>
        </w:rPr>
        <w:t>w6</w:t>
      </w:r>
      <w:r w:rsidRPr="00AC17EA">
        <w:rPr>
          <w:rFonts w:ascii="KaTeX_Math" w:eastAsia="Times New Roman" w:hAnsi="KaTeX_Math" w:cs="Times New Roman"/>
          <w:i/>
          <w:iCs/>
          <w:sz w:val="29"/>
          <w:szCs w:val="29"/>
          <w:bdr w:val="single" w:sz="2" w:space="0" w:color="auto" w:frame="1"/>
        </w:rPr>
        <w:t>w</w:t>
      </w:r>
      <w:r w:rsidRPr="00AC17EA">
        <w:rPr>
          <w:rFonts w:ascii="Times New Roman" w:eastAsia="Times New Roman" w:hAnsi="Times New Roman" w:cs="Times New Roman"/>
          <w:sz w:val="20"/>
          <w:szCs w:val="20"/>
          <w:bdr w:val="single" w:sz="2" w:space="0" w:color="auto" w:frame="1"/>
        </w:rPr>
        <w:t>6</w:t>
      </w:r>
      <w:r w:rsidRPr="00AC17EA">
        <w:rPr>
          <w:rFonts w:ascii="Times New Roman" w:eastAsia="Times New Roman" w:hAnsi="Times New Roman" w:cs="Times New Roman"/>
          <w:sz w:val="2"/>
          <w:szCs w:val="2"/>
          <w:bdr w:val="single" w:sz="2" w:space="0" w:color="auto" w:frame="1"/>
        </w:rPr>
        <w:t>​</w:t>
      </w:r>
      <w:r w:rsidRPr="00AC17EA">
        <w:rPr>
          <w:rFonts w:ascii="pplxSerif" w:eastAsia="Times New Roman" w:hAnsi="pplxSerif" w:cs="Times New Roman"/>
          <w:sz w:val="24"/>
          <w:szCs w:val="24"/>
        </w:rPr>
        <w:t xml:space="preserve"> are modality-specific and optimized through cross-validation against known validated targets (IL13Rα2,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EGFRvIII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, EGFR for CAR-T; temozolomide-sensitizing targets for chemo track; EGFR/PDGFRA for targeted therapy).</w:t>
      </w:r>
    </w:p>
    <w:p w14:paraId="06F7D007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 xml:space="preserve">7.2 Output: </w:t>
      </w:r>
      <w:proofErr w:type="gramStart"/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Three Tiered</w:t>
      </w:r>
      <w:proofErr w:type="gramEnd"/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 xml:space="preserve"> Target Lists</w:t>
      </w:r>
    </w:p>
    <w:p w14:paraId="6BF43F15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Tier 1 (High Confidence, Immediately Actionable):</w:t>
      </w:r>
      <w:r w:rsidRPr="00AC17EA">
        <w:rPr>
          <w:rFonts w:ascii="pplxSerif" w:eastAsia="Times New Roman" w:hAnsi="pplxSerif" w:cs="Times New Roman"/>
          <w:sz w:val="24"/>
          <w:szCs w:val="24"/>
        </w:rPr>
        <w:t> GTS &gt; 0.75; validated in ≥3 independent cohorts; existing drug/antibody available; no significant normal CNS expression</w:t>
      </w:r>
    </w:p>
    <w:p w14:paraId="1424FEB8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Tier 2 (Moderate Confidence, Requires Target Validation):</w:t>
      </w:r>
      <w:r w:rsidRPr="00AC17EA">
        <w:rPr>
          <w:rFonts w:ascii="pplxSerif" w:eastAsia="Times New Roman" w:hAnsi="pplxSerif" w:cs="Times New Roman"/>
          <w:sz w:val="24"/>
          <w:szCs w:val="24"/>
        </w:rPr>
        <w:t> GTS 0.50–0.75; validated in ≥2 cohorts; druggable structure predicted; manageable safety profile</w:t>
      </w:r>
    </w:p>
    <w:p w14:paraId="6A4C9682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Tier 3 (Exploratory / Novel):</w:t>
      </w:r>
      <w:r w:rsidRPr="00AC17EA">
        <w:rPr>
          <w:rFonts w:ascii="pplxSerif" w:eastAsia="Times New Roman" w:hAnsi="pplxSerif" w:cs="Times New Roman"/>
          <w:sz w:val="24"/>
          <w:szCs w:val="24"/>
        </w:rPr>
        <w:t> GTS &lt; 0.50; single-cohort signal; requires de novo antibody/drug development; novel biology hypothesis</w:t>
      </w:r>
    </w:p>
    <w:p w14:paraId="1736E5E0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7.3 Experimental Validation Roadmap</w:t>
      </w:r>
    </w:p>
    <w:p w14:paraId="301D8463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The pipeline outputs a structured validation roadmap:</w:t>
      </w:r>
    </w:p>
    <w:p w14:paraId="776CA4C6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In vitro validation (Tier 1 &amp; 2 targets):</w:t>
      </w:r>
    </w:p>
    <w:p w14:paraId="1DFA45D4" w14:textId="77777777" w:rsidR="00AC17EA" w:rsidRPr="00AC17EA" w:rsidRDefault="00AC17EA" w:rsidP="00AC17EA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Patient-derived GBM stem cell (GSC) lines — confirm target expression by flow cytometry / IHC / WB</w:t>
      </w:r>
    </w:p>
    <w:p w14:paraId="2555A046" w14:textId="77777777" w:rsidR="00AC17EA" w:rsidRPr="00AC17EA" w:rsidRDefault="00AC17EA" w:rsidP="00AC17EA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 xml:space="preserve">CRISPR KO /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CRISPRi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knockdown in GSC lines + viability, invasion, stemness assays</w:t>
      </w:r>
    </w:p>
    <w:p w14:paraId="60F25121" w14:textId="77777777" w:rsidR="00AC17EA" w:rsidRPr="00AC17EA" w:rsidRDefault="00AC17EA" w:rsidP="00AC17EA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Drug sensitivity assays (Tier 1 repurposed drugs, EC50 in GSC panel)</w:t>
      </w:r>
    </w:p>
    <w:p w14:paraId="4B1F4591" w14:textId="77777777" w:rsidR="00AC17EA" w:rsidRPr="00AC17EA" w:rsidRDefault="00AC17EA" w:rsidP="00AC17EA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CAR-T co-culture assays: target-expressing vs. non-expressing tumor lines; IL-2/IFN-γ ELISA</w:t>
      </w:r>
    </w:p>
    <w:p w14:paraId="09BC98B5" w14:textId="77777777" w:rsidR="00AC17EA" w:rsidRPr="00AC17EA" w:rsidRDefault="00AC17EA" w:rsidP="00AC17EA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Patient-derived GBM organoid system for 3D CAR-T efficacy testing</w:t>
      </w:r>
    </w:p>
    <w:p w14:paraId="233B00BE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In vivo validation:</w:t>
      </w:r>
    </w:p>
    <w:p w14:paraId="29983A36" w14:textId="77777777" w:rsidR="00AC17EA" w:rsidRPr="00AC17EA" w:rsidRDefault="00AC17EA" w:rsidP="00AC17EA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Orthotopic xenograft (NSG mice) with patient-derived GSCs</w:t>
      </w:r>
    </w:p>
    <w:p w14:paraId="4FFE0481" w14:textId="77777777" w:rsidR="00AC17EA" w:rsidRPr="00AC17EA" w:rsidRDefault="00AC17EA" w:rsidP="00AC17EA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Intracranial CAR-T injection for locoregional delivery modeling (established as superior to systemic delivery)</w:t>
      </w:r>
    </w:p>
    <w:p w14:paraId="5EFFAF5D" w14:textId="77777777" w:rsidR="00AC17EA" w:rsidRPr="00AC17EA" w:rsidRDefault="00AC17EA" w:rsidP="00AC17EA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Bioluminescent tumor monitoring; survival endpoint</w:t>
      </w:r>
    </w:p>
    <w:p w14:paraId="11F76F36" w14:textId="77777777" w:rsidR="00AC17EA" w:rsidRPr="00AC17EA" w:rsidRDefault="00AC17EA" w:rsidP="00AC17EA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Immune competent syngeneic model (GL261) for CAR-T + TME combination studies</w:t>
      </w:r>
    </w:p>
    <w:p w14:paraId="5C7217B9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lastRenderedPageBreak/>
        <w:t>Translational readouts:</w:t>
      </w:r>
    </w:p>
    <w:p w14:paraId="2004FB63" w14:textId="77777777" w:rsidR="00AC17EA" w:rsidRPr="00AC17EA" w:rsidRDefault="00AC17EA" w:rsidP="00AC17EA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scRNA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-seq of treated organoids/tumors to detect antigen escape and state-shift under treatment</w:t>
      </w:r>
    </w:p>
    <w:p w14:paraId="7A2CBD02" w14:textId="77777777" w:rsidR="00AC17EA" w:rsidRPr="00AC17EA" w:rsidRDefault="00AC17EA" w:rsidP="00AC17EA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Proteomics of treated vs. untreated tumors to validate downstream pathway modulation</w:t>
      </w:r>
    </w:p>
    <w:p w14:paraId="215BF0D6" w14:textId="77777777" w:rsidR="00AC17EA" w:rsidRPr="00AC17EA" w:rsidRDefault="00AC17EA" w:rsidP="00AC17EA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CSF biomarker profiling for validated targets (informing clinical trial monitoring endpoints)</w:t>
      </w:r>
    </w:p>
    <w:p w14:paraId="5F330600" w14:textId="77777777" w:rsidR="00AC17EA" w:rsidRPr="00AC17EA" w:rsidRDefault="00AC17EA" w:rsidP="00AC17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A">
        <w:rPr>
          <w:rFonts w:ascii="Times New Roman" w:eastAsia="Times New Roman" w:hAnsi="Times New Roman" w:cs="Times New Roman"/>
          <w:sz w:val="24"/>
          <w:szCs w:val="24"/>
        </w:rPr>
        <w:pict w14:anchorId="5F7D7053">
          <v:rect id="_x0000_i1034" style="width:0;height:.75pt" o:hralign="center" o:hrstd="t" o:hr="t" fillcolor="#a0a0a0" stroked="f"/>
        </w:pict>
      </w:r>
    </w:p>
    <w:p w14:paraId="437A1A0C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Groundbreaking and Novel Features</w:t>
      </w:r>
    </w:p>
    <w:p w14:paraId="3E46155A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1. Unified Multi-Modal Data Fusion with Spatial Resolution</w:t>
      </w:r>
    </w:p>
    <w:p w14:paraId="21ADF31E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Unlike existing pipelines that operate on bulk RNA-seq alone, GLIOMA-TARGET integrates spatial transcriptomics to define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where</w:t>
      </w:r>
      <w:r w:rsidRPr="00AC17EA">
        <w:rPr>
          <w:rFonts w:ascii="pplxSerif" w:eastAsia="Times New Roman" w:hAnsi="pplxSerif" w:cs="Times New Roman"/>
          <w:sz w:val="24"/>
          <w:szCs w:val="24"/>
        </w:rPr>
        <w:t> within the tumor each target is expressed, addressing the fundamental challenge that spatially restricted targets may leave substantial tumor burden untouched.</w:t>
      </w:r>
    </w:p>
    <w:p w14:paraId="29547C13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2. Cell-State–Aware CAR-T Panel Design</w:t>
      </w:r>
    </w:p>
    <w:p w14:paraId="2928A4E5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By modeling GBM as a collection of dynamic cell states rather than a static tumor, the pipeline designs multi-antigen CAR-T panels that achieve pan-state coverage — directly addressing antigen escape and phenotypic plasticity. This is directly aligned with the most advanced CAR-T design concepts currently being tested clinically (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synNotch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, bivalent constructs).</w:t>
      </w:r>
    </w:p>
    <w:p w14:paraId="174A9D51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3. Subtype-Stratified Drug Repurposing via Signature Reversal</w:t>
      </w:r>
    </w:p>
    <w:p w14:paraId="2481E1C7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 xml:space="preserve">The LINCS/L1000-based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sRGES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approach is applied not to a single GBM "disease signature" but to subtype-specific and cell-state–specific signatures, generating subtype-matched drug recommendations that are more likely to be effective in molecularly defined patient populations.</w:t>
      </w:r>
    </w:p>
    <w:p w14:paraId="25BF4F5C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4. Synthetic Lethality Integration for Chemotherapy Sensitization</w:t>
      </w:r>
    </w:p>
    <w:p w14:paraId="37543B83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lastRenderedPageBreak/>
        <w:t>By integrating genome-wide CRISPR KO screens with driver mutation landscapes, the pipeline identifies genes that, when inhibited, render TMZ-resistant GBM cells selectively vulnerable — offering a rational combination partner for standard-of-care chemotherapy without requiring the discovery of de novo drug targets.</w:t>
      </w:r>
    </w:p>
    <w:p w14:paraId="357BE82F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5. Pediatric HGG / DMG–Specific Arm</w:t>
      </w:r>
    </w:p>
    <w:p w14:paraId="6D871383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Most computational target discovery pipelines focus exclusively on adult GBM. GLIOMA-TARGET explicitly includes an H3K27M-stratified pediatric DMG arm, leveraging the distinct epigenomic landscape and the recently demonstrated human brain organoid models of DMG to discover targets unique to this uniformly fatal pediatric disease.</w:t>
      </w:r>
    </w:p>
    <w:p w14:paraId="72046A85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 xml:space="preserve">6. AI-Accelerated Structural 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Druggability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 xml:space="preserve"> with AlphaFold3</w:t>
      </w:r>
    </w:p>
    <w:p w14:paraId="2E7759BE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 xml:space="preserve">The integration of AlphaFold3-predicted structures with AI-guided pocket identification allows the pipeline to evaluate the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druggability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of proteins that have no experimental crystal structure — dramatically expanding the targetable space beyond classical kinase domains to include previously "undruggable" transcription factors, scaffolding proteins, and novel surface receptors.</w:t>
      </w:r>
    </w:p>
    <w:p w14:paraId="33BA9761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 xml:space="preserve">7. 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scFOCAL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-Inspired Drug–Cell-State Matching</w:t>
      </w:r>
    </w:p>
    <w:p w14:paraId="184E3769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 xml:space="preserve">Inspired by the Georgetown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scFOCAL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algorithm, the pipeline matches drug sensitivity profiles from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DepMap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/PRISM against cell-state–specific transcriptional signatures, identifying drugs that selectively target drug-sensitive cell populations while predicting which populations will be resistant — enabling rational sequential or combination treatment design.</w:t>
      </w:r>
    </w:p>
    <w:p w14:paraId="0BB08273" w14:textId="77777777" w:rsidR="00AC17EA" w:rsidRPr="00AC17EA" w:rsidRDefault="00AC17EA" w:rsidP="00AC17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A">
        <w:rPr>
          <w:rFonts w:ascii="Times New Roman" w:eastAsia="Times New Roman" w:hAnsi="Times New Roman" w:cs="Times New Roman"/>
          <w:sz w:val="24"/>
          <w:szCs w:val="24"/>
        </w:rPr>
        <w:pict w14:anchorId="6A4B09E0">
          <v:rect id="_x0000_i1035" style="width:0;height:.75pt" o:hralign="center" o:hrstd="t" o:hr="t" fillcolor="#a0a0a0" stroked="f"/>
        </w:pict>
      </w:r>
    </w:p>
    <w:p w14:paraId="0D893E50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Implementation Stack and Reproducibility</w:t>
      </w:r>
    </w:p>
    <w:tbl>
      <w:tblPr>
        <w:tblW w:w="1029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6364"/>
      </w:tblGrid>
      <w:tr w:rsidR="00AC17EA" w:rsidRPr="00AC17EA" w14:paraId="6D6CDAD8" w14:textId="77777777" w:rsidTr="00AC17E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282FF1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  <w:t>Pipeline 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C4292F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b/>
                <w:bCs/>
                <w:spacing w:val="-6"/>
                <w:sz w:val="24"/>
                <w:szCs w:val="24"/>
              </w:rPr>
              <w:t>Primary Tools</w:t>
            </w:r>
          </w:p>
        </w:tc>
      </w:tr>
      <w:tr w:rsidR="00AC17EA" w:rsidRPr="00AC17EA" w14:paraId="4448CAFF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148A75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Workflow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1052E4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Snakemake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 /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Nextflow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 (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nf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-core)</w:t>
            </w:r>
          </w:p>
        </w:tc>
      </w:tr>
      <w:tr w:rsidR="00AC17EA" w:rsidRPr="00AC17EA" w14:paraId="46648301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A06E21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Bulk RNA-seq 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ADCB7F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STAR, Salmon, DESeq2,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edgeR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ComBat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-Seq</w:t>
            </w:r>
          </w:p>
        </w:tc>
      </w:tr>
      <w:tr w:rsidR="00AC17EA" w:rsidRPr="00AC17EA" w14:paraId="12B85F61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029C3A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scRNA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-seq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300EE7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Seurat v5,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Scanpy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, Harmony,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scVI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, SCENIC+</w:t>
            </w:r>
          </w:p>
        </w:tc>
      </w:tr>
      <w:tr w:rsidR="00AC17EA" w:rsidRPr="00AC17EA" w14:paraId="57E7A2E0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2FCD33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lastRenderedPageBreak/>
              <w:t>Spatial transcriptomics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E009E0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RCTD,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SPOTlight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, cell2location,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SpatialDE</w:t>
            </w:r>
            <w:proofErr w:type="spellEnd"/>
          </w:p>
        </w:tc>
      </w:tr>
      <w:tr w:rsidR="00AC17EA" w:rsidRPr="00AC17EA" w14:paraId="15A3E0A9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6056AC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Network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E9E285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igraph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NetworkX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, STRING API,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BioGRID</w:t>
            </w:r>
            <w:proofErr w:type="spellEnd"/>
          </w:p>
        </w:tc>
      </w:tr>
      <w:tr w:rsidR="00AC17EA" w:rsidRPr="00AC17EA" w14:paraId="5011A253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EE6CCA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WGCNA / co-expression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D06078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WGCNA (R),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hdWGCNA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 (single-cell)</w:t>
            </w:r>
          </w:p>
        </w:tc>
      </w:tr>
      <w:tr w:rsidR="00AC17EA" w:rsidRPr="00AC17EA" w14:paraId="31BD9B10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8D35F9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Drug repurposing / LINCS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5C79E7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CLUE platform,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sRGES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 scoring,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CMAPr</w:t>
            </w:r>
            <w:proofErr w:type="spellEnd"/>
          </w:p>
        </w:tc>
      </w:tr>
      <w:tr w:rsidR="00AC17EA" w:rsidRPr="00AC17EA" w14:paraId="6C3DF296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F2904D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Structural biology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96AB7E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AlphaFold3,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AutoDock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-GPU, GNINA, Glide</w:t>
            </w:r>
          </w:p>
        </w:tc>
      </w:tr>
      <w:tr w:rsidR="00AC17EA" w:rsidRPr="00AC17EA" w14:paraId="70FE294A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906153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ML / scoring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F2784F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scikit-learn,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PyTorch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 (GTS model training)</w:t>
            </w:r>
          </w:p>
        </w:tc>
      </w:tr>
      <w:tr w:rsidR="00AC17EA" w:rsidRPr="00AC17EA" w14:paraId="17FD5DB3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82FDBC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Survival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4CF26E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survival,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survminer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, lifelines</w:t>
            </w:r>
          </w:p>
        </w:tc>
      </w:tr>
      <w:tr w:rsidR="00AC17EA" w:rsidRPr="00AC17EA" w14:paraId="5A6C7770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0059B1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7DC7F3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ggplot2, Seurat plots, </w:t>
            </w:r>
            <w:proofErr w:type="spellStart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Squidpy</w:t>
            </w:r>
            <w:proofErr w:type="spellEnd"/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 xml:space="preserve"> (spatial)</w:t>
            </w:r>
          </w:p>
        </w:tc>
      </w:tr>
      <w:tr w:rsidR="00AC17EA" w:rsidRPr="00AC17EA" w14:paraId="35A2771D" w14:textId="77777777" w:rsidTr="00AC17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2EEC71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Containerization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5BFB" w14:textId="77777777" w:rsidR="00AC17EA" w:rsidRPr="00AC17EA" w:rsidRDefault="00AC17EA" w:rsidP="00AC17EA">
            <w:pPr>
              <w:spacing w:after="0" w:line="240" w:lineRule="auto"/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</w:pPr>
            <w:r w:rsidRPr="00AC17EA">
              <w:rPr>
                <w:rFonts w:ascii="Segoe UI" w:eastAsia="Times New Roman" w:hAnsi="Segoe UI" w:cs="Segoe UI"/>
                <w:spacing w:val="-6"/>
                <w:sz w:val="24"/>
                <w:szCs w:val="24"/>
              </w:rPr>
              <w:t>Docker / Singularity for HPC deployment</w:t>
            </w:r>
          </w:p>
        </w:tc>
      </w:tr>
    </w:tbl>
    <w:p w14:paraId="34C05F97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All code is designed for deployment on HPC clusters or cloud environments (AWS/GCP) with Singularity containers, ensuring reproducibility across computational environments.</w:t>
      </w:r>
    </w:p>
    <w:p w14:paraId="531FE558" w14:textId="77777777" w:rsidR="00AC17EA" w:rsidRPr="00AC17EA" w:rsidRDefault="00AC17EA" w:rsidP="00AC17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A">
        <w:rPr>
          <w:rFonts w:ascii="Times New Roman" w:eastAsia="Times New Roman" w:hAnsi="Times New Roman" w:cs="Times New Roman"/>
          <w:sz w:val="24"/>
          <w:szCs w:val="24"/>
        </w:rPr>
        <w:pict w14:anchorId="5BC6BB87">
          <v:rect id="_x0000_i1036" style="width:0;height:.75pt" o:hralign="center" o:hrstd="t" o:hr="t" fillcolor="#a0a0a0" stroked="f"/>
        </w:pict>
      </w:r>
    </w:p>
    <w:p w14:paraId="09AE315F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Anticipated High-Priority Candidate Categories</w:t>
      </w:r>
    </w:p>
    <w:p w14:paraId="7AA8B92A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Based on the current literature integrated into this pipeline design, the following target categories are most likely to emerge as top-ranked candidates:</w:t>
      </w:r>
    </w:p>
    <w:p w14:paraId="35D46E2E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Targeted Therapy Track:</w:t>
      </w:r>
    </w:p>
    <w:p w14:paraId="3193A02C" w14:textId="77777777" w:rsidR="00AC17EA" w:rsidRPr="00AC17EA" w:rsidRDefault="00AC17EA" w:rsidP="00AC17EA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RTK amplifications with druggable structure: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EGFR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PDGFRA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MET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FGFR1/3</w:t>
      </w:r>
    </w:p>
    <w:p w14:paraId="07747A13" w14:textId="77777777" w:rsidR="00AC17EA" w:rsidRPr="00AC17EA" w:rsidRDefault="00AC17EA" w:rsidP="00AC17EA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PI3K-AKT-mTOR axis: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PIK3CA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AKT1/2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mTOR</w:t>
      </w:r>
      <w:r w:rsidRPr="00AC17EA">
        <w:rPr>
          <w:rFonts w:ascii="pplxSerif" w:eastAsia="Times New Roman" w:hAnsi="pplxSerif" w:cs="Times New Roman"/>
          <w:sz w:val="24"/>
          <w:szCs w:val="24"/>
        </w:rPr>
        <w:t> (especially in PTEN-null tumors)</w:t>
      </w:r>
    </w:p>
    <w:p w14:paraId="1A7BE653" w14:textId="77777777" w:rsidR="00AC17EA" w:rsidRPr="00AC17EA" w:rsidRDefault="00AC17EA" w:rsidP="00AC17EA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RAS/MAPK pathway: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NF1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KRAS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MAP2K1</w:t>
      </w:r>
      <w:r w:rsidRPr="00AC17EA">
        <w:rPr>
          <w:rFonts w:ascii="pplxSerif" w:eastAsia="Times New Roman" w:hAnsi="pplxSerif" w:cs="Times New Roman"/>
          <w:sz w:val="24"/>
          <w:szCs w:val="24"/>
        </w:rPr>
        <w:t> (particularly in H3K27M-DMG)</w:t>
      </w:r>
    </w:p>
    <w:p w14:paraId="1E3FB334" w14:textId="77777777" w:rsidR="00AC17EA" w:rsidRPr="00AC17EA" w:rsidRDefault="00AC17EA" w:rsidP="00AC17EA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Epigenetic writers/readers: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EZH2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BRD4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DNMT3A</w:t>
      </w:r>
      <w:r w:rsidRPr="00AC17EA">
        <w:rPr>
          <w:rFonts w:ascii="pplxSerif" w:eastAsia="Times New Roman" w:hAnsi="pplxSerif" w:cs="Times New Roman"/>
          <w:sz w:val="24"/>
          <w:szCs w:val="24"/>
        </w:rPr>
        <w:t> (BET inhibitors for H3K27M)</w:t>
      </w:r>
    </w:p>
    <w:p w14:paraId="0CCA9C73" w14:textId="77777777" w:rsidR="00AC17EA" w:rsidRPr="00AC17EA" w:rsidRDefault="00AC17EA" w:rsidP="00AC17EA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Metabolic targets: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IDH1/2</w:t>
      </w:r>
      <w:r w:rsidRPr="00AC17EA">
        <w:rPr>
          <w:rFonts w:ascii="pplxSerif" w:eastAsia="Times New Roman" w:hAnsi="pplxSerif" w:cs="Times New Roman"/>
          <w:sz w:val="24"/>
          <w:szCs w:val="24"/>
        </w:rPr>
        <w:t> (IDH-mutant LGG/Grade III), glutaminase, fatty acid synthase</w:t>
      </w:r>
    </w:p>
    <w:p w14:paraId="53E090FD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lastRenderedPageBreak/>
        <w:t>Chemotherapy Sensitization Track:</w:t>
      </w:r>
    </w:p>
    <w:p w14:paraId="69271000" w14:textId="77777777" w:rsidR="00AC17EA" w:rsidRPr="00AC17EA" w:rsidRDefault="00AC17EA" w:rsidP="00AC17EA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MGMT</w:t>
      </w:r>
      <w:r w:rsidRPr="00AC17EA">
        <w:rPr>
          <w:rFonts w:ascii="pplxSerif" w:eastAsia="Times New Roman" w:hAnsi="pplxSerif" w:cs="Times New Roman"/>
          <w:sz w:val="24"/>
          <w:szCs w:val="24"/>
        </w:rPr>
        <w:t> expression regulators (to sensitize TMZ-resistant MGMT-unmethylated GBM)</w:t>
      </w:r>
    </w:p>
    <w:p w14:paraId="1A9DC4E4" w14:textId="77777777" w:rsidR="00AC17EA" w:rsidRPr="00AC17EA" w:rsidRDefault="00AC17EA" w:rsidP="00AC17EA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DDR pathway: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ATR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WEE1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PARP1</w:t>
      </w:r>
      <w:r w:rsidRPr="00AC17EA">
        <w:rPr>
          <w:rFonts w:ascii="pplxSerif" w:eastAsia="Times New Roman" w:hAnsi="pplxSerif" w:cs="Times New Roman"/>
          <w:sz w:val="24"/>
          <w:szCs w:val="24"/>
        </w:rPr>
        <w:t> (synthetic lethality with TMZ-induced DSBs)</w:t>
      </w:r>
    </w:p>
    <w:p w14:paraId="31972018" w14:textId="77777777" w:rsidR="00AC17EA" w:rsidRPr="00AC17EA" w:rsidRDefault="00AC17EA" w:rsidP="00AC17EA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MES-state drivers mediating acquired resistance: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ZEB1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TWIST1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CD44</w:t>
      </w:r>
    </w:p>
    <w:p w14:paraId="0DB6F437" w14:textId="77777777" w:rsidR="00AC17EA" w:rsidRPr="00AC17EA" w:rsidRDefault="00AC17EA" w:rsidP="00AC17EA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t>PRMT5/MAT2A axis (synthetic lethal in MTAP-deleted GBM)</w:t>
      </w:r>
    </w:p>
    <w:p w14:paraId="3EC39E00" w14:textId="77777777" w:rsidR="00AC17EA" w:rsidRPr="00AC17EA" w:rsidRDefault="00AC17EA" w:rsidP="00AC17EA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i/>
          <w:iCs/>
          <w:sz w:val="24"/>
          <w:szCs w:val="24"/>
          <w:bdr w:val="single" w:sz="2" w:space="0" w:color="auto" w:frame="1"/>
        </w:rPr>
        <w:t>CDKN2A</w:t>
      </w:r>
      <w:r w:rsidRPr="00AC17EA">
        <w:rPr>
          <w:rFonts w:ascii="pplxSerif" w:eastAsia="Times New Roman" w:hAnsi="pplxSerif" w:cs="Times New Roman"/>
          <w:sz w:val="24"/>
          <w:szCs w:val="24"/>
        </w:rPr>
        <w:t>-deleted cells: CDK4/6 inhibitors (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palbociclib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,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ribociclib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>) as TMZ sensitizers</w:t>
      </w:r>
    </w:p>
    <w:p w14:paraId="71912C6E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CAR-T/CAR-NK Track:</w:t>
      </w:r>
    </w:p>
    <w:p w14:paraId="69626E45" w14:textId="77777777" w:rsidR="00AC17EA" w:rsidRPr="00AC17EA" w:rsidRDefault="00AC17EA" w:rsidP="00AC17EA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Highest priority</w:t>
      </w:r>
      <w:r w:rsidRPr="00AC17EA">
        <w:rPr>
          <w:rFonts w:ascii="pplxSerif" w:eastAsia="Times New Roman" w:hAnsi="pplxSerif" w:cs="Times New Roman"/>
          <w:sz w:val="24"/>
          <w:szCs w:val="24"/>
        </w:rPr>
        <w:t>: IL13Rα2 (&gt;75% GBM, validated clinical activity), B7-H3 (high, broad expression), PTGFRN (GBM-specific)</w:t>
      </w:r>
    </w:p>
    <w:p w14:paraId="002D4614" w14:textId="77777777" w:rsidR="00AC17EA" w:rsidRPr="00AC17EA" w:rsidRDefault="00AC17EA" w:rsidP="00AC17EA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Mosaic/combination</w:t>
      </w:r>
      <w:r w:rsidRPr="00AC17EA">
        <w:rPr>
          <w:rFonts w:ascii="pplxSerif" w:eastAsia="Times New Roman" w:hAnsi="pplxSerif" w:cs="Times New Roman"/>
          <w:sz w:val="24"/>
          <w:szCs w:val="24"/>
        </w:rPr>
        <w:t xml:space="preserve">: </w:t>
      </w:r>
      <w:proofErr w:type="spellStart"/>
      <w:r w:rsidRPr="00AC17EA">
        <w:rPr>
          <w:rFonts w:ascii="pplxSerif" w:eastAsia="Times New Roman" w:hAnsi="pplxSerif" w:cs="Times New Roman"/>
          <w:sz w:val="24"/>
          <w:szCs w:val="24"/>
        </w:rPr>
        <w:t>EGFRvIII</w:t>
      </w:r>
      <w:proofErr w:type="spellEnd"/>
      <w:r w:rsidRPr="00AC17EA">
        <w:rPr>
          <w:rFonts w:ascii="pplxSerif" w:eastAsia="Times New Roman" w:hAnsi="pplxSerif" w:cs="Times New Roman"/>
          <w:sz w:val="24"/>
          <w:szCs w:val="24"/>
        </w:rPr>
        <w:t xml:space="preserve"> + EGFR-806 (bivalent; 62% regression rate), EphA2</w:t>
      </w:r>
    </w:p>
    <w:p w14:paraId="63E62E27" w14:textId="77777777" w:rsidR="00AC17EA" w:rsidRPr="00AC17EA" w:rsidRDefault="00AC17EA" w:rsidP="00AC17EA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Pediatric DMG</w:t>
      </w:r>
      <w:r w:rsidRPr="00AC17EA">
        <w:rPr>
          <w:rFonts w:ascii="pplxSerif" w:eastAsia="Times New Roman" w:hAnsi="pplxSerif" w:cs="Times New Roman"/>
          <w:sz w:val="24"/>
          <w:szCs w:val="24"/>
        </w:rPr>
        <w:t>: GD2, H3K27M neoantigen peptide/MHC complex, B7-H3</w:t>
      </w:r>
    </w:p>
    <w:p w14:paraId="1085738D" w14:textId="77777777" w:rsidR="00AC17EA" w:rsidRPr="00AC17EA" w:rsidRDefault="00AC17EA" w:rsidP="00AC17EA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 xml:space="preserve">Novel </w:t>
      </w:r>
      <w:proofErr w:type="spellStart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surfaceome</w:t>
      </w:r>
      <w:proofErr w:type="spellEnd"/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 xml:space="preserve"> candidates</w:t>
      </w:r>
      <w:r w:rsidRPr="00AC17EA">
        <w:rPr>
          <w:rFonts w:ascii="pplxSerif" w:eastAsia="Times New Roman" w:hAnsi="pplxSerif" w:cs="Times New Roman"/>
          <w:sz w:val="24"/>
          <w:szCs w:val="24"/>
        </w:rPr>
        <w:t>: CADM1, and additional candidates from IMMUNOTAR-scored GBM surface proteomics</w:t>
      </w:r>
    </w:p>
    <w:p w14:paraId="6AAEA0DE" w14:textId="77777777" w:rsidR="00AC17EA" w:rsidRPr="00AC17EA" w:rsidRDefault="00AC17EA" w:rsidP="00AC17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A">
        <w:rPr>
          <w:rFonts w:ascii="Times New Roman" w:eastAsia="Times New Roman" w:hAnsi="Times New Roman" w:cs="Times New Roman"/>
          <w:sz w:val="24"/>
          <w:szCs w:val="24"/>
        </w:rPr>
        <w:pict w14:anchorId="72150C1F">
          <v:rect id="_x0000_i1037" style="width:0;height:.75pt" o:hralign="center" o:hrstd="t" o:hr="t" fillcolor="#a0a0a0" stroked="f"/>
        </w:pict>
      </w:r>
    </w:p>
    <w:p w14:paraId="485E4AC7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Limitations and Key Unknowns</w:t>
      </w:r>
    </w:p>
    <w:p w14:paraId="64677DDF" w14:textId="77777777" w:rsidR="00AC17EA" w:rsidRPr="00AC17EA" w:rsidRDefault="00AC17EA" w:rsidP="00AC17EA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Translational gap:</w:t>
      </w:r>
      <w:r w:rsidRPr="00AC17EA">
        <w:rPr>
          <w:rFonts w:ascii="pplxSerif" w:eastAsia="Times New Roman" w:hAnsi="pplxSerif" w:cs="Times New Roman"/>
          <w:sz w:val="24"/>
          <w:szCs w:val="24"/>
        </w:rPr>
        <w:t> Computational target prediction cannot replace experimental validation; the pipeline generates hypotheses, not proofs. All Tier 1–3 targets require rigorous in vitro/in vivo validation before clinical translation.</w:t>
      </w:r>
    </w:p>
    <w:p w14:paraId="7154BC16" w14:textId="77777777" w:rsidR="00AC17EA" w:rsidRPr="00AC17EA" w:rsidRDefault="00AC17EA" w:rsidP="00AC17EA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Data completeness:</w:t>
      </w:r>
      <w:r w:rsidRPr="00AC17EA">
        <w:rPr>
          <w:rFonts w:ascii="pplxSerif" w:eastAsia="Times New Roman" w:hAnsi="pplxSerif" w:cs="Times New Roman"/>
          <w:sz w:val="24"/>
          <w:szCs w:val="24"/>
        </w:rPr>
        <w:t> Matched multi-omics data (RNA + protein + spatial + single-cell) from the same patient tumors remains limited. As CPTAC-GBM and spatial omics cohorts grow, pipeline performance will improve.</w:t>
      </w:r>
    </w:p>
    <w:p w14:paraId="5AC07D4B" w14:textId="77777777" w:rsidR="00AC17EA" w:rsidRPr="00AC17EA" w:rsidRDefault="00AC17EA" w:rsidP="00AC17EA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Immune microenvironment modeling:</w:t>
      </w:r>
      <w:r w:rsidRPr="00AC17EA">
        <w:rPr>
          <w:rFonts w:ascii="pplxSerif" w:eastAsia="Times New Roman" w:hAnsi="pplxSerif" w:cs="Times New Roman"/>
          <w:sz w:val="24"/>
          <w:szCs w:val="24"/>
        </w:rPr>
        <w:t> While the pipeline models TME cell types, it cannot fully predict the suppressive impact of GBM's immunosuppressive TME on CAR-T efficacy in vivo — a limitation requiring experimental models.</w:t>
      </w:r>
    </w:p>
    <w:p w14:paraId="25939644" w14:textId="77777777" w:rsidR="00AC17EA" w:rsidRPr="00AC17EA" w:rsidRDefault="00AC17EA" w:rsidP="00AC17EA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BBB prediction accuracy:</w:t>
      </w:r>
      <w:r w:rsidRPr="00AC17EA">
        <w:rPr>
          <w:rFonts w:ascii="pplxSerif" w:eastAsia="Times New Roman" w:hAnsi="pplxSerif" w:cs="Times New Roman"/>
          <w:sz w:val="24"/>
          <w:szCs w:val="24"/>
        </w:rPr>
        <w:t> In silico CNS-MPO scoring has imperfect specificity; compounds passing computational filters may still fail CNS delivery in vivo.</w:t>
      </w:r>
    </w:p>
    <w:p w14:paraId="29F87763" w14:textId="77777777" w:rsidR="00AC17EA" w:rsidRPr="00AC17EA" w:rsidRDefault="00AC17EA" w:rsidP="00AC17EA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Tumor evolution:</w:t>
      </w:r>
      <w:r w:rsidRPr="00AC17EA">
        <w:rPr>
          <w:rFonts w:ascii="pplxSerif" w:eastAsia="Times New Roman" w:hAnsi="pplxSerif" w:cs="Times New Roman"/>
          <w:sz w:val="24"/>
          <w:szCs w:val="24"/>
        </w:rPr>
        <w:t> Clonal dynamics under treatment are modeled using available longitudinal data, but the pipeline cannot predict de novo resistance mutations that arise post-treatment in individual patients.</w:t>
      </w:r>
    </w:p>
    <w:p w14:paraId="3C08CBC9" w14:textId="77777777" w:rsidR="00AC17EA" w:rsidRPr="00AC17EA" w:rsidRDefault="00AC17EA" w:rsidP="00AC17E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A">
        <w:rPr>
          <w:rFonts w:ascii="Times New Roman" w:eastAsia="Times New Roman" w:hAnsi="Times New Roman" w:cs="Times New Roman"/>
          <w:sz w:val="24"/>
          <w:szCs w:val="24"/>
        </w:rPr>
        <w:pict w14:anchorId="2C7EF88D">
          <v:rect id="_x0000_i1038" style="width:0;height:.75pt" o:hralign="center" o:hrstd="t" o:hr="t" fillcolor="#a0a0a0" stroked="f"/>
        </w:pict>
      </w:r>
    </w:p>
    <w:p w14:paraId="387EA80D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r w:rsidRPr="00AC17EA">
        <w:rPr>
          <w:rFonts w:ascii="pplxSerif" w:eastAsia="Times New Roman" w:hAnsi="pplxSerif" w:cs="Times New Roman"/>
          <w:b/>
          <w:bCs/>
          <w:sz w:val="36"/>
          <w:szCs w:val="36"/>
        </w:rPr>
        <w:t>Conclusion</w:t>
      </w:r>
    </w:p>
    <w:p w14:paraId="6E01BFE1" w14:textId="77777777" w:rsidR="00AC17EA" w:rsidRPr="00AC17EA" w:rsidRDefault="00AC17EA" w:rsidP="00AC17E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</w:rPr>
      </w:pPr>
      <w:r w:rsidRPr="00AC17EA">
        <w:rPr>
          <w:rFonts w:ascii="pplxSerif" w:eastAsia="Times New Roman" w:hAnsi="pplxSerif" w:cs="Times New Roman"/>
          <w:sz w:val="24"/>
          <w:szCs w:val="24"/>
        </w:rPr>
        <w:lastRenderedPageBreak/>
        <w:t>GLIOMA-TARGET represents a fundamentally new approach to therapeutic target discovery for high-grade gliomas — one that moves beyond single-omics, single-modality, and single-subtype analyses to deliver a comprehensive, integrative, and clinically translatable target landscape. By exploiting the convergence of spatial transcriptomics, single-cell cell-state mapping, network medicine, synthetic lethality, and AI-driven structural biology, this pipeline is positioned to identify high-confidence targets that are simultaneously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tumor-specific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spatially ubiquitous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druggable</w:t>
      </w:r>
      <w:r w:rsidRPr="00AC17EA">
        <w:rPr>
          <w:rFonts w:ascii="pplxSerif" w:eastAsia="Times New Roman" w:hAnsi="pplxSerif" w:cs="Times New Roman"/>
          <w:sz w:val="24"/>
          <w:szCs w:val="24"/>
        </w:rPr>
        <w:t>,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CNS-penetrable</w:t>
      </w:r>
      <w:r w:rsidRPr="00AC17EA">
        <w:rPr>
          <w:rFonts w:ascii="pplxSerif" w:eastAsia="Times New Roman" w:hAnsi="pplxSerif" w:cs="Times New Roman"/>
          <w:sz w:val="24"/>
          <w:szCs w:val="24"/>
        </w:rPr>
        <w:t>, and </w:t>
      </w:r>
      <w:r w:rsidRPr="00AC17EA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</w:rPr>
        <w:t>resistant to escape</w:t>
      </w:r>
      <w:r w:rsidRPr="00AC17EA">
        <w:rPr>
          <w:rFonts w:ascii="pplxSerif" w:eastAsia="Times New Roman" w:hAnsi="pplxSerif" w:cs="Times New Roman"/>
          <w:sz w:val="24"/>
          <w:szCs w:val="24"/>
        </w:rPr>
        <w:t> — the five criteria that all prior approaches have failed to satisfy simultaneously. The structured three-track output directly maps onto actionable therapeutic modalities, enabling parallel experimental validation and accelerating the path from computational discovery to clinical trial.</w:t>
      </w:r>
    </w:p>
    <w:p w14:paraId="69841188" w14:textId="77777777" w:rsidR="00024260" w:rsidRDefault="00024260"/>
    <w:sectPr w:rsidR="00024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49FD"/>
    <w:multiLevelType w:val="multilevel"/>
    <w:tmpl w:val="58BA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851B94"/>
    <w:multiLevelType w:val="multilevel"/>
    <w:tmpl w:val="46E8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6A3156"/>
    <w:multiLevelType w:val="multilevel"/>
    <w:tmpl w:val="00D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D4249D"/>
    <w:multiLevelType w:val="multilevel"/>
    <w:tmpl w:val="B830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991D6C"/>
    <w:multiLevelType w:val="multilevel"/>
    <w:tmpl w:val="FE46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002888"/>
    <w:multiLevelType w:val="multilevel"/>
    <w:tmpl w:val="4B90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483B53"/>
    <w:multiLevelType w:val="multilevel"/>
    <w:tmpl w:val="32C6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506EC4"/>
    <w:multiLevelType w:val="multilevel"/>
    <w:tmpl w:val="2E8A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87295C"/>
    <w:multiLevelType w:val="multilevel"/>
    <w:tmpl w:val="B2D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A5516E"/>
    <w:multiLevelType w:val="multilevel"/>
    <w:tmpl w:val="5290E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932404"/>
    <w:multiLevelType w:val="multilevel"/>
    <w:tmpl w:val="CA42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E0E37"/>
    <w:multiLevelType w:val="multilevel"/>
    <w:tmpl w:val="1634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32322E"/>
    <w:multiLevelType w:val="multilevel"/>
    <w:tmpl w:val="789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783CAD"/>
    <w:multiLevelType w:val="multilevel"/>
    <w:tmpl w:val="1796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237536"/>
    <w:multiLevelType w:val="multilevel"/>
    <w:tmpl w:val="D3F4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CD18C2"/>
    <w:multiLevelType w:val="multilevel"/>
    <w:tmpl w:val="F292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9E4987"/>
    <w:multiLevelType w:val="multilevel"/>
    <w:tmpl w:val="E804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225AEB"/>
    <w:multiLevelType w:val="multilevel"/>
    <w:tmpl w:val="4AEC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3B725C"/>
    <w:multiLevelType w:val="multilevel"/>
    <w:tmpl w:val="077E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384FC1"/>
    <w:multiLevelType w:val="multilevel"/>
    <w:tmpl w:val="A73C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7F23D3"/>
    <w:multiLevelType w:val="multilevel"/>
    <w:tmpl w:val="1542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C862E2"/>
    <w:multiLevelType w:val="multilevel"/>
    <w:tmpl w:val="9478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E230BE"/>
    <w:multiLevelType w:val="multilevel"/>
    <w:tmpl w:val="4424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100CCD"/>
    <w:multiLevelType w:val="multilevel"/>
    <w:tmpl w:val="8A86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20"/>
  </w:num>
  <w:num w:numId="3">
    <w:abstractNumId w:val="1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11"/>
  </w:num>
  <w:num w:numId="9">
    <w:abstractNumId w:val="3"/>
  </w:num>
  <w:num w:numId="10">
    <w:abstractNumId w:val="12"/>
  </w:num>
  <w:num w:numId="11">
    <w:abstractNumId w:val="8"/>
  </w:num>
  <w:num w:numId="12">
    <w:abstractNumId w:val="17"/>
  </w:num>
  <w:num w:numId="13">
    <w:abstractNumId w:val="21"/>
  </w:num>
  <w:num w:numId="14">
    <w:abstractNumId w:val="23"/>
  </w:num>
  <w:num w:numId="15">
    <w:abstractNumId w:val="16"/>
  </w:num>
  <w:num w:numId="16">
    <w:abstractNumId w:val="15"/>
  </w:num>
  <w:num w:numId="17">
    <w:abstractNumId w:val="19"/>
  </w:num>
  <w:num w:numId="18">
    <w:abstractNumId w:val="22"/>
  </w:num>
  <w:num w:numId="19">
    <w:abstractNumId w:val="10"/>
  </w:num>
  <w:num w:numId="20">
    <w:abstractNumId w:val="6"/>
  </w:num>
  <w:num w:numId="21">
    <w:abstractNumId w:val="14"/>
  </w:num>
  <w:num w:numId="22">
    <w:abstractNumId w:val="4"/>
  </w:num>
  <w:num w:numId="23">
    <w:abstractNumId w:val="13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EA"/>
    <w:rsid w:val="00024260"/>
    <w:rsid w:val="00AC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E86A"/>
  <w15:chartTrackingRefBased/>
  <w15:docId w15:val="{E7D989F5-36BA-40B8-A4AA-469B3AFDB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17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17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7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17E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AC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17EA"/>
    <w:rPr>
      <w:b/>
      <w:bCs/>
    </w:rPr>
  </w:style>
  <w:style w:type="character" w:styleId="Emphasis">
    <w:name w:val="Emphasis"/>
    <w:basedOn w:val="DefaultParagraphFont"/>
    <w:uiPriority w:val="20"/>
    <w:qFormat/>
    <w:rsid w:val="00AC17E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7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7E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17E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C17EA"/>
  </w:style>
  <w:style w:type="character" w:customStyle="1" w:styleId="mord">
    <w:name w:val="mord"/>
    <w:basedOn w:val="DefaultParagraphFont"/>
    <w:rsid w:val="00AC17EA"/>
  </w:style>
  <w:style w:type="character" w:customStyle="1" w:styleId="mrel">
    <w:name w:val="mrel"/>
    <w:basedOn w:val="DefaultParagraphFont"/>
    <w:rsid w:val="00AC17EA"/>
  </w:style>
  <w:style w:type="character" w:customStyle="1" w:styleId="vlist-s">
    <w:name w:val="vlist-s"/>
    <w:basedOn w:val="DefaultParagraphFont"/>
    <w:rsid w:val="00AC17EA"/>
  </w:style>
  <w:style w:type="character" w:customStyle="1" w:styleId="mbin">
    <w:name w:val="mbin"/>
    <w:basedOn w:val="DefaultParagraphFont"/>
    <w:rsid w:val="00AC1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3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036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129240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9677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699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686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60376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9564656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984639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30902423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862776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9517936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13805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78680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72871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1017017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214855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4314</Words>
  <Characters>24594</Characters>
  <Application>Microsoft Office Word</Application>
  <DocSecurity>0</DocSecurity>
  <Lines>204</Lines>
  <Paragraphs>57</Paragraphs>
  <ScaleCrop>false</ScaleCrop>
  <Company>Stanford University IT</Company>
  <LinksUpToDate>false</LinksUpToDate>
  <CharactersWithSpaces>28851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Sanker</dc:creator>
  <cp:keywords/>
  <dc:description/>
  <cp:lastModifiedBy>Vivek Sanker</cp:lastModifiedBy>
  <cp:revision>1</cp:revision>
  <dcterms:created xsi:type="dcterms:W3CDTF">2026-04-01T23:01:00Z</dcterms:created>
  <dcterms:modified xsi:type="dcterms:W3CDTF">2026-04-01T23:01:00Z</dcterms:modified>
</cp:coreProperties>
</file>