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scClinicalAudit: a field benchmark for single-cell clinical-label prediction under indication, portal, and provenance confounding</w:t>
      </w:r>
    </w:p>
    <w:p>
      <w:r>
        <w:rPr>
          <w:rFonts w:ascii="Times New Roman" w:hAnsi="Times New Roman"/>
          <w:b w:val="0"/>
          <w:i w:val="0"/>
          <w:sz w:val="24"/>
        </w:rPr>
        <w:t>Authors: Sanker, V. (TN Omics)</w:t>
      </w:r>
    </w:p>
    <w:p>
      <w:r>
        <w:rPr>
          <w:rFonts w:ascii="Times New Roman" w:hAnsi="Times New Roman"/>
          <w:b w:val="0"/>
          <w:i w:val="0"/>
          <w:sz w:val="24"/>
        </w:rPr>
        <w:t>Correspondence: [correspondence email to be completed]</w:t>
      </w:r>
    </w:p>
    <w:p>
      <w:pPr>
        <w:pStyle w:val="Heading1"/>
      </w:pPr>
      <w:r>
        <w:rPr>
          <w:color w:val="000000"/>
        </w:rPr>
        <w:t>Abstract</w:t>
      </w:r>
    </w:p>
    <w:p>
      <w:r>
        <w:rPr>
          <w:rFonts w:ascii="Times New Roman" w:hAnsi="Times New Roman"/>
          <w:b w:val="0"/>
          <w:i w:val="0"/>
          <w:sz w:val="24"/>
        </w:rPr>
        <w:t>Background. Public single-cell RNA atlases are increasingly reused to predict clinical states such as metastasis, yet systematic audits for cancer-type, portal, and label-provenance confounding remain rare. We introduce scClinicalAudit, a reusable evaluation framework with four pre-specified estimands: confound fraction, transportability, signature graveyard survival, and bulk-RNA positive controls.</w:t>
      </w:r>
    </w:p>
    <w:p>
      <w:r>
        <w:rPr>
          <w:rFonts w:ascii="Times New Roman" w:hAnsi="Times New Roman"/>
          <w:b w:val="0"/>
          <w:i w:val="0"/>
          <w:sz w:val="24"/>
        </w:rPr>
        <w:t>Results. Across a multi-drive registry of 1152 unique specimens (342 supervised), apparent pan-cohort scRNA metastasis ranking on the canonical specimen-authority cohort reached OOF AUROC 0.674 while a combined metadata ceiling reached 0.998 (confound fraction 1.00). Of 40 curated proxy programs, 30 survived strict within-indication correction (corrected AUROC ≥0.60; Δ&lt;0.10). A balanced TCGA-BRCA bulk RNA positive control retained OOF AUROC 0.755, whereas a THCA null arm did not (OOF ≈0.47).</w:t>
      </w:r>
    </w:p>
    <w:p>
      <w:r>
        <w:rPr>
          <w:rFonts w:ascii="Times New Roman" w:hAnsi="Times New Roman"/>
          <w:b w:val="0"/>
          <w:i w:val="0"/>
          <w:sz w:val="24"/>
        </w:rPr>
        <w:t>Conclusions. scClinicalAudit discriminates artifactual scRNA supervision from detectable within-indication bulk signal and provides a pilot field benchmark—not a metastasis-discovery claim. This work generalizes a companion single-cohort audit (Genome Biology submission; Zenodo 10.5281/zenodo.20610218).</w:t>
      </w:r>
    </w:p>
    <w:p>
      <w:pPr>
        <w:pStyle w:val="Heading1"/>
      </w:pPr>
      <w:r>
        <w:rPr>
          <w:color w:val="000000"/>
        </w:rPr>
        <w:t>Introduction</w:t>
      </w:r>
    </w:p>
    <w:p>
      <w:r>
        <w:rPr>
          <w:rFonts w:ascii="Times New Roman" w:hAnsi="Times New Roman"/>
          <w:b w:val="0"/>
          <w:i w:val="0"/>
          <w:sz w:val="24"/>
        </w:rPr>
        <w:t>Computational reuse of public single-cell tumor-microenvironment (TME) atlases for supervised clinical labels has outpaced standardized evaluation. Models can rank specimens using indication tags, data portal, or label-provenance structure rather than metastasis biology. Donor-grouped cross-validation controls donor leakage but not indication-level confounding.</w:t>
      </w:r>
    </w:p>
    <w:p>
      <w:r>
        <w:rPr>
          <w:rFonts w:ascii="Times New Roman" w:hAnsi="Times New Roman"/>
          <w:b w:val="0"/>
          <w:i w:val="0"/>
          <w:sz w:val="24"/>
        </w:rPr>
        <w:t>We present scClinicalAudit Archetype A: a field benchmark that (i) builds a multi-drive specimen registry, (ii) decomposes apparent AUROC into metadata-explained and residual components, (iii) quantifies transportability across indications and portals, (iv) re-evaluates curated proxy signatures under within-indication correction, and (v) anchors interpretation with balanced bulk TCGA positive and null controls. This paper is a methods and benchmark extension—not a claim of metastasis biomarker discovery.</w:t>
      </w:r>
    </w:p>
    <w:p>
      <w:r>
        <w:rPr>
          <w:rFonts w:ascii="Times New Roman" w:hAnsi="Times New Roman"/>
          <w:b w:val="0"/>
          <w:i w:val="0"/>
          <w:sz w:val="24"/>
        </w:rPr>
        <w:t>Relation to companion audit. A deep single-cohort confound audit of the same canonical labels (142 supervised; 33 metastatic-positive) is reported separately (Zenodo 10.5281/zenodo.20610218; https://github.com/vsanker21/scrna-metastasis-confound-audit), including calibration failure, block-permutation nulls, and HTAPP composition warnings. Here we generalize estimands across integrated packs and publish the reusable software.</w:t>
      </w:r>
    </w:p>
    <w:p>
      <w:pPr>
        <w:pStyle w:val="Heading1"/>
      </w:pPr>
      <w:r>
        <w:rPr>
          <w:color w:val="000000"/>
        </w:rPr>
        <w:t>Results</w:t>
      </w:r>
    </w:p>
    <w:p>
      <w:pPr>
        <w:pStyle w:val="Heading2"/>
      </w:pPr>
      <w:r>
        <w:rPr>
          <w:color w:val="000000"/>
        </w:rPr>
        <w:t>Multi-drive specimen registry</w:t>
      </w:r>
    </w:p>
    <w:p>
      <w:r>
        <w:rPr>
          <w:rFonts w:ascii="Times New Roman" w:hAnsi="Times New Roman"/>
          <w:b w:val="0"/>
          <w:i w:val="0"/>
          <w:sz w:val="24"/>
        </w:rPr>
        <w:t>The registry deduplicated 1152 graph-linked specimens across C/D/E/F assets, with 342 supervised rows under specimen-authority or pack-specific label policies. Leakage modes (specimen-grounded, portal–indication coupled, indication-saturated, inferred) are tabulated in Supplementary Table S1.</w:t>
      </w:r>
    </w:p>
    <w:p>
      <w:r>
        <w:drawing>
          <wp:inline xmlns:a="http://schemas.openxmlformats.org/drawingml/2006/main" xmlns:pic="http://schemas.openxmlformats.org/drawingml/2006/picture">
            <wp:extent cx="5669280" cy="2319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4_leakage_taxonom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/>
          <w:sz w:val="24"/>
        </w:rPr>
        <w:t>Figure 1. Registry breadth and leakage taxonomy across multi-drive manifests.</w:t>
      </w:r>
    </w:p>
    <w:p>
      <w:pPr>
        <w:pStyle w:val="Heading2"/>
      </w:pPr>
      <w:r>
        <w:rPr>
          <w:color w:val="000000"/>
        </w:rPr>
        <w:t>Confound decomposition spectrum (E1)</w:t>
      </w:r>
    </w:p>
    <w:p>
      <w:r>
        <w:rPr>
          <w:rFonts w:ascii="Times New Roman" w:hAnsi="Times New Roman"/>
          <w:b w:val="0"/>
          <w:i w:val="0"/>
          <w:sz w:val="24"/>
        </w:rPr>
        <w:t>For each integrated pack we estimated task OOF AUROC, adversarial metadata ceilings, and confound fraction (fraction of AUROC above chance explained by metadata). Canonical specimen-authority confound fraction was 1.00. Headline scale verification via f142 D-graph symlink parity yielded mean fold AUROC 0.780 with gate pass True.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1_decomposition_spectr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/>
          <w:sz w:val="24"/>
        </w:rPr>
        <w:t>Figure 2. Stacked decomposition of apparent AUROC above chance across integrated packs.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6_confound_cei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/>
          <w:sz w:val="24"/>
        </w:rPr>
        <w:t>Figure 3. Adversarial metadata baselines versus TME block logistic regression on the canonical cohort.</w:t>
      </w:r>
    </w:p>
    <w:p>
      <w:pPr>
        <w:pStyle w:val="Heading2"/>
      </w:pPr>
      <w:r>
        <w:rPr>
          <w:color w:val="000000"/>
        </w:rPr>
        <w:t>Transportability matrices (E2)</w:t>
      </w:r>
    </w:p>
    <w:p>
      <w:r>
        <w:rPr>
          <w:rFonts w:ascii="Times New Roman" w:hAnsi="Times New Roman"/>
          <w:b w:val="0"/>
          <w:i w:val="0"/>
          <w:sz w:val="24"/>
        </w:rPr>
        <w:t>Train-stratum → test-stratum block-logistic models quantify whether apparent performance transports across indications. Off-diagonal degradation indicates indication-specific structure rather than universal biology. Portal-stratified transport is shown in Supplementary Figure S1.</w:t>
      </w:r>
    </w:p>
    <w:p>
      <w:r>
        <w:drawing>
          <wp:inline xmlns:a="http://schemas.openxmlformats.org/drawingml/2006/main" xmlns:pic="http://schemas.openxmlformats.org/drawingml/2006/picture">
            <wp:extent cx="5669280" cy="4960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2_transportability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6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/>
          <w:sz w:val="24"/>
        </w:rPr>
        <w:t>Figure 4. Indication × indication transportability matrix (canonical cohort).</w:t>
      </w:r>
    </w:p>
    <w:p>
      <w:pPr>
        <w:pStyle w:val="Heading2"/>
      </w:pPr>
      <w:r>
        <w:rPr>
          <w:color w:val="000000"/>
        </w:rPr>
        <w:t>Signature graveyard (E3)</w:t>
      </w:r>
    </w:p>
    <w:p>
      <w:r>
        <w:rPr>
          <w:rFonts w:ascii="Times New Roman" w:hAnsi="Times New Roman"/>
          <w:b w:val="0"/>
          <w:i w:val="0"/>
          <w:sz w:val="24"/>
        </w:rPr>
        <w:t>We evaluated 40 curated proxy programs (literature gene sets, TME composition proxies, internal DE/GSEA panels). Primary survival used strict criteria: within-indication corrected OOF AUROC ≥0.60 and naive−corrected &lt;0.10. 30 passed; 31 passed looser exploratory criteria (≥0.55; Δ&lt;0.15). The graveyard reports audit outcomes, not pathway discovery.</w:t>
      </w:r>
    </w:p>
    <w:p>
      <w:r>
        <w:drawing>
          <wp:inline xmlns:a="http://schemas.openxmlformats.org/drawingml/2006/main" xmlns:pic="http://schemas.openxmlformats.org/drawingml/2006/picture">
            <wp:extent cx="5669280" cy="8818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3_signature_gravey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81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/>
          <w:sz w:val="24"/>
        </w:rPr>
        <w:t>Figure 5. Naive pan-cohort versus within-indication corrected signature AUROC.</w:t>
      </w:r>
    </w:p>
    <w:p>
      <w:pPr>
        <w:pStyle w:val="Heading2"/>
      </w:pPr>
      <w:r>
        <w:rPr>
          <w:color w:val="000000"/>
        </w:rPr>
        <w:t>Bulk RNA positive and null controls (E4)</w:t>
      </w:r>
    </w:p>
    <w:p>
      <w:r>
        <w:rPr>
          <w:rFonts w:ascii="Times New Roman" w:hAnsi="Times New Roman"/>
          <w:b w:val="0"/>
          <w:i w:val="0"/>
          <w:sz w:val="24"/>
        </w:rPr>
        <w:t>Balanced TCGA-BRCA bulk RNA (7 metastatic / 7 primary) yielded OOF AUROC 0.755 (primary positive control). Balanced TCGA-THCA (8+8) yielded OOF AUROC 0.469 (null arm). TCGA-SKCM expression was degenerate (196/200 metastatic) and excluded.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5_positive_contr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/>
          <w:sz w:val="24"/>
        </w:rPr>
        <w:t>Figure 6. Bulk within-indication positive control versus confounded scRNA strata.</w:t>
      </w:r>
    </w:p>
    <w:p>
      <w:pPr>
        <w:pStyle w:val="Heading1"/>
      </w:pPr>
      <w:r>
        <w:rPr>
          <w:color w:val="000000"/>
        </w:rPr>
        <w:t>Discussion</w:t>
      </w:r>
    </w:p>
    <w:p>
      <w:r>
        <w:rPr>
          <w:rFonts w:ascii="Times New Roman" w:hAnsi="Times New Roman"/>
          <w:b w:val="0"/>
          <w:i w:val="0"/>
          <w:sz w:val="24"/>
        </w:rPr>
        <w:t>scClinicalAudit supports a cautious field law: on available public assets, apparent scRNA metastasis predictability is routinely bounded by metadata and provenance ceilings, while balanced bulk within-indication controls can still show detectable signal. The framework is intentionally conservative—its value is discriminating real from artifactual supervision, not maximizing AUROC.</w:t>
      </w:r>
    </w:p>
    <w:p>
      <w:r>
        <w:rPr>
          <w:rFonts w:ascii="Times New Roman" w:hAnsi="Times New Roman"/>
          <w:b w:val="0"/>
          <w:i w:val="0"/>
          <w:sz w:val="24"/>
        </w:rPr>
        <w:t>Limitations include pilot scale (342 registry-supervised specimens versus exhaustive atlas coverage), proxy signatures where gene-aligned scRNA indices are unavailable, partial portal holdout (transport only), and deferred F943 graph rebuild (~537 GB). Per-patient scRNA–genomics coupling awaits dbGaP barcodes.</w:t>
      </w:r>
    </w:p>
    <w:p>
      <w:pPr>
        <w:pStyle w:val="Heading1"/>
      </w:pPr>
      <w:r>
        <w:rPr>
          <w:color w:val="000000"/>
        </w:rPr>
        <w:t>Methods</w:t>
      </w:r>
    </w:p>
    <w:p>
      <w:r>
        <w:rPr>
          <w:rFonts w:ascii="Times New Roman" w:hAnsi="Times New Roman"/>
          <w:b w:val="0"/>
          <w:i w:val="0"/>
          <w:sz w:val="24"/>
        </w:rPr>
        <w:t>Software. scClinicalAudit v2.0 (`src/sc_clinical_audit/`). Headline estimands E1–E4 are defined in the OSF pre-registration protocol. Cross-validation used donor-grouped GroupKFold; pooled OOF AUROC is reported for ranking tasks. Specimen-authority labels reject bare disease-string metastasis positives.</w:t>
      </w:r>
    </w:p>
    <w:p>
      <w:r>
        <w:rPr>
          <w:rFonts w:ascii="Times New Roman" w:hAnsi="Times New Roman"/>
          <w:b w:val="0"/>
          <w:i w:val="0"/>
          <w:sz w:val="24"/>
        </w:rPr>
        <w:t>Data availability. Raw scRNA remains on HTAN and CZ CELLxGENE; bulk TCGA features via NCI GDC. Code, results, and figures are deposited on GitHub and Zenodo (Archetype A release). OSF pre-registration DOI to be inserted after upload.</w:t>
      </w:r>
    </w:p>
    <w:p>
      <w:r>
        <w:rPr>
          <w:rFonts w:ascii="Times New Roman" w:hAnsi="Times New Roman"/>
          <w:b w:val="0"/>
          <w:i w:val="0"/>
          <w:sz w:val="24"/>
        </w:rPr>
        <w:t>Competing interests. The authors declare no competing interests.</w:t>
      </w:r>
    </w:p>
    <w:p>
      <w:r>
        <w:rPr>
          <w:rFonts w:ascii="Times New Roman" w:hAnsi="Times New Roman"/>
          <w:b w:val="0"/>
          <w:i w:val="0"/>
          <w:sz w:val="24"/>
        </w:rPr>
        <w:t>Funding. This work received no specific external funding.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