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00"/>
      </w:pPr>
      <w:r>
        <w:t xml:space="preserve"/>
      </w:r>
    </w:p>
    <w:p>
      <w:pPr>
        <w:spacing w:after="60" w:before="0"/>
        <w:jc w:val="left"/>
      </w:pPr>
      <w:r>
        <w:rPr>
          <w:rFonts w:ascii="Arial" w:cs="Arial" w:eastAsia="Arial" w:hAnsi="Arial"/>
          <w:b/>
          <w:bCs/>
          <w:color w:val="1B2F4E"/>
          <w:sz w:val="52"/>
          <w:szCs w:val="52"/>
        </w:rPr>
        <w:t xml:space="preserve">UDEMY COURSES DATA ANALYSIS</w:t>
      </w:r>
    </w:p>
    <w:p>
      <w:pPr>
        <w:spacing w:after="0" w:before="0"/>
      </w:pPr>
      <w:r>
        <w:rPr>
          <w:rFonts w:ascii="Georgia" w:cs="Georgia" w:eastAsia="Georgia" w:hAnsi="Georgia"/>
          <w:i/>
          <w:iCs/>
          <w:color w:val="1A7A6E"/>
          <w:sz w:val="26"/>
          <w:szCs w:val="26"/>
        </w:rPr>
        <w:t xml:space="preserve">An Exploratory Study of 3,678 Online Courses</w:t>
      </w:r>
    </w:p>
    <w:p>
      <w:pPr>
        <w:pBdr>
          <w:bottom w:val="single" w:color="1A7A6E" w:sz="12" w:space="1"/>
        </w:pBdr>
        <w:spacing w:after="100" w:before="100"/>
      </w:pPr>
      <w:r>
        <w:t xml:space="preserve"/>
      </w:r>
    </w:p>
    <w:p>
      <w:pPr>
        <w:spacing w:after="0" w:before="6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Anvi Patel</w:t>
      </w:r>
      <w:r>
        <w:rPr>
          <w:rFonts w:ascii="Arial" w:cs="Arial" w:eastAsia="Arial" w:hAnsi="Arial"/>
          <w:color w:val="AAAAAA"/>
          <w:sz w:val="20"/>
          <w:szCs w:val="20"/>
        </w:rPr>
        <w:t xml:space="preserve">   |   June 2026</w:t>
      </w:r>
    </w:p>
    <w:p>
      <w:pPr>
        <w:spacing w:after="0" w:before="280"/>
      </w:pPr>
      <w:r>
        <w:t xml:space="preserve"/>
      </w:r>
    </w:p>
    <w:p>
      <w:pPr>
        <w:spacing w:after="140" w:before="0"/>
        <w:jc w:val="both"/>
      </w:pP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Somewhere between a midnight idea and a career transformation, there is a Udemy course. This dataset captures 3,678 of them — each one a bet placed by an instructor that their knowledge is worth packaging, pricing, and publishing to the world.</w:t>
      </w:r>
    </w:p>
    <w:p>
      <w:pPr>
        <w:spacing w:after="140" w:before="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Udemy is not a university. There are no admission committees, no prerequisite chains, no degree at the end. What it has instead is a marketplace: instructors on one side, learners on the other, and a vast middle ground where topics as varied as investment banking, guitar technique, graphic design, and web development compete for the same finite resource — a learner's attention. Understanding how that competition plays out, who wins, and why, is the purpose of this analysis.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1B2F4E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3,678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DDCC"/>
                <w:sz w:val="17"/>
                <w:szCs w:val="17"/>
              </w:rPr>
              <w:t xml:space="preserve">Total Courses</w:t>
            </w:r>
          </w:p>
        </w:tc>
        <w:tc>
          <w:tcPr>
            <w:tcW w:type="dxa" w:w="1872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1A7A6E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DDCC"/>
                <w:sz w:val="17"/>
                <w:szCs w:val="17"/>
              </w:rPr>
              <w:t xml:space="preserve">Subjects</w:t>
            </w:r>
          </w:p>
        </w:tc>
        <w:tc>
          <w:tcPr>
            <w:tcW w:type="dxa" w:w="1872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1B2F4E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91.5%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DDCC"/>
                <w:sz w:val="17"/>
                <w:szCs w:val="17"/>
              </w:rPr>
              <w:t xml:space="preserve">Paid Courses</w:t>
            </w:r>
          </w:p>
        </w:tc>
        <w:tc>
          <w:tcPr>
            <w:tcW w:type="dxa" w:w="1872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1A7A6E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11,534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DDCC"/>
                <w:sz w:val="17"/>
                <w:szCs w:val="17"/>
              </w:rPr>
              <w:t xml:space="preserve">Avg Free Subscribers</w:t>
            </w:r>
          </w:p>
        </w:tc>
        <w:tc>
          <w:tcPr>
            <w:tcW w:type="dxa" w:w="1872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1B2F4E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center"/>
          </w:tcPr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2"/>
                <w:szCs w:val="42"/>
              </w:rPr>
              <w:t xml:space="preserve">29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AADDCC"/>
                <w:sz w:val="17"/>
                <w:szCs w:val="17"/>
              </w:rPr>
              <w:t xml:space="preserve">Python Courses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spacing w:after="70" w:before="300"/>
      </w:pPr>
      <w:r>
        <w:rPr>
          <w:rFonts w:ascii="Arial" w:cs="Arial" w:eastAsia="Arial" w:hAnsi="Arial"/>
          <w:b/>
          <w:bCs/>
          <w:color w:val="5B8DC4"/>
          <w:spacing w:val="40"/>
          <w:sz w:val="20"/>
          <w:szCs w:val="20"/>
        </w:rPr>
        <w:t xml:space="preserve">FOUR SUBJECTS, ONE MARKETPLACE</w:t>
      </w:r>
    </w:p>
    <w:p>
      <w:pPr>
        <w:pBdr>
          <w:bottom w:val="single" w:color="1A7A6E" w:sz="4" w:space="1"/>
        </w:pBdr>
        <w:spacing w:after="100" w:before="1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140" w:before="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Every course in the dataset belongs to one of four subjects: Web Development, Business Finance, Musical Instruments, and Graphic Design. These four are not randomly chosen; they represent Udemy's core audience — the self-improvers, career-changers, creative explorers, and side-hustle builders who make up the platform's lifeblood.</w:t>
      </w:r>
    </w:p>
    <w:p>
      <w:pPr>
        <w:spacing w:after="0" w:before="80"/>
      </w:pPr>
      <w:r>
        <w:t xml:space="preserve"/>
      </w:r>
    </w:p>
    <w:p>
      <w:pPr>
        <w:spacing w:after="60" w:before="160"/>
        <w:jc w:val="center"/>
      </w:pPr>
      <w:r>
        <w:drawing>
          <wp:inline distT="0" distB="0" distL="0" distR="0">
            <wp:extent cx="5667375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Figure 1 — Web Development and Business Finance dominate the catalogue, together accounting for 65% of all courses. Musical Instruments and Graphic Design serve smaller but distinct learner communities.</w:t>
      </w:r>
    </w:p>
    <w:p>
      <w:pPr>
        <w:spacing w:after="140" w:before="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Web Development (1,200 courses) and Business Finance (1,195) are nearly level-pegging in catalogue size — a tight race for the platform's most contested territory. Both subjects appeal to professionals with strong economic incentives to upskill: developers who want better salaries, finance professionals who want better credentials. Musical Instruments (680) and Graphic Design (603) are smaller but far from niche — they collectively represent nearly a quarter of the catalogue and serve a different kind of learner: someone driven by passion rather than purely by career calculus.</w:t>
      </w:r>
    </w:p>
    <w:p>
      <w:pPr>
        <w:spacing w:after="140" w:before="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But catalogue size and learner interest are not the same thing. To understand what learners actually choose, we need to look at where the subscribers go.</w:t>
      </w:r>
    </w:p>
    <w:p>
      <w:pPr>
        <w:spacing w:after="0" w:before="80"/>
      </w:pPr>
      <w:r>
        <w:t xml:space="preserve"/>
      </w:r>
    </w:p>
    <w:p>
      <w:pPr>
        <w:spacing w:after="60" w:before="160"/>
        <w:jc w:val="center"/>
      </w:pPr>
      <w:r>
        <w:drawing>
          <wp:inline distT="0" distB="0" distL="0" distR="0">
            <wp:extent cx="5667375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737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Figure 2 — Web Development commands nearly 8 million total subscribers — four times more than Business Finance. The gap between course count and subscriber count reveals where real learner demand lives.</w:t>
      </w:r>
    </w:p>
    <w:p>
      <w:pPr>
        <w:spacing w:after="140" w:before="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The subscriber chart tells a story that the course count chart obscures entirely. Web Development's </w:t>
      </w:r>
      <w:r>
        <w:rPr>
          <w:rFonts w:ascii="Georgia" w:cs="Georgia" w:eastAsia="Georgia" w:hAnsi="Georgia"/>
          <w:b/>
          <w:bCs/>
          <w:color w:val="1B2F4E"/>
          <w:sz w:val="22"/>
          <w:szCs w:val="22"/>
        </w:rPr>
        <w:t xml:space="preserve">7.98 million total subscribers</w:t>
      </w:r>
      <w:r>
        <w:rPr>
          <w:rFonts w:ascii="Georgia" w:cs="Georgia" w:eastAsia="Georgia" w:hAnsi="Georgia"/>
          <w:color w:val="2C2C2C"/>
          <w:sz w:val="22"/>
          <w:szCs w:val="22"/>
        </w:rPr>
        <w:t xml:space="preserve"> dwarf Business Finance's 1.87 million — despite the two subjects having almost the same number of courses. Web Development does not just have more courses; it has </w:t>
      </w:r>
      <w:r>
        <w:rPr>
          <w:rFonts w:ascii="Georgia" w:cs="Georgia" w:eastAsia="Georgia" w:hAnsi="Georgia"/>
          <w:i/>
          <w:iCs/>
          <w:color w:val="666666"/>
          <w:sz w:val="22"/>
          <w:szCs w:val="22"/>
        </w:rPr>
        <w:t xml:space="preserve">far more learners per course</w:t>
      </w:r>
      <w:r>
        <w:rPr>
          <w:rFonts w:ascii="Georgia" w:cs="Georgia" w:eastAsia="Georgia" w:hAnsi="Georgia"/>
          <w:color w:val="2C2C2C"/>
          <w:sz w:val="22"/>
          <w:szCs w:val="22"/>
        </w:rPr>
        <w:t xml:space="preserve">. Business Finance, Musical Instruments, and Graphic Design are respectable subjects, but in terms of raw learner demand, Web Development operates in a different league.</w:t>
      </w:r>
    </w:p>
    <w:p>
      <w:pPr>
        <w:spacing w:after="140" w:before="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The implication for an aspiring instructor is stark: entering the Web Development space means competing for enormous demand, but also fighting for visibility in a highly saturated market. Entering Graphic Design or Musical Instruments means smaller total audience, but potentially less competition and stronger community loyalty.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980"/>
        <w:gridCol w:w="20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</w:tcPr>
          <w:p>
            <w:r>
              <w:t xml:space="preserve"/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Georgia" w:cs="Georgia" w:eastAsia="Georgia" w:hAnsi="Georgia"/>
                <w:i/>
                <w:iCs/>
                <w:color w:val="1B2F4E"/>
                <w:sz w:val="23"/>
                <w:szCs w:val="23"/>
              </w:rPr>
              <w:t xml:space="preserve">Web Development has nearly four times more subscribers than Business Finance — despite nearly identical course counts. Demand and supply are not the same thing.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</w:tcPr>
          <w:p>
            <w:r>
              <w:t xml:space="preserve"/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70" w:before="300"/>
      </w:pPr>
      <w:r>
        <w:rPr>
          <w:rFonts w:ascii="Arial" w:cs="Arial" w:eastAsia="Arial" w:hAnsi="Arial"/>
          <w:b/>
          <w:bCs/>
          <w:color w:val="5B8DC4"/>
          <w:spacing w:val="40"/>
          <w:sz w:val="20"/>
          <w:szCs w:val="20"/>
        </w:rPr>
        <w:t xml:space="preserve">THE PRICE OF LEARNING</w:t>
      </w:r>
    </w:p>
    <w:p>
      <w:pPr>
        <w:pBdr>
          <w:bottom w:val="single" w:color="1A7A6E" w:sz="4" w:space="1"/>
        </w:pBdr>
        <w:spacing w:after="100" w:before="1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140" w:before="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Of 3,678 courses in the dataset, </w:t>
      </w:r>
      <w:r>
        <w:rPr>
          <w:rFonts w:ascii="Georgia" w:cs="Georgia" w:eastAsia="Georgia" w:hAnsi="Georgia"/>
          <w:b/>
          <w:bCs/>
          <w:color w:val="1B2F4E"/>
          <w:sz w:val="22"/>
          <w:szCs w:val="22"/>
        </w:rPr>
        <w:t xml:space="preserve">3,368 are paid (91.5%)</w:t>
      </w:r>
      <w:r>
        <w:rPr>
          <w:rFonts w:ascii="Georgia" w:cs="Georgia" w:eastAsia="Georgia" w:hAnsi="Georgia"/>
          <w:color w:val="2C2C2C"/>
          <w:sz w:val="22"/>
          <w:szCs w:val="22"/>
        </w:rPr>
        <w:t xml:space="preserve"> and just 310 are free. Udemy, unlike YouTube or Wikipedia, is overwhelmingly a paid platform. Instructors price their courses anywhere from a few dollars to the maximum of $200 — and the data reveals both the median behaviour and the outliers.</w:t>
      </w:r>
    </w:p>
    <w:p>
      <w:pPr>
        <w:spacing w:after="140" w:before="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The median course price is $45, with the upper quartile reaching $95 and the ceiling sitting at $200. This is not cheap education. A $200 Udemy course is priced comparably to a professional workshop or a short college module. Yet hundreds of courses carry that ceiling price, suggesting that instructors — and learners — believe the value justifies the cost.</w:t>
      </w:r>
    </w:p>
    <w:p>
      <w:pPr>
        <w:spacing w:after="0" w:before="80"/>
      </w:pPr>
      <w:r>
        <w:t xml:space="preserve"/>
      </w:r>
    </w:p>
    <w:p>
      <w:pPr>
        <w:spacing w:after="60" w:before="160"/>
        <w:jc w:val="center"/>
      </w:pPr>
      <w:r>
        <w:drawing>
          <wp:inline distT="0" distB="0" distL="0" distR="0">
            <wp:extent cx="6219825" cy="24669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Figure 3 — Free courses are a small fraction of the catalogue (310 vs 3,368) yet attract nearly five times more average subscribers than paid courses (11,534 vs 2,430). The economics of free are powerful and counterintuitive.</w:t>
      </w:r>
    </w:p>
    <w:p>
      <w:pPr>
        <w:spacing w:after="140" w:before="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The subscriber gap between free and paid courses is the dataset's most counterintuitive finding. Free courses average </w:t>
      </w:r>
      <w:r>
        <w:rPr>
          <w:rFonts w:ascii="Georgia" w:cs="Georgia" w:eastAsia="Georgia" w:hAnsi="Georgia"/>
          <w:b/>
          <w:bCs/>
          <w:color w:val="1B2F4E"/>
          <w:sz w:val="22"/>
          <w:szCs w:val="22"/>
        </w:rPr>
        <w:t xml:space="preserve">11,534 subscribers</w:t>
      </w:r>
      <w:r>
        <w:rPr>
          <w:rFonts w:ascii="Georgia" w:cs="Georgia" w:eastAsia="Georgia" w:hAnsi="Georgia"/>
          <w:color w:val="2C2C2C"/>
          <w:sz w:val="22"/>
          <w:szCs w:val="22"/>
        </w:rPr>
        <w:t xml:space="preserve"> each — nearly five times the 2,430 average for paid courses. This is not surprising in principle: free means no barrier to entry. But the magnitude of the gap is instructive. It suggests that price sensitivity on Udemy is very high, and that the conversion from free-course-browser to paid-course-buyer requires either very strong social proof (reviews, ratings) or very high perceived career value.</w:t>
      </w:r>
    </w:p>
    <w:p>
      <w:pPr>
        <w:spacing w:after="140" w:before="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There is also a content depth dimension. Paid courses average </w:t>
      </w:r>
      <w:r>
        <w:rPr>
          <w:rFonts w:ascii="Georgia" w:cs="Georgia" w:eastAsia="Georgia" w:hAnsi="Georgia"/>
          <w:b/>
          <w:bCs/>
          <w:color w:val="1B2F4E"/>
          <w:sz w:val="22"/>
          <w:szCs w:val="22"/>
        </w:rPr>
        <w:t xml:space="preserve">41.8 lectures</w:t>
      </w:r>
      <w:r>
        <w:rPr>
          <w:rFonts w:ascii="Georgia" w:cs="Georgia" w:eastAsia="Georgia" w:hAnsi="Georgia"/>
          <w:color w:val="2C2C2C"/>
          <w:sz w:val="22"/>
          <w:szCs w:val="22"/>
        </w:rPr>
        <w:t xml:space="preserve"> — nearly double the 21.4 lectures of free courses. Instructors who charge more deliver significantly more content, which may partly justify the price differential and partly explain why paid courses attract a more committed, if smaller, audience. A learner who pays $100 and receives 40+ lectures is making a qualitatively different decision than one who downloads a free 10-lecture primer.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920"/>
        <w:gridCol w:w="1920"/>
        <w:gridCol w:w="1920"/>
      </w:tblGrid>
      <w:tr>
        <w:trPr>
          <w:tblHeader/>
        </w:trPr>
        <w:tc>
          <w:tcPr>
            <w:tcW w:type="dxa" w:w="36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Metric</w:t>
            </w:r>
          </w:p>
        </w:tc>
        <w:tc>
          <w:tcPr>
            <w:tcW w:type="dxa" w:w="19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Free Courses</w:t>
            </w:r>
          </w:p>
        </w:tc>
        <w:tc>
          <w:tcPr>
            <w:tcW w:type="dxa" w:w="19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Paid Courses</w:t>
            </w:r>
          </w:p>
        </w:tc>
        <w:tc>
          <w:tcPr>
            <w:tcW w:type="dxa" w:w="19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1A7A6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Insight</w:t>
            </w:r>
          </w:p>
        </w:tc>
      </w:tr>
      <w:tr>
        <w:tc>
          <w:tcPr>
            <w:tcW w:type="dxa" w:w="36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Number of Courses</w:t>
            </w:r>
          </w:p>
        </w:tc>
        <w:tc>
          <w:tcPr>
            <w:tcW w:type="dxa" w:w="19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310</w:t>
            </w:r>
          </w:p>
        </w:tc>
        <w:tc>
          <w:tcPr>
            <w:tcW w:type="dxa" w:w="19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3,368</w:t>
            </w:r>
          </w:p>
        </w:tc>
        <w:tc>
          <w:tcPr>
            <w:tcW w:type="dxa" w:w="19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Paid dominates the catalogue (91.5%)</w:t>
            </w:r>
          </w:p>
        </w:tc>
      </w:tr>
      <w:tr>
        <w:tc>
          <w:tcPr>
            <w:tcW w:type="dxa" w:w="36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Avg Subscribers</w:t>
            </w:r>
          </w:p>
        </w:tc>
        <w:tc>
          <w:tcPr>
            <w:tcW w:type="dxa" w:w="19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11,534</w:t>
            </w:r>
          </w:p>
        </w:tc>
        <w:tc>
          <w:tcPr>
            <w:tcW w:type="dxa" w:w="19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2,430</w:t>
            </w:r>
          </w:p>
        </w:tc>
        <w:tc>
          <w:tcPr>
            <w:tcW w:type="dxa" w:w="19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Free = 5x more subscribers on average</w:t>
            </w:r>
          </w:p>
        </w:tc>
      </w:tr>
      <w:tr>
        <w:tc>
          <w:tcPr>
            <w:tcW w:type="dxa" w:w="36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Avg Lectures</w:t>
            </w:r>
          </w:p>
        </w:tc>
        <w:tc>
          <w:tcPr>
            <w:tcW w:type="dxa" w:w="19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21.4</w:t>
            </w:r>
          </w:p>
        </w:tc>
        <w:tc>
          <w:tcPr>
            <w:tcW w:type="dxa" w:w="19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41.8</w:t>
            </w:r>
          </w:p>
        </w:tc>
        <w:tc>
          <w:tcPr>
            <w:tcW w:type="dxa" w:w="19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Paid courses offer significantly more content</w:t>
            </w:r>
          </w:p>
        </w:tc>
      </w:tr>
      <w:tr>
        <w:tc>
          <w:tcPr>
            <w:tcW w:type="dxa" w:w="36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Price Range</w:t>
            </w:r>
          </w:p>
        </w:tc>
        <w:tc>
          <w:tcPr>
            <w:tcW w:type="dxa" w:w="19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$0</w:t>
            </w:r>
          </w:p>
        </w:tc>
        <w:tc>
          <w:tcPr>
            <w:tcW w:type="dxa" w:w="19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$20 – $200</w:t>
            </w:r>
          </w:p>
        </w:tc>
        <w:tc>
          <w:tcPr>
            <w:tcW w:type="dxa" w:w="19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Wide pricing spectrum in paid tier</w:t>
            </w:r>
          </w:p>
        </w:tc>
      </w:tr>
      <w:tr>
        <w:tc>
          <w:tcPr>
            <w:tcW w:type="dxa" w:w="36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Avg Reviews</w:t>
            </w:r>
          </w:p>
        </w:tc>
        <w:tc>
          <w:tcPr>
            <w:tcW w:type="dxa" w:w="19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—</w:t>
            </w:r>
          </w:p>
        </w:tc>
        <w:tc>
          <w:tcPr>
            <w:tcW w:type="dxa" w:w="19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Higher</w:t>
            </w:r>
          </w:p>
        </w:tc>
        <w:tc>
          <w:tcPr>
            <w:tcW w:type="dxa" w:w="192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Paid learners are more engaged reviewers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70" w:before="300"/>
      </w:pPr>
      <w:r>
        <w:rPr>
          <w:rFonts w:ascii="Arial" w:cs="Arial" w:eastAsia="Arial" w:hAnsi="Arial"/>
          <w:b/>
          <w:bCs/>
          <w:color w:val="5B8DC4"/>
          <w:spacing w:val="40"/>
          <w:sz w:val="20"/>
          <w:szCs w:val="20"/>
        </w:rPr>
        <w:t xml:space="preserve">WHO GETS ENROLLED, AND WHY</w:t>
      </w:r>
    </w:p>
    <w:p>
      <w:pPr>
        <w:pBdr>
          <w:bottom w:val="single" w:color="1A7A6E" w:sz="4" w:space="1"/>
        </w:pBdr>
        <w:spacing w:after="100" w:before="1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140" w:before="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Not all courses are designed for the same learner. The dataset segments courses into four difficulty levels — All Levels, Beginner, Intermediate, and Expert — and the subscriber distribution across these levels reveals where the platform's centre of gravity lies.</w:t>
      </w:r>
    </w:p>
    <w:p>
      <w:pPr>
        <w:spacing w:after="0" w:before="80"/>
      </w:pPr>
      <w:r>
        <w:t xml:space="preserve"/>
      </w:r>
    </w:p>
    <w:p>
      <w:pPr>
        <w:spacing w:after="60" w:before="160"/>
        <w:jc w:val="center"/>
      </w:pPr>
      <w:r>
        <w:drawing>
          <wp:inline distT="0" distB="0" distL="0" distR="0">
            <wp:extent cx="6219825" cy="2647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9825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40" w:before="0"/>
        <w:jc w:val="center"/>
      </w:pPr>
      <w:r>
        <w:rPr>
          <w:rFonts w:ascii="Arial" w:cs="Arial" w:eastAsia="Arial" w:hAnsi="Arial"/>
          <w:i/>
          <w:iCs/>
          <w:color w:val="888888"/>
          <w:sz w:val="17"/>
          <w:szCs w:val="17"/>
        </w:rPr>
        <w:t xml:space="preserve">Figure 4 — Left: All Levels courses attract the highest average subscribers (3,585), followed by Beginner Level. Expert Level courses command the smallest audiences. Right: The top 5 most subscribed courses are all free or in Web Development — often both.</w:t>
      </w:r>
    </w:p>
    <w:p>
      <w:pPr>
        <w:spacing w:after="140" w:before="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"All Levels" courses are the platform's most-enrolled, averaging </w:t>
      </w:r>
      <w:r>
        <w:rPr>
          <w:rFonts w:ascii="Georgia" w:cs="Georgia" w:eastAsia="Georgia" w:hAnsi="Georgia"/>
          <w:b/>
          <w:bCs/>
          <w:color w:val="1B2F4E"/>
          <w:sz w:val="22"/>
          <w:szCs w:val="22"/>
        </w:rPr>
        <w:t xml:space="preserve">3,585 subscribers</w:t>
      </w:r>
      <w:r>
        <w:rPr>
          <w:rFonts w:ascii="Georgia" w:cs="Georgia" w:eastAsia="Georgia" w:hAnsi="Georgia"/>
          <w:color w:val="2C2C2C"/>
          <w:sz w:val="22"/>
          <w:szCs w:val="22"/>
        </w:rPr>
        <w:t xml:space="preserve"> each. This is the instructor's equivalent of writing a book for a general audience: by casting the widest possible net — telling every learner that this course is for them — these courses minimise barriers and maximise appeal. Beginner Level courses (3,190 avg) follow closely: the largest pool of potential learners is always those just starting out.</w:t>
      </w:r>
    </w:p>
    <w:p>
      <w:pPr>
        <w:spacing w:after="140" w:before="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The Expert Level category tells a different story entirely. With just 58 courses and an average of only 865 subscribers each, expert content finds a much smaller audience. This is partly a market-size problem — there are simply fewer expert-level practitioners seeking further education — and partly a trust problem: an expert learner is also a skeptical learner, one who knows enough to evaluate quality and is harder to impress.</w:t>
      </w:r>
    </w:p>
    <w:p>
      <w:pPr>
        <w:spacing w:after="140" w:before="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The top five most subscribed courses crystallise the platform's dynamics perfectly. Four of the five are free. The single paid outlier — </w:t>
      </w:r>
      <w:r>
        <w:rPr>
          <w:rFonts w:ascii="Georgia" w:cs="Georgia" w:eastAsia="Georgia" w:hAnsi="Georgia"/>
          <w:b/>
          <w:bCs/>
          <w:color w:val="1B2F4E"/>
          <w:sz w:val="22"/>
          <w:szCs w:val="22"/>
        </w:rPr>
        <w:t xml:space="preserve">The Web Developer Bootcamp</w:t>
      </w:r>
      <w:r>
        <w:rPr>
          <w:rFonts w:ascii="Georgia" w:cs="Georgia" w:eastAsia="Georgia" w:hAnsi="Georgia"/>
          <w:color w:val="2C2C2C"/>
          <w:sz w:val="22"/>
          <w:szCs w:val="22"/>
        </w:rPr>
        <w:t xml:space="preserve"> at $200 with 121,584 subscribers — is an extraordinary achievement: a $200 course that attracted more paid learners than almost any other on the platform. It succeeds because of its </w:t>
      </w:r>
      <w:r>
        <w:rPr>
          <w:rFonts w:ascii="Georgia" w:cs="Georgia" w:eastAsia="Georgia" w:hAnsi="Georgia"/>
          <w:b/>
          <w:bCs/>
          <w:color w:val="1B2F4E"/>
          <w:sz w:val="22"/>
          <w:szCs w:val="22"/>
        </w:rPr>
        <w:t xml:space="preserve">27,445 reviews</w:t>
      </w:r>
      <w:r>
        <w:rPr>
          <w:rFonts w:ascii="Georgia" w:cs="Georgia" w:eastAsia="Georgia" w:hAnsi="Georgia"/>
          <w:color w:val="2C2C2C"/>
          <w:sz w:val="22"/>
          <w:szCs w:val="22"/>
        </w:rPr>
        <w:t xml:space="preserve"> (the most of any course in the dataset) and its reputation as the definitive beginner-to-professional web development pathway.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36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1B2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Course Title</w:t>
            </w:r>
          </w:p>
        </w:tc>
        <w:tc>
          <w:tcPr>
            <w:tcW w:type="dxa" w:w="14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1B2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Type</w:t>
            </w:r>
          </w:p>
        </w:tc>
        <w:tc>
          <w:tcPr>
            <w:tcW w:type="dxa" w:w="14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1B2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Price</w:t>
            </w:r>
          </w:p>
        </w:tc>
        <w:tc>
          <w:tcPr>
            <w:tcW w:type="dxa" w:w="14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1B2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Subscribers</w:t>
            </w:r>
          </w:p>
        </w:tc>
        <w:tc>
          <w:tcPr>
            <w:tcW w:type="dxa" w:w="14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1B2F4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What It Tells Us</w:t>
            </w:r>
          </w:p>
        </w:tc>
      </w:tr>
      <w:tr>
        <w:tc>
          <w:tcPr>
            <w:tcW w:type="dxa" w:w="36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Learn HTML5 Programming From Scratch</w:t>
            </w:r>
          </w:p>
        </w:tc>
        <w:tc>
          <w:tcPr>
            <w:tcW w:type="dxa" w:w="14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Free</w:t>
            </w:r>
          </w:p>
        </w:tc>
        <w:tc>
          <w:tcPr>
            <w:tcW w:type="dxa" w:w="14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$0</w:t>
            </w:r>
          </w:p>
        </w:tc>
        <w:tc>
          <w:tcPr>
            <w:tcW w:type="dxa" w:w="14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268,923</w:t>
            </w:r>
          </w:p>
        </w:tc>
        <w:tc>
          <w:tcPr>
            <w:tcW w:type="dxa" w:w="14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Free access + clear value = massive reach</w:t>
            </w:r>
          </w:p>
        </w:tc>
      </w:tr>
      <w:tr>
        <w:tc>
          <w:tcPr>
            <w:tcW w:type="dxa" w:w="36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Coding for Entrepreneurs Basic</w:t>
            </w:r>
          </w:p>
        </w:tc>
        <w:tc>
          <w:tcPr>
            <w:tcW w:type="dxa" w:w="14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Free</w:t>
            </w:r>
          </w:p>
        </w:tc>
        <w:tc>
          <w:tcPr>
            <w:tcW w:type="dxa" w:w="14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$0</w:t>
            </w:r>
          </w:p>
        </w:tc>
        <w:tc>
          <w:tcPr>
            <w:tcW w:type="dxa" w:w="14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161,029</w:t>
            </w:r>
          </w:p>
        </w:tc>
        <w:tc>
          <w:tcPr>
            <w:tcW w:type="dxa" w:w="14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Business + tech hybrid is a powerful draw</w:t>
            </w:r>
          </w:p>
        </w:tc>
      </w:tr>
      <w:tr>
        <w:tc>
          <w:tcPr>
            <w:tcW w:type="dxa" w:w="36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The Web Developer Bootcamp</w:t>
            </w:r>
          </w:p>
        </w:tc>
        <w:tc>
          <w:tcPr>
            <w:tcW w:type="dxa" w:w="14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Paid</w:t>
            </w:r>
          </w:p>
        </w:tc>
        <w:tc>
          <w:tcPr>
            <w:tcW w:type="dxa" w:w="14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$200</w:t>
            </w:r>
          </w:p>
        </w:tc>
        <w:tc>
          <w:tcPr>
            <w:tcW w:type="dxa" w:w="14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121,584</w:t>
            </w:r>
          </w:p>
        </w:tc>
        <w:tc>
          <w:tcPr>
            <w:tcW w:type="dxa" w:w="14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Premium price + trust signals = paid success</w:t>
            </w:r>
          </w:p>
        </w:tc>
      </w:tr>
      <w:tr>
        <w:tc>
          <w:tcPr>
            <w:tcW w:type="dxa" w:w="36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Build Your First Website (HTML5 &amp; CSS3)</w:t>
            </w:r>
          </w:p>
        </w:tc>
        <w:tc>
          <w:tcPr>
            <w:tcW w:type="dxa" w:w="14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Free</w:t>
            </w:r>
          </w:p>
        </w:tc>
        <w:tc>
          <w:tcPr>
            <w:tcW w:type="dxa" w:w="14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$0</w:t>
            </w:r>
          </w:p>
        </w:tc>
        <w:tc>
          <w:tcPr>
            <w:tcW w:type="dxa" w:w="14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120,291</w:t>
            </w:r>
          </w:p>
        </w:tc>
        <w:tc>
          <w:tcPr>
            <w:tcW w:type="dxa" w:w="14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4F7FA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Entry-level, free = second-tier volume</w:t>
            </w:r>
          </w:p>
        </w:tc>
      </w:tr>
      <w:tr>
        <w:tc>
          <w:tcPr>
            <w:tcW w:type="dxa" w:w="360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The Complete Web Developer Course 2.0</w:t>
            </w:r>
          </w:p>
        </w:tc>
        <w:tc>
          <w:tcPr>
            <w:tcW w:type="dxa" w:w="14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Paid</w:t>
            </w:r>
          </w:p>
        </w:tc>
        <w:tc>
          <w:tcPr>
            <w:tcW w:type="dxa" w:w="14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$200</w:t>
            </w:r>
          </w:p>
        </w:tc>
        <w:tc>
          <w:tcPr>
            <w:tcW w:type="dxa" w:w="14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114,512</w:t>
            </w:r>
          </w:p>
        </w:tc>
        <w:tc>
          <w:tcPr>
            <w:tcW w:type="dxa" w:w="1440"/>
            <w:tcBorders>
              <w:top w:val="single" w:color="BDD3E8" w:sz="1"/>
              <w:left w:val="single" w:color="BDD3E8" w:sz="1"/>
              <w:bottom w:val="single" w:color="BDD3E8" w:sz="1"/>
              <w:right w:val="single" w:color="BDD3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2C2C2C"/>
                <w:sz w:val="19"/>
                <w:szCs w:val="19"/>
              </w:rPr>
              <w:t xml:space="preserve">Depth + brand recognition drives paid enrolment</w:t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70" w:before="300"/>
      </w:pPr>
      <w:r>
        <w:rPr>
          <w:rFonts w:ascii="Arial" w:cs="Arial" w:eastAsia="Arial" w:hAnsi="Arial"/>
          <w:b/>
          <w:bCs/>
          <w:color w:val="5B8DC4"/>
          <w:spacing w:val="40"/>
          <w:sz w:val="20"/>
          <w:szCs w:val="20"/>
        </w:rPr>
        <w:t xml:space="preserve">THE PYTHON PHENOMENON</w:t>
      </w:r>
    </w:p>
    <w:p>
      <w:pPr>
        <w:pBdr>
          <w:bottom w:val="single" w:color="1A7A6E" w:sz="4" w:space="1"/>
        </w:pBdr>
        <w:spacing w:after="100" w:before="1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140" w:before="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Within the 1,200 Web Development courses sits a sub-community that deserves its own examination: </w:t>
      </w:r>
      <w:r>
        <w:rPr>
          <w:rFonts w:ascii="Georgia" w:cs="Georgia" w:eastAsia="Georgia" w:hAnsi="Georgia"/>
          <w:b/>
          <w:bCs/>
          <w:color w:val="1B2F4E"/>
          <w:sz w:val="22"/>
          <w:szCs w:val="22"/>
        </w:rPr>
        <w:t xml:space="preserve">29 Python-related courses</w:t>
      </w:r>
      <w:r>
        <w:rPr>
          <w:rFonts w:ascii="Georgia" w:cs="Georgia" w:eastAsia="Georgia" w:hAnsi="Georgia"/>
          <w:color w:val="2C2C2C"/>
          <w:sz w:val="22"/>
          <w:szCs w:val="22"/>
        </w:rPr>
        <w:t xml:space="preserve">. Python is the language of data science, automation, back-end web development, and machine learning. Its rise from a niche scripting language to the world's most popular programming language is one of the defining technology trends of the last decade — and Udemy's catalogue reflects it.</w:t>
      </w:r>
    </w:p>
    <w:p>
      <w:pPr>
        <w:spacing w:after="140" w:before="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The most subscribed Python course — </w:t>
      </w:r>
      <w:r>
        <w:rPr>
          <w:rFonts w:ascii="Georgia" w:cs="Georgia" w:eastAsia="Georgia" w:hAnsi="Georgia"/>
          <w:b/>
          <w:bCs/>
          <w:color w:val="1B2F4E"/>
          <w:sz w:val="22"/>
          <w:szCs w:val="22"/>
        </w:rPr>
        <w:t xml:space="preserve">Web Programming with Python</w:t>
      </w:r>
      <w:r>
        <w:rPr>
          <w:rFonts w:ascii="Georgia" w:cs="Georgia" w:eastAsia="Georgia" w:hAnsi="Georgia"/>
          <w:color w:val="2C2C2C"/>
          <w:sz w:val="22"/>
          <w:szCs w:val="22"/>
        </w:rPr>
        <w:t xml:space="preserve"> — has 35,267 subscribers, making it one of the stronger performers in the entire Web Development category. The top three Python courses collectively focus on practical application: web programming, Django-based entrepreneurship courses, and payment processing. This is not Python as abstract computer science; it is Python as career tool, as business builder, as income generator.</w:t>
      </w:r>
    </w:p>
    <w:p>
      <w:pPr>
        <w:spacing w:after="140" w:before="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The correlation between course price and number of reviews across the full dataset is a modest </w:t>
      </w:r>
      <w:r>
        <w:rPr>
          <w:rFonts w:ascii="Georgia" w:cs="Georgia" w:eastAsia="Georgia" w:hAnsi="Georgia"/>
          <w:b/>
          <w:bCs/>
          <w:color w:val="1B2F4E"/>
          <w:sz w:val="22"/>
          <w:szCs w:val="22"/>
        </w:rPr>
        <w:t xml:space="preserve">0.114</w:t>
      </w:r>
      <w:r>
        <w:rPr>
          <w:rFonts w:ascii="Georgia" w:cs="Georgia" w:eastAsia="Georgia" w:hAnsi="Georgia"/>
          <w:color w:val="2C2C2C"/>
          <w:sz w:val="22"/>
          <w:szCs w:val="22"/>
        </w:rPr>
        <w:t xml:space="preserve"> — almost no relationship. This is a liberating finding for instructors: pricing a course higher does not meaningfully suppress review engagement. Learners who enrol and find value will review, regardless of what they paid. What drives reviews is not price — it is relevance, quality, and the feeling that the course delivered on its promise.</w:t>
      </w:r>
    </w:p>
    <w:p>
      <w:pPr>
        <w:spacing w:after="0" w:before="12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"/>
        <w:gridCol w:w="8980"/>
        <w:gridCol w:w="200"/>
      </w:tblGrid>
      <w:tr>
        <w:tc>
          <w:tcPr>
            <w:tcW w:type="dxa" w:w="1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7A6E" w:val="clear"/>
          </w:tcPr>
          <w:p>
            <w:r>
              <w:t xml:space="preserve"/>
            </w:r>
          </w:p>
        </w:tc>
        <w:tc>
          <w:tcPr>
            <w:tcW w:type="dxa" w:w="89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0" w:before="0"/>
              <w:jc w:val="left"/>
            </w:pPr>
            <w:r>
              <w:rPr>
                <w:rFonts w:ascii="Georgia" w:cs="Georgia" w:eastAsia="Georgia" w:hAnsi="Georgia"/>
                <w:i/>
                <w:iCs/>
                <w:color w:val="1B2F4E"/>
                <w:sz w:val="23"/>
                <w:szCs w:val="23"/>
              </w:rPr>
              <w:t xml:space="preserve">The correlation between price and reviews is nearly zero. Learners who find value will review. What drives engagement is not cost — it is relevance and quality.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AF8" w:val="clear"/>
          </w:tcPr>
          <w:p>
            <w:r>
              <w:t xml:space="preserve"/>
            </w:r>
          </w:p>
        </w:tc>
      </w:tr>
    </w:tbl>
    <w:p>
      <w:pPr>
        <w:spacing w:after="0" w:before="140"/>
      </w:pPr>
      <w:r>
        <w:t xml:space="preserve"/>
      </w:r>
    </w:p>
    <w:p>
      <w:pPr>
        <w:spacing w:after="70" w:before="300"/>
      </w:pPr>
      <w:r>
        <w:rPr>
          <w:rFonts w:ascii="Arial" w:cs="Arial" w:eastAsia="Arial" w:hAnsi="Arial"/>
          <w:b/>
          <w:bCs/>
          <w:color w:val="5B8DC4"/>
          <w:spacing w:val="40"/>
          <w:sz w:val="20"/>
          <w:szCs w:val="20"/>
        </w:rPr>
        <w:t xml:space="preserve">WHAT THE DATA TELLS THE INSTRUCTOR</w:t>
      </w:r>
    </w:p>
    <w:p>
      <w:pPr>
        <w:pBdr>
          <w:bottom w:val="single" w:color="1A7A6E" w:sz="4" w:space="1"/>
        </w:pBdr>
        <w:spacing w:after="100" w:before="1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140" w:before="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Pull back and the picture is coherent. Udemy is a marketplace where Web Development dominates by subscriber volume, free courses dominate by individual reach, beginner and all-levels content dominates by enrolment, and quality signals — primarily review count and course depth — matter far more than price in determining long-term success.</w:t>
      </w:r>
    </w:p>
    <w:p>
      <w:pPr>
        <w:spacing w:after="140" w:before="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Four lessons emerge for anyone thinking about building a course on the platform. First, </w:t>
      </w:r>
      <w:r>
        <w:rPr>
          <w:rFonts w:ascii="Georgia" w:cs="Georgia" w:eastAsia="Georgia" w:hAnsi="Georgia"/>
          <w:b/>
          <w:bCs/>
          <w:color w:val="1B2F4E"/>
          <w:sz w:val="22"/>
          <w:szCs w:val="22"/>
        </w:rPr>
        <w:t xml:space="preserve">subject selection is destiny</w:t>
      </w:r>
      <w:r>
        <w:rPr>
          <w:rFonts w:ascii="Georgia" w:cs="Georgia" w:eastAsia="Georgia" w:hAnsi="Georgia"/>
          <w:color w:val="2C2C2C"/>
          <w:sz w:val="22"/>
          <w:szCs w:val="22"/>
        </w:rPr>
        <w:t xml:space="preserve">: Web Development commands four times the subscriber base of the next largest subject. If you can teach it credibly, the audience is there. Second, </w:t>
      </w:r>
      <w:r>
        <w:rPr>
          <w:rFonts w:ascii="Georgia" w:cs="Georgia" w:eastAsia="Georgia" w:hAnsi="Georgia"/>
          <w:b/>
          <w:bCs/>
          <w:color w:val="1B2F4E"/>
          <w:sz w:val="22"/>
          <w:szCs w:val="22"/>
        </w:rPr>
        <w:t xml:space="preserve">free content is a growth strategy, not a revenue strategy</w:t>
      </w:r>
      <w:r>
        <w:rPr>
          <w:rFonts w:ascii="Georgia" w:cs="Georgia" w:eastAsia="Georgia" w:hAnsi="Georgia"/>
          <w:color w:val="2C2C2C"/>
          <w:sz w:val="22"/>
          <w:szCs w:val="22"/>
        </w:rPr>
        <w:t xml:space="preserve">: the 11,534 average subscribers for free courses versus 2,430 for paid courses suggests that many instructors use free courses as lead generation for a paid portfolio. Third, </w:t>
      </w:r>
      <w:r>
        <w:rPr>
          <w:rFonts w:ascii="Georgia" w:cs="Georgia" w:eastAsia="Georgia" w:hAnsi="Georgia"/>
          <w:b/>
          <w:bCs/>
          <w:color w:val="1B2F4E"/>
          <w:sz w:val="22"/>
          <w:szCs w:val="22"/>
        </w:rPr>
        <w:t xml:space="preserve">depth signals commitment</w:t>
      </w:r>
      <w:r>
        <w:rPr>
          <w:rFonts w:ascii="Georgia" w:cs="Georgia" w:eastAsia="Georgia" w:hAnsi="Georgia"/>
          <w:color w:val="2C2C2C"/>
          <w:sz w:val="22"/>
          <w:szCs w:val="22"/>
        </w:rPr>
        <w:t xml:space="preserve">: paid courses average twice as many lectures as free ones, and the most subscribed paid courses are comprehensive enough to serve as full learning pathways, not just introductions. And fourth, </w:t>
      </w:r>
      <w:r>
        <w:rPr>
          <w:rFonts w:ascii="Georgia" w:cs="Georgia" w:eastAsia="Georgia" w:hAnsi="Georgia"/>
          <w:b/>
          <w:bCs/>
          <w:color w:val="1B2F4E"/>
          <w:sz w:val="22"/>
          <w:szCs w:val="22"/>
        </w:rPr>
        <w:t xml:space="preserve">reviews are currency</w:t>
      </w:r>
      <w:r>
        <w:rPr>
          <w:rFonts w:ascii="Georgia" w:cs="Georgia" w:eastAsia="Georgia" w:hAnsi="Georgia"/>
          <w:color w:val="2C2C2C"/>
          <w:sz w:val="22"/>
          <w:szCs w:val="22"/>
        </w:rPr>
        <w:t xml:space="preserve">: The Web Developer Bootcamp's 27,445 reviews — the highest in the entire dataset — did not happen by accident. They accumulated over years of real learner outcomes. Reviews are earned slowly and lost quickly, and no amount of marketing replaces them.</w:t>
      </w:r>
    </w:p>
    <w:p>
      <w:pPr>
        <w:spacing w:after="140" w:before="0"/>
        <w:jc w:val="both"/>
      </w:pPr>
      <w:r>
        <w:rPr>
          <w:rFonts w:ascii="Georgia" w:cs="Georgia" w:eastAsia="Georgia" w:hAnsi="Georgia"/>
          <w:color w:val="2C2C2C"/>
          <w:sz w:val="22"/>
          <w:szCs w:val="22"/>
        </w:rPr>
        <w:t xml:space="preserve">The data does not tell you what to teach. It tells you what the market has already rewarded — and what it has quietly passed over. The 3,678 courses in this dataset are 3,678 experiments in the same question: what do people want to learn, and what are they willing to pay for it? The answers are all here, waiting to be read.</w:t>
      </w:r>
    </w:p>
    <w:p>
      <w:pPr>
        <w:spacing w:after="0" w:before="100"/>
      </w:pPr>
      <w:r>
        <w:t xml:space="preserve"/>
      </w:r>
    </w:p>
    <w:p>
      <w:pPr>
        <w:pBdr>
          <w:bottom w:val="single" w:color="1B2F4E" w:sz="6" w:space="1"/>
        </w:pBdr>
        <w:spacing w:after="100" w:before="10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AAAAAA"/>
          <w:sz w:val="17"/>
          <w:szCs w:val="17"/>
        </w:rPr>
        <w:t xml:space="preserve">Anvi Patel  •  Udemy Courses Data Analysis  •  June 2026</w:t>
      </w:r>
    </w:p>
    <w:sectPr>
      <w:pgSz w:w="12240" w:h="15840" w:orient="portrait"/>
      <w:pgMar w:top="126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9c9d6de8f0391531faf8b786c08b81eb6449f9f.png"/><Relationship Id="rId8" Type="http://schemas.openxmlformats.org/officeDocument/2006/relationships/image" Target="media/79a173500d77f18303bf6998a1f4985a0e84cd18.png"/><Relationship Id="rId9" Type="http://schemas.openxmlformats.org/officeDocument/2006/relationships/image" Target="media/77980c29694466a3e23840102436570873d221f7.png"/><Relationship Id="rId10" Type="http://schemas.openxmlformats.org/officeDocument/2006/relationships/image" Target="media/80aa1864316651e92e49847aefe3ff567de6a29e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2026-06-08T09:53:57.416Z</dcterms:created>
  <dcterms:modified xsi:type="dcterms:W3CDTF">2026-06-08T09:53:57.416Z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