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ULT-10605 - QA Test Plan</w:t>
      </w:r>
    </w:p>
    <w:p>
      <w:pPr>
        <w:jc w:val="center"/>
      </w:pPr>
      <w:r>
        <w:t>Steel Origin | Force Steel Origin setting at supplier-item level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984"/>
        <w:gridCol w:w="6984"/>
      </w:tblGrid>
      <w:tr>
        <w:tc>
          <w:tcPr>
            <w:tcW w:type="dxa" w:w="6984"/>
            <w:shd w:fill="DCE6F1"/>
          </w:tcPr>
          <w:p>
            <w:r>
              <w:rPr>
                <w:b/>
              </w:rPr>
              <w:t>Parent ticket</w:t>
            </w:r>
          </w:p>
        </w:tc>
        <w:tc>
          <w:tcPr>
            <w:tcW w:type="dxa" w:w="6984"/>
          </w:tcPr>
          <w:p>
            <w:r>
              <w:t>ULT-10605 (Epic ULT-10604)</w:t>
            </w:r>
          </w:p>
        </w:tc>
      </w:tr>
      <w:tr>
        <w:tc>
          <w:tcPr>
            <w:tcW w:type="dxa" w:w="6984"/>
            <w:shd w:fill="DCE6F1"/>
          </w:tcPr>
          <w:p>
            <w:r>
              <w:rPr>
                <w:b/>
              </w:rPr>
              <w:t>Plan status</w:t>
            </w:r>
          </w:p>
        </w:tc>
        <w:tc>
          <w:tcPr>
            <w:tcW w:type="dxa" w:w="6984"/>
          </w:tcPr>
          <w:p>
            <w:r>
              <w:t>Draft for QA execution</w:t>
            </w:r>
          </w:p>
        </w:tc>
      </w:tr>
      <w:tr>
        <w:tc>
          <w:tcPr>
            <w:tcW w:type="dxa" w:w="6984"/>
            <w:shd w:fill="DCE6F1"/>
          </w:tcPr>
          <w:p>
            <w:r>
              <w:rPr>
                <w:b/>
              </w:rPr>
              <w:t>Test subtask</w:t>
            </w:r>
          </w:p>
        </w:tc>
        <w:tc>
          <w:tcPr>
            <w:tcW w:type="dxa" w:w="6984"/>
          </w:tcPr>
          <w:p>
            <w:r>
              <w:t>ULT-10605 QA test-plan subtask</w:t>
            </w:r>
          </w:p>
        </w:tc>
      </w:tr>
      <w:tr>
        <w:tc>
          <w:tcPr>
            <w:tcW w:type="dxa" w:w="6984"/>
            <w:shd w:fill="DCE6F1"/>
          </w:tcPr>
          <w:p>
            <w:r>
              <w:rPr>
                <w:b/>
              </w:rPr>
              <w:t>Related test cases</w:t>
            </w:r>
          </w:p>
        </w:tc>
        <w:tc>
          <w:tcPr>
            <w:tcW w:type="dxa" w:w="6984"/>
          </w:tcPr>
          <w:p>
            <w:r>
              <w:t>ULT-10605_test_cases.docx (44 detailed cases)</w:t>
            </w:r>
          </w:p>
        </w:tc>
      </w:tr>
      <w:tr>
        <w:tc>
          <w:tcPr>
            <w:tcW w:type="dxa" w:w="6984"/>
            <w:shd w:fill="DCE6F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984"/>
          </w:tcPr>
          <w:p>
            <w:r>
              <w:t>Supplier-item-level forcesteelorigin setting; query identifying flagged supplier-item combinations.</w:t>
            </w:r>
          </w:p>
        </w:tc>
      </w:tr>
      <w:tr>
        <w:tc>
          <w:tcPr>
            <w:tcW w:type="dxa" w:w="6984"/>
            <w:shd w:fill="DCE6F1"/>
          </w:tcPr>
          <w:p>
            <w:r>
              <w:rPr>
                <w:b/>
              </w:rPr>
              <w:t>Out of scope</w:t>
            </w:r>
          </w:p>
        </w:tc>
        <w:tc>
          <w:tcPr>
            <w:tcW w:type="dxa" w:w="6984"/>
          </w:tcPr>
          <w:p>
            <w:r>
              <w:t>Bulk import, API/ERP synchronization, BU-level or supplier-level flag variants.</w:t>
            </w:r>
          </w:p>
        </w:tc>
      </w:tr>
    </w:tbl>
    <w:p>
      <w:pPr>
        <w:pStyle w:val="Heading1"/>
      </w:pPr>
      <w:r>
        <w:t>1. Objective</w:t>
      </w:r>
    </w:p>
    <w:p>
      <w:r>
        <w:t>Verify the Force Steel Origin control is available and defaults off for supplier-item combinations, persists independently for each item/supplier pair, is safely loaded for read-only views, and that the support query returns exactly the flagged combinations. Confirm adjacent supplier flex settings and item-level Force Packing Slip No remain unaffected.</w:t>
      </w:r>
    </w:p>
    <w:p>
      <w:pPr>
        <w:pStyle w:val="Heading1"/>
      </w:pPr>
      <w:r>
        <w:t>2. Scope and test approach</w:t>
      </w:r>
    </w:p>
    <w:p>
      <w:pPr>
        <w:pStyle w:val="ListBullet"/>
      </w:pPr>
      <w:r>
        <w:t>Functional UI testing for external suppliers and internal/workcenter suppliers using ADMIN &gt; ITEM &gt; EDIT.</w:t>
      </w:r>
    </w:p>
    <w:p>
      <w:pPr>
        <w:pStyle w:val="ListBullet"/>
      </w:pPr>
      <w:r>
        <w:t>Persistence and data-integrity checks against EboKanbanItems2Suppliers.IGParams (forcesteelorigin=Y/N); confirm no item-level storage or cross-record leakage.</w:t>
      </w:r>
    </w:p>
    <w:p>
      <w:pPr>
        <w:pStyle w:val="ListBullet"/>
      </w:pPr>
      <w:r>
        <w:t>Negative and regression testing for missing legacy keys, toggling off, read-only display, customer flex configuration overrides, and existing supplier/item flex values.</w:t>
      </w:r>
    </w:p>
    <w:p>
      <w:pPr>
        <w:pStyle w:val="ListBullet"/>
      </w:pPr>
      <w:r>
        <w:t>Validate the flagged-supplier-items support SQL output against known Y/N test records and verify it does not include unflagged records.</w:t>
      </w:r>
    </w:p>
    <w:p>
      <w:pPr>
        <w:pStyle w:val="ListBullet"/>
      </w:pPr>
      <w:r>
        <w:t>Use the attached detailed test-case matrix for step-by-step coverage and results recording.</w:t>
      </w:r>
    </w:p>
    <w:p>
      <w:pPr>
        <w:pStyle w:val="Heading1"/>
      </w:pPr>
      <w:r>
        <w:t>3. Test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92"/>
        <w:gridCol w:w="3492"/>
        <w:gridCol w:w="3492"/>
        <w:gridCol w:w="3492"/>
      </w:tblGrid>
      <w:tr>
        <w:tc>
          <w:tcPr>
            <w:tcW w:type="dxa" w:w="3492"/>
            <w:shd w:fill="1F4E79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492"/>
            <w:shd w:fill="1F4E79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3492"/>
            <w:shd w:fill="1F4E79"/>
          </w:tcPr>
          <w:p>
            <w:r>
              <w:rPr>
                <w:b/>
                <w:color w:val="FFFFFF"/>
              </w:rPr>
              <w:t>Expected outcome</w:t>
            </w:r>
          </w:p>
        </w:tc>
        <w:tc>
          <w:tcPr>
            <w:tcW w:type="dxa" w:w="3492"/>
            <w:shd w:fill="1F4E79"/>
          </w:tcPr>
          <w:p>
            <w:r>
              <w:rPr>
                <w:b/>
                <w:color w:val="FFFFFF"/>
              </w:rPr>
              <w:t>Priority</w:t>
            </w:r>
          </w:p>
        </w:tc>
      </w:tr>
      <w:tr>
        <w:tc>
          <w:tcPr>
            <w:tcW w:type="dxa" w:w="3492"/>
          </w:tcPr>
          <w:p>
            <w:r>
              <w:t>TS-01</w:t>
            </w:r>
          </w:p>
        </w:tc>
        <w:tc>
          <w:tcPr>
            <w:tcW w:type="dxa" w:w="3492"/>
          </w:tcPr>
          <w:p>
            <w:r>
              <w:t>Default and legacy state</w:t>
            </w:r>
          </w:p>
        </w:tc>
        <w:tc>
          <w:tcPr>
            <w:tcW w:type="dxa" w:w="3492"/>
          </w:tcPr>
          <w:p>
            <w:r>
              <w:t>Unconfigured and legacy supplier-item rows show Force Steel Origin unchecked; default is N.</w:t>
            </w:r>
          </w:p>
        </w:tc>
        <w:tc>
          <w:tcPr>
            <w:tcW w:type="dxa" w:w="3492"/>
          </w:tcPr>
          <w:p>
            <w:r>
              <w:t>High</w:t>
            </w:r>
          </w:p>
        </w:tc>
      </w:tr>
      <w:tr>
        <w:tc>
          <w:tcPr>
            <w:tcW w:type="dxa" w:w="3492"/>
          </w:tcPr>
          <w:p>
            <w:r>
              <w:t>TS-02</w:t>
            </w:r>
          </w:p>
        </w:tc>
        <w:tc>
          <w:tcPr>
            <w:tcW w:type="dxa" w:w="3492"/>
          </w:tcPr>
          <w:p>
            <w:r>
              <w:t>Supplier-type availability</w:t>
            </w:r>
          </w:p>
        </w:tc>
        <w:tc>
          <w:tcPr>
            <w:tcW w:type="dxa" w:w="3492"/>
          </w:tcPr>
          <w:p>
            <w:r>
              <w:t>Control appears for external supplier and internal/workcenter supplier configurations, including applicable overrides.</w:t>
            </w:r>
          </w:p>
        </w:tc>
        <w:tc>
          <w:tcPr>
            <w:tcW w:type="dxa" w:w="3492"/>
          </w:tcPr>
          <w:p>
            <w:r>
              <w:t>High</w:t>
            </w:r>
          </w:p>
        </w:tc>
      </w:tr>
      <w:tr>
        <w:tc>
          <w:tcPr>
            <w:tcW w:type="dxa" w:w="3492"/>
          </w:tcPr>
          <w:p>
            <w:r>
              <w:t>TS-03</w:t>
            </w:r>
          </w:p>
        </w:tc>
        <w:tc>
          <w:tcPr>
            <w:tcW w:type="dxa" w:w="3492"/>
          </w:tcPr>
          <w:p>
            <w:r>
              <w:t>Supplier-item scoped enablement</w:t>
            </w:r>
          </w:p>
        </w:tc>
        <w:tc>
          <w:tcPr>
            <w:tcW w:type="dxa" w:w="3492"/>
          </w:tcPr>
          <w:p>
            <w:r>
              <w:t>Enabling one pair persists Y only for that item/supplier; sibling suppliers and other items remain unchanged.</w:t>
            </w:r>
          </w:p>
        </w:tc>
        <w:tc>
          <w:tcPr>
            <w:tcW w:type="dxa" w:w="3492"/>
          </w:tcPr>
          <w:p>
            <w:r>
              <w:t>Critical</w:t>
            </w:r>
          </w:p>
        </w:tc>
      </w:tr>
      <w:tr>
        <w:tc>
          <w:tcPr>
            <w:tcW w:type="dxa" w:w="3492"/>
          </w:tcPr>
          <w:p>
            <w:r>
              <w:t>TS-04</w:t>
            </w:r>
          </w:p>
        </w:tc>
        <w:tc>
          <w:tcPr>
            <w:tcW w:type="dxa" w:w="3492"/>
          </w:tcPr>
          <w:p>
            <w:r>
              <w:t>Disable and round-trip persistence</w:t>
            </w:r>
          </w:p>
        </w:tc>
        <w:tc>
          <w:tcPr>
            <w:tcW w:type="dxa" w:w="3492"/>
          </w:tcPr>
          <w:p>
            <w:r>
              <w:t>Unchecking persists N (or removes the key per implementation), remains off after reload, and does not affect other flex keys.</w:t>
            </w:r>
          </w:p>
        </w:tc>
        <w:tc>
          <w:tcPr>
            <w:tcW w:type="dxa" w:w="3492"/>
          </w:tcPr>
          <w:p>
            <w:r>
              <w:t>High</w:t>
            </w:r>
          </w:p>
        </w:tc>
      </w:tr>
      <w:tr>
        <w:tc>
          <w:tcPr>
            <w:tcW w:type="dxa" w:w="3492"/>
          </w:tcPr>
          <w:p>
            <w:r>
              <w:t>TS-05</w:t>
            </w:r>
          </w:p>
        </w:tc>
        <w:tc>
          <w:tcPr>
            <w:tcW w:type="dxa" w:w="3492"/>
          </w:tcPr>
          <w:p>
            <w:r>
              <w:t>Read-only view and permission</w:t>
            </w:r>
          </w:p>
        </w:tc>
        <w:tc>
          <w:tcPr>
            <w:tcW w:type="dxa" w:w="3492"/>
          </w:tcPr>
          <w:p>
            <w:r>
              <w:t>Saved state is visible in viewer mode but cannot be edited; existing ADMIN &gt; ITEM rights remain the access gate.</w:t>
            </w:r>
          </w:p>
        </w:tc>
        <w:tc>
          <w:tcPr>
            <w:tcW w:type="dxa" w:w="3492"/>
          </w:tcPr>
          <w:p>
            <w:r>
              <w:t>High</w:t>
            </w:r>
          </w:p>
        </w:tc>
      </w:tr>
      <w:tr>
        <w:tc>
          <w:tcPr>
            <w:tcW w:type="dxa" w:w="3492"/>
          </w:tcPr>
          <w:p>
            <w:r>
              <w:t>TS-06</w:t>
            </w:r>
          </w:p>
        </w:tc>
        <w:tc>
          <w:tcPr>
            <w:tcW w:type="dxa" w:w="3492"/>
          </w:tcPr>
          <w:p>
            <w:r>
              <w:t>Flagged-pair query</w:t>
            </w:r>
          </w:p>
        </w:tc>
        <w:tc>
          <w:tcPr>
            <w:tcW w:type="dxa" w:w="3492"/>
          </w:tcPr>
          <w:p>
            <w:r>
              <w:t>Support query returns all and only rows whose supplier-item IGParams value is Y, with required identifying columns.</w:t>
            </w:r>
          </w:p>
        </w:tc>
        <w:tc>
          <w:tcPr>
            <w:tcW w:type="dxa" w:w="3492"/>
          </w:tcPr>
          <w:p>
            <w:r>
              <w:t>Critical</w:t>
            </w:r>
          </w:p>
        </w:tc>
      </w:tr>
      <w:tr>
        <w:tc>
          <w:tcPr>
            <w:tcW w:type="dxa" w:w="3492"/>
          </w:tcPr>
          <w:p>
            <w:r>
              <w:t>TS-07</w:t>
            </w:r>
          </w:p>
        </w:tc>
        <w:tc>
          <w:tcPr>
            <w:tcW w:type="dxa" w:w="3492"/>
          </w:tcPr>
          <w:p>
            <w:r>
              <w:t>Adjacent behavior regression</w:t>
            </w:r>
          </w:p>
        </w:tc>
        <w:tc>
          <w:tcPr>
            <w:tcW w:type="dxa" w:w="3492"/>
          </w:tcPr>
          <w:p>
            <w:r>
              <w:t>Force Packing Slip No and existing supplier-item fields continue to load/save independently.</w:t>
            </w:r>
          </w:p>
        </w:tc>
        <w:tc>
          <w:tcPr>
            <w:tcW w:type="dxa" w:w="3492"/>
          </w:tcPr>
          <w:p>
            <w:r>
              <w:t>High</w:t>
            </w:r>
          </w:p>
        </w:tc>
      </w:tr>
      <w:tr>
        <w:tc>
          <w:tcPr>
            <w:tcW w:type="dxa" w:w="3492"/>
          </w:tcPr>
          <w:p>
            <w:r>
              <w:t>TS-08</w:t>
            </w:r>
          </w:p>
        </w:tc>
        <w:tc>
          <w:tcPr>
            <w:tcW w:type="dxa" w:w="3492"/>
          </w:tcPr>
          <w:p>
            <w:r>
              <w:t>Shipment integration smoke check</w:t>
            </w:r>
          </w:p>
        </w:tc>
        <w:tc>
          <w:tcPr>
            <w:tcW w:type="dxa" w:w="3492"/>
          </w:tcPr>
          <w:p>
            <w:r>
              <w:t>Where the related ship validation is available, confirm the flag is evaluated for the matching supplier-item and does not leak to another pair.</w:t>
            </w:r>
          </w:p>
        </w:tc>
        <w:tc>
          <w:tcPr>
            <w:tcW w:type="dxa" w:w="3492"/>
          </w:tcPr>
          <w:p>
            <w:r>
              <w:t>High</w:t>
            </w:r>
          </w:p>
        </w:tc>
      </w:tr>
    </w:tbl>
    <w:p>
      <w:pPr>
        <w:pStyle w:val="Heading1"/>
      </w:pPr>
      <w:r>
        <w:t>4. Environment and test data</w:t>
      </w:r>
    </w:p>
    <w:p>
      <w:pPr>
        <w:pStyle w:val="ListBullet"/>
      </w:pPr>
      <w:r>
        <w:t>Use the approved QA deployment with the ticket implementation available; browser: supported Chrome version.</w:t>
      </w:r>
    </w:p>
    <w:p>
      <w:pPr>
        <w:pStyle w:val="ListBullet"/>
      </w:pPr>
      <w:r>
        <w:t>Prepare one external supplier and one workcenter supplier, a test item with two external suppliers, and a second item sharing one of those suppliers.</w:t>
      </w:r>
    </w:p>
    <w:p>
      <w:pPr>
        <w:pStyle w:val="ListBullet"/>
      </w:pPr>
      <w:r>
        <w:t>Prepare combinations with forcesteelorigin absent, Y and N, plus other existing flex keys; preserve a baseline snapshot before edits.</w:t>
      </w:r>
    </w:p>
    <w:p>
      <w:pPr>
        <w:pStyle w:val="ListBullet"/>
      </w:pPr>
      <w:r>
        <w:t>Provide an ADMIN &gt; ITEM &gt; EDIT user and a separate read-only user. Use approved credentials only; do not include credentials in the test record.</w:t>
      </w:r>
    </w:p>
    <w:p>
      <w:pPr>
        <w:pStyle w:val="ListBullet"/>
      </w:pPr>
      <w:r>
        <w:t>For SQL validation, use the provided SteelOrigin_FlaggedSupplierItems.sql against QA data and compare results with known seeded pairs.</w:t>
      </w:r>
    </w:p>
    <w:p>
      <w:pPr>
        <w:pStyle w:val="Heading1"/>
      </w:pPr>
      <w:r>
        <w:t>5. Entry criteria</w:t>
      </w:r>
    </w:p>
    <w:p>
      <w:pPr>
        <w:pStyle w:val="ListBullet"/>
      </w:pPr>
      <w:r>
        <w:t>Build/deployment for ULT-10605 is available in QA.</w:t>
      </w:r>
    </w:p>
    <w:p>
      <w:pPr>
        <w:pStyle w:val="ListBullet"/>
      </w:pPr>
      <w:r>
        <w:t>Test users, supplier/item records, and database read access are available.</w:t>
      </w:r>
    </w:p>
    <w:p>
      <w:pPr>
        <w:pStyle w:val="ListBullet"/>
      </w:pPr>
      <w:r>
        <w:t>Support query is present and approved for execution.</w:t>
      </w:r>
    </w:p>
    <w:p>
      <w:pPr>
        <w:pStyle w:val="ListBullet"/>
      </w:pPr>
      <w:r>
        <w:t>Detailed test cases are linked/attached to the QA subtask.</w:t>
      </w:r>
    </w:p>
    <w:p>
      <w:pPr>
        <w:pStyle w:val="Heading1"/>
      </w:pPr>
      <w:r>
        <w:t>6. Exit criteria and evidence</w:t>
      </w:r>
    </w:p>
    <w:p>
      <w:pPr>
        <w:pStyle w:val="ListBullet"/>
      </w:pPr>
      <w:r>
        <w:t>All Critical and High scenarios pass, or each failure is logged and triaged.</w:t>
      </w:r>
    </w:p>
    <w:p>
      <w:pPr>
        <w:pStyle w:val="ListBullet"/>
      </w:pPr>
      <w:r>
        <w:t>Every acceptance criterion is verified; no open blocker/critical defect remains.</w:t>
      </w:r>
    </w:p>
    <w:p>
      <w:pPr>
        <w:pStyle w:val="ListBullet"/>
      </w:pPr>
      <w:r>
        <w:t>Record actual results, test data identifiers, screenshots/query output where appropriate, and defect links on the subtask.</w:t>
      </w:r>
    </w:p>
    <w:p>
      <w:pPr>
        <w:pStyle w:val="ListBullet"/>
      </w:pPr>
      <w:r>
        <w:t>QA sign-off is recorded after regression and shipment integration smoke checks are complete or explicitly marked blocked/out of scope.</w:t>
      </w:r>
    </w:p>
    <w:p>
      <w:pPr>
        <w:pStyle w:val="Heading1"/>
      </w:pPr>
      <w:r>
        <w:t>7. Acceptance-criteria traceability</w:t>
      </w:r>
    </w:p>
    <w:p>
      <w:pPr>
        <w:pStyle w:val="ListBullet"/>
      </w:pPr>
      <w:r>
        <w:t>AC1 - Force Steel Origin is off by default: TS-01; detailed cases TC-01 to TC-02.</w:t>
      </w:r>
    </w:p>
    <w:p>
      <w:pPr>
        <w:pStyle w:val="ListBullet"/>
      </w:pPr>
      <w:r>
        <w:t>AC2 - Available for external and internal suppliers: TS-02; detailed cases TC-03 to TC-06 and TC-11.</w:t>
      </w:r>
    </w:p>
    <w:p>
      <w:pPr>
        <w:pStyle w:val="ListBullet"/>
      </w:pPr>
      <w:r>
        <w:t>AC3 - Enable for one supplier-item only: TS-03; detailed cases TC-07 to TC-09, TC-12, TC-15 to TC-20, TC-22.</w:t>
      </w:r>
    </w:p>
    <w:p>
      <w:pPr>
        <w:pStyle w:val="ListBullet"/>
      </w:pPr>
      <w:r>
        <w:t>AC4 - Disable: TS-04; detailed cases TC-10, TC-23 to TC-24, TC-37.</w:t>
      </w:r>
    </w:p>
    <w:p>
      <w:pPr>
        <w:pStyle w:val="ListBullet"/>
      </w:pPr>
      <w:r>
        <w:t>AC5 - Query flagged supplier-items: TS-06; detailed cases TC-31 to TC-39.</w:t>
      </w:r>
    </w:p>
    <w:p>
      <w:pPr>
        <w:pStyle w:val="Heading1"/>
      </w:pPr>
      <w:r>
        <w:t>8. Execution reference</w:t>
      </w:r>
    </w:p>
    <w:p>
      <w:r>
        <w:t>Use ULT-10605_test_cases.docx for the detailed test case steps, expected results, priorities, and AC mapping. Capture Pass/Fail/Blocked and evidence against those case IDs in the QA subtask.</w:t>
      </w:r>
    </w:p>
    <w:sectPr w:rsidR="00FC693F" w:rsidRPr="0006063C" w:rsidSect="00034616">
      <w:pgSz w:w="15840" w:h="12240" w:orient="landscape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