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0E" w:rsidRDefault="008F2D0E" w:rsidP="008F2D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instrText xml:space="preserve"> HYPERLINK "</w:instrText>
      </w:r>
      <w:r w:rsidRPr="008F2D0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instrText>https://eea.government.bg/bg/soer/2012/land-use/sastoyanie-na-pochvite</w:instrTex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fldChar w:fldCharType="separate"/>
      </w:r>
      <w:r w:rsidRPr="00CB03BE">
        <w:rPr>
          <w:rStyle w:val="a5"/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t>https://eea.government.bg/bg/soer/2012/land-use/sastoyanie-na-pochvite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fldChar w:fldCharType="end"/>
      </w:r>
    </w:p>
    <w:p w:rsidR="008F2D0E" w:rsidRPr="008F2D0E" w:rsidRDefault="008F2D0E" w:rsidP="008F2D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</w:pPr>
    </w:p>
    <w:p w:rsidR="008F2D0E" w:rsidRPr="008F2D0E" w:rsidRDefault="008F2D0E" w:rsidP="008F2D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Състояние на почвите </w:t>
      </w:r>
    </w:p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34"/>
      </w:tblGrid>
      <w:tr w:rsidR="008F2D0E" w:rsidRPr="008F2D0E" w:rsidTr="000871FB">
        <w:tc>
          <w:tcPr>
            <w:tcW w:w="0" w:type="auto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Ключов въпрос</w:t>
            </w:r>
          </w:p>
          <w:p w:rsidR="008F2D0E" w:rsidRPr="008F2D0E" w:rsidRDefault="008F2D0E" w:rsidP="008F2D0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Осигуряват ли почвите в България плодородие?</w:t>
            </w:r>
          </w:p>
        </w:tc>
      </w:tr>
    </w:tbl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Ключово послание</w:t>
      </w:r>
    </w:p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6C7578E0" wp14:editId="71AB16C5">
            <wp:extent cx="238125" cy="238125"/>
            <wp:effectExtent l="0" t="0" r="9525" b="9525"/>
            <wp:docPr id="1" name="smile3" descr="state-g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3" descr="state-go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В периода 2005 - 2012 г. почвите в страната са в добро екологично състояние по отношение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запасеност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биогенни елементи/органично вещество.</w:t>
      </w:r>
    </w:p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Дефиниция на индикатора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Запасеността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на почвите с биогенни елементи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определя чрез концентрациите на общ азот, органичен въглерод и общ фосфор, както и съотношението между органичен въглерод и общ азот.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Съдържанието и съотношението на биогенните елементи в почвата имат пряка връзка с почвеното плодородие и с храненето на растенията.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Оценка на индикатора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Оценката се извършва в рамките на Националната мрежа за почвен мониторинг, въз основа на равномерна мрежа 16x16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km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, в която се извършват проучвания в 397 пункта чрез анализ и оценка за съдържанието на трите биогенни елемента: азот, органичен въглерод и фосфор.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Пунктовете са разположени в земеделски земи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 При избора на точното им местоположение се спазват следните изисквания: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отстояние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пресечна точка на не повече от 2 км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- почвеното различие и начинът на ползване да съответства на съответната пропорция на национално ниво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Пробовземането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пълната мрежа са извършва на всеки 5 години, а в останалите години се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пробонабират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25 % от пунктовете. През 2012 г. са извършени общо 2142 броя анализи от 119 пункта. Оценката на данните за биогенните елементи е извършена чрез статистическа обработка на резултатите в две дълбочини. Получените стойности се сравняват с числа, характеризиращи оптимална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запасеност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биогенни елементи, регламентирани в Наредба № 4 от 12 0.1 2009 г., чл. 11. (1) за мониторинг на почвите.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Съгласно чл.10(1) от Наредбата за мониторинг на почвите са разработени схеми за мониторинг, включващи параметри на наблюдение. Параметрите, оценяващи съдържанието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орг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С, общ N и  P са  в пет степенна скала (много ниско,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ниско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, средно, високо и много високо). </w:t>
      </w:r>
    </w:p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Табл. 2. Статистически данни за измерените съдържания на биогенни елементи в обработваеми земи (1) и в пасища и ливади (2) за 2005 - 2012 г.</w:t>
      </w:r>
    </w:p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Style w:val="a6"/>
        <w:tblpPr w:leftFromText="45" w:rightFromText="45" w:vertAnchor="text"/>
        <w:tblW w:w="9300" w:type="dxa"/>
        <w:tblLook w:val="04A0" w:firstRow="1" w:lastRow="0" w:firstColumn="1" w:lastColumn="0" w:noHBand="0" w:noVBand="1"/>
      </w:tblPr>
      <w:tblGrid>
        <w:gridCol w:w="1859"/>
        <w:gridCol w:w="913"/>
        <w:gridCol w:w="913"/>
        <w:gridCol w:w="898"/>
        <w:gridCol w:w="898"/>
        <w:gridCol w:w="989"/>
        <w:gridCol w:w="1004"/>
        <w:gridCol w:w="913"/>
        <w:gridCol w:w="913"/>
      </w:tblGrid>
      <w:tr w:rsidR="008F2D0E" w:rsidRPr="008F2D0E" w:rsidTr="000871FB">
        <w:tc>
          <w:tcPr>
            <w:tcW w:w="1860" w:type="dxa"/>
            <w:vMerge w:val="restart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Статистическа стойност</w:t>
            </w:r>
          </w:p>
        </w:tc>
        <w:tc>
          <w:tcPr>
            <w:tcW w:w="1830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орг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 С, g/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kg</w:t>
            </w:r>
            <w:proofErr w:type="spellEnd"/>
          </w:p>
        </w:tc>
        <w:tc>
          <w:tcPr>
            <w:tcW w:w="1800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общ N, g/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kg</w:t>
            </w:r>
            <w:proofErr w:type="spellEnd"/>
          </w:p>
        </w:tc>
        <w:tc>
          <w:tcPr>
            <w:tcW w:w="1995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общ P,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mg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/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kg</w:t>
            </w:r>
            <w:proofErr w:type="spellEnd"/>
          </w:p>
        </w:tc>
        <w:tc>
          <w:tcPr>
            <w:tcW w:w="1830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орг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 C/ общ N</w:t>
            </w:r>
          </w:p>
        </w:tc>
      </w:tr>
      <w:tr w:rsidR="008F2D0E" w:rsidRPr="008F2D0E" w:rsidTr="000871FB">
        <w:tc>
          <w:tcPr>
            <w:tcW w:w="0" w:type="auto"/>
            <w:vMerge/>
            <w:hideMark/>
          </w:tcPr>
          <w:p w:rsidR="008F2D0E" w:rsidRPr="008F2D0E" w:rsidRDefault="008F2D0E" w:rsidP="008F2D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І дълбочина</w:t>
            </w:r>
          </w:p>
        </w:tc>
        <w:tc>
          <w:tcPr>
            <w:tcW w:w="7455" w:type="dxa"/>
            <w:gridSpan w:val="8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брой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277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277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277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277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минимална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5,4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6,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  <w:proofErr w:type="spellEnd"/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0,6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350,1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259,3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9,7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9,3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максимална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42,6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98,1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3,9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9,6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3524,3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2941,1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11,4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12,3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медиана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16,4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20,3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1,6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2,0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803,5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717,7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10,2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10,2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средна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17,0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24,8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1,7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2,4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862,9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848,2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10,2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10,3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ІІ дълбочина</w:t>
            </w:r>
          </w:p>
        </w:tc>
        <w:tc>
          <w:tcPr>
            <w:tcW w:w="7455" w:type="dxa"/>
            <w:gridSpan w:val="8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брой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277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277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277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277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минимална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4,9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6,0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0,6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329,6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280,1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9,1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5,7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максимална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40,6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74,6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3,8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8,4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2505,3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2977,3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11,4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16,1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медиана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15,0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16,9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1,5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1,7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774,3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713,9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10,1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9,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  <w:proofErr w:type="spellEnd"/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средна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15,8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20,1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1,6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2,0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836,4</w:t>
            </w:r>
          </w:p>
        </w:tc>
        <w:tc>
          <w:tcPr>
            <w:tcW w:w="9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828,5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10,1</w:t>
            </w:r>
          </w:p>
        </w:tc>
        <w:tc>
          <w:tcPr>
            <w:tcW w:w="91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10,1</w:t>
            </w:r>
          </w:p>
        </w:tc>
      </w:tr>
      <w:tr w:rsidR="008F2D0E" w:rsidRPr="008F2D0E" w:rsidTr="000871FB">
        <w:tc>
          <w:tcPr>
            <w:tcW w:w="18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 xml:space="preserve">средна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запасеност</w:t>
            </w:r>
            <w:proofErr w:type="spellEnd"/>
          </w:p>
        </w:tc>
        <w:tc>
          <w:tcPr>
            <w:tcW w:w="1830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10-15</w:t>
            </w:r>
          </w:p>
        </w:tc>
        <w:tc>
          <w:tcPr>
            <w:tcW w:w="1800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1,33-1,95</w:t>
            </w:r>
          </w:p>
        </w:tc>
        <w:tc>
          <w:tcPr>
            <w:tcW w:w="1995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553-924</w:t>
            </w:r>
          </w:p>
        </w:tc>
        <w:tc>
          <w:tcPr>
            <w:tcW w:w="1830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10-12</w:t>
            </w:r>
          </w:p>
        </w:tc>
      </w:tr>
    </w:tbl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ИАОС </w:t>
      </w:r>
    </w:p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В обработваемите земи и постоянно затревените площи преобладават пунктовете с високо съдържание на органичен въглерод и средна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запасеност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с азот и фосфор.</w:t>
      </w:r>
    </w:p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Фиг. 2. Разпределение на биогенните елементи в почвите по степен на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запасеност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за 2005 – 2012 г. за обработваеми земи и пасища и ливади (*)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bg-BG"/>
        </w:rPr>
        <w:drawing>
          <wp:inline distT="0" distB="0" distL="0" distR="0" wp14:anchorId="4E036F3B" wp14:editId="74CEFD9A">
            <wp:extent cx="4533900" cy="2876550"/>
            <wp:effectExtent l="0" t="0" r="0" b="0"/>
            <wp:docPr id="2" name="Картина 2" descr="https://eea.government.bg/bg/soer/2012/land-use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ea.government.bg/bg/soer/2012/land-use/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Графиката изобразява разпределението на пунктовете по степени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запасеност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биогенни елементи в петстепенната скала при обследваните пунктове в обработваеми и необработваеми земи.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Получената информация за периода на обследване 2005-2012 г. показва сравнително добра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запасеност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биогенни елементи. Стойностите и при трите наблюдавани показателя са над средните за страната, а съотношението C/N показва благоприятни условия за разграждане/ минерализиране на органичното вещество. </w:t>
      </w:r>
    </w:p>
    <w:p w:rsidR="008F2D0E" w:rsidRPr="008F2D0E" w:rsidRDefault="008F2D0E" w:rsidP="008F2D0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Табл.3 Сравнителна характеристика на отношението C/N в проби от пунктовете за мониторинг през 2012 г.</w:t>
      </w:r>
    </w:p>
    <w:p w:rsidR="008F2D0E" w:rsidRPr="008F2D0E" w:rsidRDefault="008F2D0E" w:rsidP="008F2D0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Style w:val="a6"/>
        <w:tblW w:w="8715" w:type="dxa"/>
        <w:tblLook w:val="04A0" w:firstRow="1" w:lastRow="0" w:firstColumn="1" w:lastColumn="0" w:noHBand="0" w:noVBand="1"/>
      </w:tblPr>
      <w:tblGrid>
        <w:gridCol w:w="975"/>
        <w:gridCol w:w="1384"/>
        <w:gridCol w:w="1384"/>
        <w:gridCol w:w="1384"/>
        <w:gridCol w:w="1384"/>
        <w:gridCol w:w="1384"/>
        <w:gridCol w:w="1384"/>
      </w:tblGrid>
      <w:tr w:rsidR="008F2D0E" w:rsidRPr="008F2D0E" w:rsidTr="000871FB">
        <w:tc>
          <w:tcPr>
            <w:tcW w:w="975" w:type="dxa"/>
            <w:vMerge w:val="restart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C/N</w:t>
            </w:r>
          </w:p>
        </w:tc>
        <w:tc>
          <w:tcPr>
            <w:tcW w:w="7740" w:type="dxa"/>
            <w:gridSpan w:val="6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% пунктове от общия брой</w:t>
            </w:r>
          </w:p>
        </w:tc>
      </w:tr>
      <w:tr w:rsidR="008F2D0E" w:rsidRPr="008F2D0E" w:rsidTr="000871FB">
        <w:tc>
          <w:tcPr>
            <w:tcW w:w="0" w:type="auto"/>
            <w:vMerge/>
            <w:hideMark/>
          </w:tcPr>
          <w:p w:rsidR="008F2D0E" w:rsidRPr="008F2D0E" w:rsidRDefault="008F2D0E" w:rsidP="008F2D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2580" w:type="dxa"/>
            <w:gridSpan w:val="2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2010 г.</w:t>
            </w:r>
          </w:p>
        </w:tc>
        <w:tc>
          <w:tcPr>
            <w:tcW w:w="2580" w:type="dxa"/>
            <w:gridSpan w:val="2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2011 г.</w:t>
            </w:r>
          </w:p>
        </w:tc>
        <w:tc>
          <w:tcPr>
            <w:tcW w:w="2580" w:type="dxa"/>
            <w:gridSpan w:val="2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2012 г.</w:t>
            </w:r>
          </w:p>
        </w:tc>
      </w:tr>
      <w:tr w:rsidR="008F2D0E" w:rsidRPr="008F2D0E" w:rsidTr="000871FB">
        <w:tc>
          <w:tcPr>
            <w:tcW w:w="0" w:type="auto"/>
            <w:vMerge/>
            <w:hideMark/>
          </w:tcPr>
          <w:p w:rsidR="008F2D0E" w:rsidRPr="008F2D0E" w:rsidRDefault="008F2D0E" w:rsidP="008F2D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2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 дълбочина</w:t>
            </w:r>
          </w:p>
        </w:tc>
        <w:tc>
          <w:tcPr>
            <w:tcW w:w="130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II дълбочина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 дълбочина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II дълбочина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 дълбочина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II дълбочина</w:t>
            </w:r>
          </w:p>
        </w:tc>
      </w:tr>
      <w:tr w:rsidR="008F2D0E" w:rsidRPr="008F2D0E" w:rsidTr="000871FB">
        <w:tc>
          <w:tcPr>
            <w:tcW w:w="9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 8</w:t>
            </w:r>
          </w:p>
        </w:tc>
        <w:tc>
          <w:tcPr>
            <w:tcW w:w="12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6,55</w:t>
            </w:r>
          </w:p>
        </w:tc>
        <w:tc>
          <w:tcPr>
            <w:tcW w:w="130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6,3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2,46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6,56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0,3</w:t>
            </w:r>
          </w:p>
        </w:tc>
      </w:tr>
      <w:tr w:rsidR="008F2D0E" w:rsidRPr="008F2D0E" w:rsidTr="000871FB">
        <w:tc>
          <w:tcPr>
            <w:tcW w:w="9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8 - 10</w:t>
            </w:r>
          </w:p>
        </w:tc>
        <w:tc>
          <w:tcPr>
            <w:tcW w:w="12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35,77</w:t>
            </w:r>
          </w:p>
        </w:tc>
        <w:tc>
          <w:tcPr>
            <w:tcW w:w="130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42,82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43,44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44,26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11,9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31,7</w:t>
            </w:r>
          </w:p>
        </w:tc>
      </w:tr>
      <w:tr w:rsidR="008F2D0E" w:rsidRPr="008F2D0E" w:rsidTr="000871FB">
        <w:tc>
          <w:tcPr>
            <w:tcW w:w="9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10 - 12</w:t>
            </w:r>
          </w:p>
        </w:tc>
        <w:tc>
          <w:tcPr>
            <w:tcW w:w="12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45,6</w:t>
            </w:r>
          </w:p>
        </w:tc>
        <w:tc>
          <w:tcPr>
            <w:tcW w:w="130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43,07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48,36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43,00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88,2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67,8</w:t>
            </w:r>
          </w:p>
        </w:tc>
      </w:tr>
      <w:tr w:rsidR="008F2D0E" w:rsidRPr="008F2D0E" w:rsidTr="000871FB">
        <w:tc>
          <w:tcPr>
            <w:tcW w:w="9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&gt; 12</w:t>
            </w:r>
          </w:p>
        </w:tc>
        <w:tc>
          <w:tcPr>
            <w:tcW w:w="127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12,09</w:t>
            </w:r>
          </w:p>
        </w:tc>
        <w:tc>
          <w:tcPr>
            <w:tcW w:w="130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7,8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5,74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5,74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129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</w:tr>
    </w:tbl>
    <w:p w:rsidR="008F2D0E" w:rsidRPr="008F2D0E" w:rsidRDefault="008F2D0E" w:rsidP="008F2D0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Съотношението между органичния въглерод и общия азот в почвите (C/N) е индикация за благоприятните условия за съществуване и развитие на почвеното биоразнообразие и за стабилност на структурата на почвите. Това отношение варира в широки граници, но и през 2012 г. резултатите показват сравнително добри възможности за възпрепятстване на мобилността на замърсителите, попаднали в почвите.</w:t>
      </w:r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Съдържание на биогенни елементи и вода в почвите</w:t>
      </w:r>
      <w:hyperlink r:id="rId8" w:anchor="_ftn1" w:tooltip="" w:history="1">
        <w:r w:rsidRPr="008F2D0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bg-BG"/>
          </w:rPr>
          <w:t>[4]</w:t>
        </w:r>
      </w:hyperlink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Различните форми на усвояване на биогенните елементи е възможно само при наличие на вода, т.е. нивото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овлажнение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почвите играе определяща роля за усвояването на биогенните елементи. При недостиг биогенните елементи могат да се внесат като торове, но отново степента на усвояването им е в непосредствена зависимост от наличието на вода в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коренообитаемия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почвен слой.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Съгласно методиката,</w:t>
      </w:r>
      <w:hyperlink r:id="rId9" w:anchor="_ftn2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[5]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 която се определят водните запаси в почвите, измерванията се провеждат на три постоянни дати 7, 17 и 27 число на всеки месец от топлата част на годината от месец март – до месец октомври включително.  Датата 7 март се счита за началото на вегетационния период  в страната и се определя от трайния преход на средните денонощни температури над 10°С.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фиг.3 до фиг.6 са показани карти за пространственото разпределение на съдържанието на вода в слоя 0-100 cm в проценти от пределната полска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влагоемност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(ППВ) в началото и края на вегетационния период, съответно за 2010-2011 г. и 2011-2012 г. стопански години. Стойностите водния запас зависят от типа на почвите, т.е. от механичният им състав и от отношението на глина и пясък в тях. Минималната стойност на водните запаси в началото на вегетационния период на разглежданите години е 130, а максималната 440 mm/m² или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dka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 В края на вегетацията в края на октомври е била от 10 до 120 mm/m² или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dka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По-ниските стойности на съдържание на вода се наблюдават при по-силно дренираните и с по-голямо съдържание на пясък почви, а високите стойности на съдържание на вода са характерни за черноземите,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чернозем-смолниците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сивите почви. Трябва да се отбележи, че в началото на вегетацията влагосъдържанието на почвите в еднометровия почвен слой е близко или равно на ППВ т.е. почвите се намират в състояние на пълно насищане или близко до него.</w:t>
      </w:r>
    </w:p>
    <w:p w:rsidR="008F2D0E" w:rsidRPr="008F2D0E" w:rsidRDefault="008F2D0E" w:rsidP="008F2D0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Възприето е условията при които съдържанието на вода в почвата е до 70-75% от ППВ да се смятат за оптимални, a тази гранична стойност се нарича долна граница на оптимално влажност (ДГОВ). За тежките почви тези стойности съответстват на 280-300 mm/m² или t/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dka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, а за леките 175-175 mm/m² или t/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dka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8F2D0E" w:rsidRPr="008F2D0E" w:rsidRDefault="008F2D0E" w:rsidP="008F2D0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Style w:val="a6"/>
        <w:tblW w:w="9465" w:type="dxa"/>
        <w:tblLook w:val="04A0" w:firstRow="1" w:lastRow="0" w:firstColumn="1" w:lastColumn="0" w:noHBand="0" w:noVBand="1"/>
      </w:tblPr>
      <w:tblGrid>
        <w:gridCol w:w="4905"/>
        <w:gridCol w:w="4560"/>
      </w:tblGrid>
      <w:tr w:rsidR="008F2D0E" w:rsidRPr="008F2D0E" w:rsidTr="000871FB">
        <w:tc>
          <w:tcPr>
            <w:tcW w:w="490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Фиг.3.Пространствено разпределение на водните запаси в почвите на 07.03.2011 г. в еднометровия почвен слой*</w:t>
            </w:r>
          </w:p>
        </w:tc>
        <w:tc>
          <w:tcPr>
            <w:tcW w:w="456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Фиг.4.Пространствено разпределение на водните запаси в почвите на 07.03.2012 г. в еднометровия почвен слой*</w:t>
            </w:r>
          </w:p>
        </w:tc>
      </w:tr>
    </w:tbl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4A3AF5F1" wp14:editId="52FA0594">
            <wp:extent cx="5781675" cy="1971675"/>
            <wp:effectExtent l="0" t="0" r="9525" b="9525"/>
            <wp:docPr id="3" name="Картина 3" descr="https://eea.government.bg/bg/soer/2012/land-use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ea.government.bg/bg/soer/2012/land-use/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br w:type="textWrapping" w:clear="all"/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Style w:val="a6"/>
        <w:tblW w:w="9465" w:type="dxa"/>
        <w:tblLook w:val="04A0" w:firstRow="1" w:lastRow="0" w:firstColumn="1" w:lastColumn="0" w:noHBand="0" w:noVBand="1"/>
      </w:tblPr>
      <w:tblGrid>
        <w:gridCol w:w="4596"/>
        <w:gridCol w:w="249"/>
        <w:gridCol w:w="4329"/>
        <w:gridCol w:w="291"/>
      </w:tblGrid>
      <w:tr w:rsidR="008F2D0E" w:rsidRPr="008F2D0E" w:rsidTr="000871FB">
        <w:tc>
          <w:tcPr>
            <w:tcW w:w="4905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bg-BG"/>
              </w:rPr>
              <w:t>Източник:  НИМХ-БАН</w:t>
            </w:r>
          </w:p>
        </w:tc>
        <w:tc>
          <w:tcPr>
            <w:tcW w:w="4560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bg-BG"/>
              </w:rPr>
              <w:t>Източник:  НИМХ-БАН</w:t>
            </w:r>
          </w:p>
        </w:tc>
      </w:tr>
      <w:tr w:rsidR="008F2D0E" w:rsidRPr="008F2D0E" w:rsidTr="000871FB">
        <w:trPr>
          <w:gridAfter w:val="1"/>
          <w:wAfter w:w="296" w:type="dxa"/>
        </w:trPr>
        <w:tc>
          <w:tcPr>
            <w:tcW w:w="465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Фиг. 5. Пространствено разпределение на водните запаси в почвите на 27.10.2011 г. в еднометровия почвен слой*</w:t>
            </w: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635" w:type="dxa"/>
            <w:gridSpan w:val="2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Фиг. 6. Пространствено разпределение на водните запаси в почвите на 27.10.2012 г. в еднометровия почвен слой*</w:t>
            </w:r>
          </w:p>
        </w:tc>
      </w:tr>
    </w:tbl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06B1688D" wp14:editId="5F048BD7">
            <wp:extent cx="5667375" cy="2047875"/>
            <wp:effectExtent l="0" t="0" r="9525" b="9525"/>
            <wp:docPr id="4" name="Картина 4" descr="https://eea.government.bg/bg/soer/2012/land-use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ea.government.bg/bg/soer/2012/land-use/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0E" w:rsidRPr="008F2D0E" w:rsidRDefault="008F2D0E" w:rsidP="008F2D0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W w:w="94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2"/>
        <w:gridCol w:w="4563"/>
      </w:tblGrid>
      <w:tr w:rsidR="008F2D0E" w:rsidRPr="008F2D0E" w:rsidTr="008F2D0E">
        <w:trPr>
          <w:tblCellSpacing w:w="15" w:type="dxa"/>
        </w:trPr>
        <w:tc>
          <w:tcPr>
            <w:tcW w:w="4905" w:type="dxa"/>
            <w:vAlign w:val="center"/>
            <w:hideMark/>
          </w:tcPr>
          <w:p w:rsidR="008F2D0E" w:rsidRPr="008F2D0E" w:rsidRDefault="008F2D0E" w:rsidP="008F2D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bg-BG"/>
              </w:rPr>
              <w:t>Източник:  НИМХ-БАН</w:t>
            </w:r>
          </w:p>
        </w:tc>
        <w:tc>
          <w:tcPr>
            <w:tcW w:w="4560" w:type="dxa"/>
            <w:vAlign w:val="center"/>
            <w:hideMark/>
          </w:tcPr>
          <w:p w:rsidR="008F2D0E" w:rsidRPr="008F2D0E" w:rsidRDefault="008F2D0E" w:rsidP="008F2D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bg-BG"/>
              </w:rPr>
              <w:t>Източник:  НИМХ-БАН</w:t>
            </w:r>
          </w:p>
        </w:tc>
      </w:tr>
    </w:tbl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lastRenderedPageBreak/>
        <w:t xml:space="preserve">*Пределна полска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влагоемност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 (ППВ)</w:t>
      </w: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— максималното количество вода, което почвата може да поеме при запълване на всички пори, преди да настъпи оттичане. Оптималното овлажняване на почвата за развитие на културите е 75% от ППВ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Заключение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Агроклиматичните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условия в България са много разнообразни, поради вида на релефа и особеностите на климата на страната. Метеорологичните условия на 2012 г. се характеризират със снежна и студена зима, къса и дъждовна пролет, топло и сухо лято и нормална есен. Средногодишната температура за 2012 г. за страната е с 1,3°C над климатичната норма (средногодишната температура за периода 1961–1990 г.). Най-студен месец е бил февруари с 4,5°C под нормата, а най-топъл – юли с 4,5°C над нормата. Като студени, но по-близки до нормалните температури са били месеците декември (-1,6±0,6°C) и януари (-0,8±1,3°C). Най-топли след юли са октомври (3,4±0,6°C) и юни (3,2±0,6°C). Средногодишното отношение на валежните суми спрямо нормите (от периода 1961-1990 г.) средно за станция е близко до нормалното, което представлява 646 mm (l/m</w:t>
      </w:r>
      <w:r w:rsidRPr="008F2D0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2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). Най-малко са падналите валежи през юли, март и ноември, съответно – 28, 32 и 35% от нормата. Най-валежни са януари (233%) и декември (183%). За отбелязване е продължителното засушаване от 7 юни до 28 октомври (около 150 дни с леки прекъсвания и слаби локални валежи). Може да се отделят 2 периода екстремни периода: 5-6 февруари (валежи до 120 mm/24 ч. в отделни станции) и 29-30 октомври (валежи до 200 mm/48 ч.);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 връзка с посочените промени на климата, огромни площи се оказват с условия,  неблагоприятни за интензивно земеделие, при естествени условия. За смекчаване на последиците от изменението на климата в тези райони, трябва да се вложат допълнителни инвестиции за земеделието в тези региони.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условията в България е необходимо да се вземат спешни мерки за подобряване на условията на поддържане оптимална влажността на почвата по-продължително време през вегетационния период чрез прилагане на високотехнологични решения за напояване. Препоръчва се да се преструктурира земеделското производство за отглеждане на земеделските култури при най-подходящите естествени условия, свързани с техните изисквания и в съответствие с наличните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агроклиматични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ресурси.</w:t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ПРОЦЕСИ НА УВРЕЖДАНE НА ПОЧВИТЕ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8F2D0E" w:rsidRPr="008F2D0E" w:rsidTr="008F2D0E">
        <w:trPr>
          <w:trHeight w:val="390"/>
          <w:tblCellSpacing w:w="15" w:type="dxa"/>
        </w:trPr>
        <w:tc>
          <w:tcPr>
            <w:tcW w:w="8970" w:type="dxa"/>
            <w:vAlign w:val="center"/>
            <w:hideMark/>
          </w:tcPr>
          <w:p w:rsidR="008F2D0E" w:rsidRPr="008F2D0E" w:rsidRDefault="008F2D0E" w:rsidP="008F2D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Ключов въпрос</w:t>
            </w: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:rsidR="008F2D0E" w:rsidRPr="008F2D0E" w:rsidRDefault="008F2D0E" w:rsidP="008F2D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Какви са необратимите загуби на почва вследствие на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деградационните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процеси?</w:t>
            </w:r>
          </w:p>
        </w:tc>
      </w:tr>
    </w:tbl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Ключови послания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5E08B091" wp14:editId="0E6A8F88">
            <wp:extent cx="295275" cy="295275"/>
            <wp:effectExtent l="0" t="0" r="9525" b="9525"/>
            <wp:docPr id="5" name="graphics2" descr="state-g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 descr="state-go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периода 2007 – 2012 г. се наблюдава тенденция към ограничаване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ерозия, както по отношение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площното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разпространение, така и по отношение на средногодишните почвени загуби.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 wp14:anchorId="1036DA72" wp14:editId="2366FFFD">
            <wp:extent cx="295275" cy="295275"/>
            <wp:effectExtent l="0" t="0" r="9525" b="9525"/>
            <wp:docPr id="6" name="graphics4" descr="state-mode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4" descr="state-modera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 периода 2007 – 2012 г. загубите на почва от ветрова ерозия се запазват, но площите със слаб риск намаляват за сметка на тези с умерен и висок риск.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70"/>
      </w:tblGrid>
      <w:tr w:rsidR="008F2D0E" w:rsidRPr="008F2D0E" w:rsidTr="000871FB">
        <w:trPr>
          <w:trHeight w:val="390"/>
        </w:trPr>
        <w:tc>
          <w:tcPr>
            <w:tcW w:w="897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Ерозия на почвите</w:t>
            </w:r>
          </w:p>
          <w:p w:rsidR="008F2D0E" w:rsidRPr="008F2D0E" w:rsidRDefault="008F2D0E" w:rsidP="008F2D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Агроекологичен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индикатор, IRENA 23 на ЕК/СИЦ (EC/JRC)).</w:t>
            </w:r>
          </w:p>
        </w:tc>
      </w:tr>
    </w:tbl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Водоплощна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ерозия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Дефиниция на индикатора 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Загуба на почва (t/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и засегнати от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eрозия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площи (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Оценка на индикатора </w:t>
      </w:r>
    </w:p>
    <w:p w:rsidR="008F2D0E" w:rsidRPr="008F2D0E" w:rsidRDefault="008F2D0E" w:rsidP="008F2D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на земеделските земи</w:t>
      </w:r>
      <w:hyperlink r:id="rId13" w:anchor="_ftn1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[6]</w:t>
        </w:r>
      </w:hyperlink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Оценката на средногодишните загуби на почва от ерозия за дадени климатични, почвени, топографски и стопански условия се извършва с помощта на математически модел, UCLE</w:t>
      </w:r>
      <w:hyperlink r:id="rId14" w:anchor="_ftn2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[7]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 използване на географска информационна система (ГИС). По този базиран на уравнение начин е възможно да се локализира  риска от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за определена територия, да се оценят загубите почва, да се направят анализи и прогнози в зависимост от конкретни нужди.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През 2012 г. се наблюдава слаба промяна в средногодишния интензитет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при земеделските земи, който е 7,26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Оценката на средногодишната ерозия през годината е 53,8 млн. тона, като се проявява в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различнa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степен и интензитет. Средногодишният интензитет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на земите със земеделско предназначение варира в зависимост от начините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земеполване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: 6,25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 при пасищата; 6,77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 при нивите; 20,40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  при трайните насаждения, а в площите заети с други видове селскостопански култури  той е 7,24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 (Табл. 4).</w:t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Табл. 4. Процентно разпределение на територията с различни начини на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земеползване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на земеделските земи по степени на действителен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ерозионен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риск по отношение на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водоплощната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ерозия</w:t>
      </w:r>
    </w:p>
    <w:tbl>
      <w:tblPr>
        <w:tblStyle w:val="a6"/>
        <w:tblW w:w="9795" w:type="dxa"/>
        <w:tblLook w:val="04A0" w:firstRow="1" w:lastRow="0" w:firstColumn="1" w:lastColumn="0" w:noHBand="0" w:noVBand="1"/>
      </w:tblPr>
      <w:tblGrid>
        <w:gridCol w:w="3086"/>
        <w:gridCol w:w="1887"/>
        <w:gridCol w:w="2516"/>
        <w:gridCol w:w="2306"/>
      </w:tblGrid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Начин на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земеползване</w:t>
            </w:r>
            <w:proofErr w:type="spellEnd"/>
          </w:p>
        </w:tc>
        <w:tc>
          <w:tcPr>
            <w:tcW w:w="18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Слаб</w:t>
            </w:r>
          </w:p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(&lt; 5 t/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/y)</w:t>
            </w:r>
          </w:p>
        </w:tc>
        <w:tc>
          <w:tcPr>
            <w:tcW w:w="25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Среден</w:t>
            </w:r>
          </w:p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(5.01 - 20 t/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/y)</w:t>
            </w:r>
          </w:p>
        </w:tc>
        <w:tc>
          <w:tcPr>
            <w:tcW w:w="231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Висок</w:t>
            </w:r>
          </w:p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(&gt; 20 t/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/y)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Ниви</w:t>
            </w:r>
          </w:p>
        </w:tc>
        <w:tc>
          <w:tcPr>
            <w:tcW w:w="18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</w:t>
            </w:r>
          </w:p>
        </w:tc>
        <w:tc>
          <w:tcPr>
            <w:tcW w:w="25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</w:tc>
        <w:tc>
          <w:tcPr>
            <w:tcW w:w="231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Трайни насаждения</w:t>
            </w:r>
          </w:p>
        </w:tc>
        <w:tc>
          <w:tcPr>
            <w:tcW w:w="18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</w:t>
            </w:r>
          </w:p>
        </w:tc>
        <w:tc>
          <w:tcPr>
            <w:tcW w:w="25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231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Пасища</w:t>
            </w:r>
          </w:p>
        </w:tc>
        <w:tc>
          <w:tcPr>
            <w:tcW w:w="18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</w:t>
            </w:r>
          </w:p>
        </w:tc>
        <w:tc>
          <w:tcPr>
            <w:tcW w:w="25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34</w:t>
            </w:r>
          </w:p>
        </w:tc>
        <w:tc>
          <w:tcPr>
            <w:tcW w:w="231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Други селскостопански територии</w:t>
            </w:r>
          </w:p>
        </w:tc>
        <w:tc>
          <w:tcPr>
            <w:tcW w:w="18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</w:t>
            </w:r>
          </w:p>
        </w:tc>
        <w:tc>
          <w:tcPr>
            <w:tcW w:w="25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37</w:t>
            </w:r>
          </w:p>
        </w:tc>
        <w:tc>
          <w:tcPr>
            <w:tcW w:w="231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Гори</w:t>
            </w:r>
          </w:p>
        </w:tc>
        <w:tc>
          <w:tcPr>
            <w:tcW w:w="18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100</w:t>
            </w:r>
          </w:p>
        </w:tc>
        <w:tc>
          <w:tcPr>
            <w:tcW w:w="25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231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</w:t>
            </w:r>
          </w:p>
        </w:tc>
      </w:tr>
    </w:tbl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ИАОС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От споменатите територии (без горите) със слаб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eрозионен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риск са 3 718 359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с умерен – 1 690 206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а с висок риск – 550 246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През 2012 г.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в земеделските земи на области Ловеч, Кърджали и Габрово има висок интензитет, съответно 14,45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/y, 10,77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 и 10,19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/y. Области Кюстендил, Разград, София, Сливен , Русе, Търговище имат умерен интензитет между 5,03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 и 8,7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/y. (фиг. 7 и табл. 5).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05"/>
        <w:gridCol w:w="4380"/>
      </w:tblGrid>
      <w:tr w:rsidR="008F2D0E" w:rsidRPr="008F2D0E" w:rsidTr="000871FB">
        <w:tc>
          <w:tcPr>
            <w:tcW w:w="490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Фиг. 7. Действителен риск от  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водоплощна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ерозия по области</w:t>
            </w:r>
          </w:p>
        </w:tc>
        <w:tc>
          <w:tcPr>
            <w:tcW w:w="438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Табл. 5. Степени на интензивност на действителния риск от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водоплощна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ерозия</w:t>
            </w:r>
          </w:p>
        </w:tc>
      </w:tr>
    </w:tbl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bg-BG"/>
        </w:rPr>
        <w:drawing>
          <wp:inline distT="0" distB="0" distL="0" distR="0" wp14:anchorId="7B57BA98" wp14:editId="6F9E482F">
            <wp:extent cx="5667375" cy="2333625"/>
            <wp:effectExtent l="0" t="0" r="9525" b="9525"/>
            <wp:docPr id="7" name="Картина 7" descr="https://eea.government.bg/bg/soer/2012/land-use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ea.government.bg/bg/soer/2012/land-use/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  ИАОС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 обработваемите земи се запазва тенденцията (спрямо 2011 г.), при която се увеличават площите със слаб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ерозионен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риск с 27 664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докато площите с умерен и висок риск намаляват съответно с 20 621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7 043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 Загубите на почва също намаляват с 662 057 тона - спрямо 2011г. (Фигури 8 и 9).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3"/>
        <w:gridCol w:w="4645"/>
      </w:tblGrid>
      <w:tr w:rsidR="008F2D0E" w:rsidRPr="008F2D0E" w:rsidTr="000871FB">
        <w:tc>
          <w:tcPr>
            <w:tcW w:w="474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Фиг. 8. Разпределение на площите  (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hа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) засегнати от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водоплощна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ерозия по степен на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ерозионен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риск (10</w:t>
            </w: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bg-BG"/>
              </w:rPr>
              <w:t>-3</w:t>
            </w: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ha) при обработваемите земи </w:t>
            </w: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74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Фиг. 9. Тенденции в разпределението на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водоплощната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ерозия при обработваемите земи. Засегнати площи (10</w:t>
            </w: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bg-BG"/>
              </w:rPr>
              <w:t>-3</w:t>
            </w: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ha) и загуби почва (t/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/y)</w:t>
            </w: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 wp14:anchorId="2334C7C7" wp14:editId="3AE0D32B">
            <wp:extent cx="4886325" cy="2409825"/>
            <wp:effectExtent l="0" t="0" r="9525" b="9525"/>
            <wp:docPr id="8" name="Картина 8" descr="https://eea.government.bg/bg/soer/2012/land-use/copy_of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ea.government.bg/bg/soer/2012/land-use/copy_of_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ИАОС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на земите от горския фонд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Определянето степента на ерозия на почвите от горския фонд се извършва съгласно </w:t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Наредба № 4 от 19/02/2013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(ДВ, бр.21 от 01/03/2013г.) за защита на горските територии срещу ерозия и порои и строеж на укрепителни съоръжения. Оценката на степента на ерозия се извършва за всеки горски подотдел при провеждане на лесоустройствените ревизии (Табл. 6).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Табл. 6. Оценка на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ерозионния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процес по почвени хоризонти в зависимост от степента на проявление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90"/>
        <w:gridCol w:w="6120"/>
      </w:tblGrid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Степен на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ерозираност</w:t>
            </w:r>
            <w:proofErr w:type="spellEnd"/>
          </w:p>
        </w:tc>
        <w:tc>
          <w:tcPr>
            <w:tcW w:w="61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Площ (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)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Слаба I</w:t>
            </w:r>
          </w:p>
        </w:tc>
        <w:tc>
          <w:tcPr>
            <w:tcW w:w="61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Ерозиран е хумусният хоризонт (А) до половината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Слаба до средна II   </w:t>
            </w:r>
          </w:p>
        </w:tc>
        <w:tc>
          <w:tcPr>
            <w:tcW w:w="61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Ерозиран е целият хумусен хоризонт (А)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Средна III</w:t>
            </w:r>
          </w:p>
        </w:tc>
        <w:tc>
          <w:tcPr>
            <w:tcW w:w="61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Ерозиран е преходният хоризонт (В) до половината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Силна IV</w:t>
            </w:r>
          </w:p>
        </w:tc>
        <w:tc>
          <w:tcPr>
            <w:tcW w:w="61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Ерозиран е целият преходен хоризонт (В);</w:t>
            </w:r>
          </w:p>
        </w:tc>
      </w:tr>
      <w:tr w:rsidR="008F2D0E" w:rsidRPr="008F2D0E" w:rsidTr="000871FB">
        <w:tc>
          <w:tcPr>
            <w:tcW w:w="309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Много силна V</w:t>
            </w:r>
          </w:p>
        </w:tc>
        <w:tc>
          <w:tcPr>
            <w:tcW w:w="612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Ерозиран е част от скалния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рохляк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(С).</w:t>
            </w:r>
          </w:p>
        </w:tc>
      </w:tr>
    </w:tbl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Източник: ИАГ, </w:t>
      </w:r>
      <w:hyperlink r:id="rId17" w:tgtFrame="_blank" w:history="1">
        <w:r w:rsidRPr="008F2D0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http://www.iag.bg/docs/lang/1/cat/3/index</w:t>
        </w:r>
      </w:hyperlink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Според цитирания по-горе математически модел, базиран на уравнението USLE</w:t>
      </w:r>
      <w:hyperlink r:id="rId18" w:anchor="_ftn1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[8]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използван в ИАОС през 2012 г. загубите на почва в горите са 1 083 114 тона, т.е. 2% от тези за цялата страна.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Според данните от последните лесоустройствени проекти общата класифицирана площ по степен на засегнати от ерозия площи в горските територии е около 292 000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 Най-много са ерозираните площи в Регионалните управления  на горите: Благоевград, Кърджали, Кюстендил, София и Смолян.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Общата площ на създадените през 2012 г. нови гори е 1 204,1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от които 1 118,8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територии, предоставени за управление на държавните предприятия по чл. 163 от Закона за горите (25% по-малко сравнено с 2011 г.) и 85,3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 общински горски 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територии. През годината не са отчетени залесявания в частни горски територии. Поради недостатъчно финансиране, през годината не са извършвани други дейности по защита на горските територии срещу ерозия, освен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противоерозионни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залесявания върху 356,0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Мерки за ограничаване на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водоплощната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ерозия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 2012 г. Изпълнителна агенция по горите е извършила следните дейности, свързани със залесяването и защитата на горските територии от ерозия:</w:t>
      </w:r>
    </w:p>
    <w:p w:rsidR="008F2D0E" w:rsidRPr="008F2D0E" w:rsidRDefault="008F2D0E" w:rsidP="008F2D0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регистриране на 54 базови източници за производство на семена и други горски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репродуктивни материали (ГРМ);</w:t>
      </w:r>
    </w:p>
    <w:p w:rsidR="008F2D0E" w:rsidRPr="008F2D0E" w:rsidRDefault="008F2D0E" w:rsidP="008F2D0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изготвяне на национален списък на регистриране на базовите източници във връзка с изпълнение на Директива 1999/105/ЕО;</w:t>
      </w:r>
    </w:p>
    <w:p w:rsidR="008F2D0E" w:rsidRPr="008F2D0E" w:rsidRDefault="008F2D0E" w:rsidP="008F2D0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издаване на 177 сертификата за идентификация на произхода на ГРМ;</w:t>
      </w:r>
    </w:p>
    <w:p w:rsidR="008F2D0E" w:rsidRPr="008F2D0E" w:rsidRDefault="008F2D0E" w:rsidP="008F2D0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окачествяване на 305 партиди семена;</w:t>
      </w:r>
    </w:p>
    <w:p w:rsidR="008F2D0E" w:rsidRPr="008F2D0E" w:rsidRDefault="008F2D0E" w:rsidP="008F2D0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регистриране на двама доставчици на ГРМ;</w:t>
      </w:r>
    </w:p>
    <w:p w:rsidR="008F2D0E" w:rsidRPr="008F2D0E" w:rsidRDefault="008F2D0E" w:rsidP="008F2D0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извършване на 703 контролни проверки по състоянието на регистрираните базови  източници на ГРМ;</w:t>
      </w:r>
    </w:p>
    <w:p w:rsidR="008F2D0E" w:rsidRPr="008F2D0E" w:rsidRDefault="008F2D0E" w:rsidP="008F2D0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поддържане в добро състояние на 16,9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тополови и върбови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маточници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F2D0E" w:rsidRPr="008F2D0E" w:rsidRDefault="008F2D0E" w:rsidP="008F2D0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производство на 36,1 хил. броя тополови фиданки за залесяване.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 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Ветрова ерозия</w:t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Дефиниция на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индикатора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Загуба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(износ) на почва (t/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и засегнати от ветрова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eрозия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площи (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Оценка на индикатора 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Оценката на средногодишните загуби на почва от ерозия за дадени климатични, почвени, топографски и стопански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уславия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прави с помощта на: математически модел базиран на уравнение WEQ</w:t>
      </w:r>
      <w:hyperlink r:id="rId19" w:anchor="_ftn2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[9]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 използване на географска информационна система (ГИС).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разлика от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ерозия, която е характерна за планински и хълмисти условия,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ветровата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се проявява главно при големи и открити равнини - предимно обезлесени.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През 2012 г. наблюдаваната тенденция през последните години към ограничаване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площното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разпространение на ветрова ерозия в страната, е нарушена. Площите със слаб риск намаляват за сметка на тези с умерен и висок риск. Важен е фактът, че загубите на почва остават в същия диапазон.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4373"/>
      </w:tblGrid>
      <w:tr w:rsidR="008F2D0E" w:rsidRPr="008F2D0E" w:rsidTr="008F2D0E">
        <w:trPr>
          <w:tblCellSpacing w:w="15" w:type="dxa"/>
          <w:jc w:val="center"/>
        </w:trPr>
        <w:tc>
          <w:tcPr>
            <w:tcW w:w="4860" w:type="dxa"/>
            <w:vAlign w:val="center"/>
            <w:hideMark/>
          </w:tcPr>
          <w:p w:rsidR="008F2D0E" w:rsidRPr="008F2D0E" w:rsidRDefault="008F2D0E" w:rsidP="008F2D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Фиг. 10. Действителен риск от ветрова ерозия по области</w:t>
            </w:r>
          </w:p>
        </w:tc>
        <w:tc>
          <w:tcPr>
            <w:tcW w:w="4425" w:type="dxa"/>
            <w:vAlign w:val="center"/>
            <w:hideMark/>
          </w:tcPr>
          <w:p w:rsidR="008F2D0E" w:rsidRPr="008F2D0E" w:rsidRDefault="008F2D0E" w:rsidP="008F2D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Табл. 7. Степени на интензивност на действителния риск от ветрова ерозия</w:t>
            </w:r>
          </w:p>
        </w:tc>
      </w:tr>
    </w:tbl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 wp14:anchorId="0D4D66B8" wp14:editId="6D6A591D">
            <wp:extent cx="4410075" cy="2047875"/>
            <wp:effectExtent l="0" t="0" r="9525" b="9525"/>
            <wp:docPr id="9" name="Картина 9" descr="https://eea.government.bg/bg/soer/2012/land-use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ea.government.bg/bg/soer/2012/land-use/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br w:type="textWrapping" w:clear="all"/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ИАОС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През 2012 г.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ветровата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запазва относително постоянна площ на разпространение 34% (3 816 613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от обработваемите земи в страната са в риск от ветрова ерозия – в различна степен със средногодишен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интенцитет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0,2 t/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/y. За разлика от предходната година, когато не се отчитат площи с висок риск от ветрова ерозия, то през 2012 г. те са 364 421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Засегнатите площи с </w:t>
      </w: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висок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ерозионен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риск са 288 344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с </w:t>
      </w: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умерен 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- 449 091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а със </w:t>
      </w: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слаб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3 001 710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(Фигури  9 и 10). Нивите в областите: Добрич (187 131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Бургас (120 713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Ямбол (14 007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Силистра (5 480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и Сливен ( 1 156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 са с най-висок риск от ветрова ерозия. Загубите на почва са най-големи в областите: Добрич, Бургас, Варна, Русе и Хасково, следват Силистра, Ямбол, Шумен и Стара Загора.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8"/>
        <w:gridCol w:w="4584"/>
      </w:tblGrid>
      <w:tr w:rsidR="008F2D0E" w:rsidRPr="008F2D0E" w:rsidTr="008F2D0E">
        <w:trPr>
          <w:tblCellSpacing w:w="15" w:type="dxa"/>
        </w:trPr>
        <w:tc>
          <w:tcPr>
            <w:tcW w:w="4605" w:type="dxa"/>
            <w:vAlign w:val="center"/>
            <w:hideMark/>
          </w:tcPr>
          <w:p w:rsidR="008F2D0E" w:rsidRPr="008F2D0E" w:rsidRDefault="008F2D0E" w:rsidP="008F2D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Фиг.11. Разпределение на площите  (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hа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) засегнати от ветрова ерозия по степен на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ерозионен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риск (10</w:t>
            </w: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bg-BG"/>
              </w:rPr>
              <w:t>-3</w:t>
            </w: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ha)</w:t>
            </w:r>
          </w:p>
        </w:tc>
        <w:tc>
          <w:tcPr>
            <w:tcW w:w="4605" w:type="dxa"/>
            <w:vAlign w:val="center"/>
            <w:hideMark/>
          </w:tcPr>
          <w:p w:rsidR="008F2D0E" w:rsidRPr="008F2D0E" w:rsidRDefault="008F2D0E" w:rsidP="008F2D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Фиг. 12. Тенденции в разпределението на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ветровата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ерозия в страната. Засегнати площи (10</w:t>
            </w: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bg-BG"/>
              </w:rPr>
              <w:t>-3</w:t>
            </w: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ha) и загуби почва (t/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/y)</w:t>
            </w: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40F3FAD4" wp14:editId="6AEA7533">
            <wp:extent cx="5667375" cy="2914650"/>
            <wp:effectExtent l="0" t="0" r="9525" b="0"/>
            <wp:docPr id="10" name="Картина 10" descr="https://eea.government.bg/bg/soer/2012/land-use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ea.government.bg/bg/soer/2012/land-use/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  ИАОС</w:t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Политики за ограничаване на почвената ерозия</w:t>
      </w: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 последните години се провежда последователна политика за ограничаване на процеса в няколко направления:</w:t>
      </w:r>
    </w:p>
    <w:p w:rsidR="008F2D0E" w:rsidRPr="008F2D0E" w:rsidRDefault="008F2D0E" w:rsidP="008F2D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ежегоден мониторинг, провеждан от Изпълнителната агенция по околна среда за територията на цялата страна, данните от който се използват за планиране ползването на земите по начин, ограничаващ процесите на ерозия;</w:t>
      </w:r>
    </w:p>
    <w:p w:rsidR="008F2D0E" w:rsidRPr="008F2D0E" w:rsidRDefault="008F2D0E" w:rsidP="008F2D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информиране и подпомагане на земеделските производители при планиране на ползването в дадено стопанство от регионалните структури на МЗХ /Национална служба по съвети в земеделието (НССЗ);</w:t>
      </w:r>
    </w:p>
    <w:p w:rsidR="008F2D0E" w:rsidRPr="008F2D0E" w:rsidRDefault="008F2D0E" w:rsidP="008F2D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спазване на добрите земеделски и екологични условия МЗХ;</w:t>
      </w:r>
    </w:p>
    <w:p w:rsidR="008F2D0E" w:rsidRPr="008F2D0E" w:rsidRDefault="008F2D0E" w:rsidP="008F2D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подкрепа на земеделските производители чрез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компесаторни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плащания за дейности, ограничаващи процеса МЗХ/НССЗ.</w:t>
      </w:r>
    </w:p>
    <w:p w:rsidR="008F2D0E" w:rsidRPr="008F2D0E" w:rsidRDefault="008F2D0E" w:rsidP="008F2D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 Програма за развитие на селските райони 2007-2013 г. се подпомагат редица дейности, които са свързани с опазване на почвите. По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подмярка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„Опазване на почвите и водите“ от Програмата  за развитие на селските райони до момента (2008-2012г.)  има подадени 472 заявления от земеделски производители за дейности свързани с опазване на почвите от ерозия.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Източници н информация: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         Математически модел за изчисляване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водоплощната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ерозия -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Universal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Soil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Loss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Equation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(USLE). Изпълнителна агенция по околна среда (</w:t>
      </w:r>
      <w:hyperlink r:id="rId22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http://www.eea.government.bg/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);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         Математически модел за изчисляване на в  ерозия -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Wind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Erosion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Equation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(WEQ). Изпълнителна агенция по околна среда (</w:t>
      </w:r>
      <w:hyperlink r:id="rId23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http://www.eea.government.bg/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-         Аграрен доклад, 2012, Министерство на земеделието и храните. (</w:t>
      </w:r>
      <w:hyperlink r:id="rId24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http://www.mzh.government.bg/mzh/bg/Documents/AgrarenDoklad.aspx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);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-         Аграрен доклад, 2013, Министерство на земеделието и храните (</w:t>
      </w:r>
      <w:hyperlink r:id="rId25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http://www.mzh.government.bg/mzh/bg/Documents/AgrarenDoklad.aspx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);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         БАНСИК 2012, “Окончателни резултати за заетостта и използването на територията на България през 2012 г.”. Министерство на земеделието и храните -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Агро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статистика;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-         Министерство на земеделието и храните (</w:t>
      </w:r>
      <w:hyperlink r:id="rId26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http://www.mzh.government.bg/mzh/bg/Home.aspx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8F2D0E" w:rsidRPr="008F2D0E" w:rsidTr="008F2D0E">
        <w:trPr>
          <w:trHeight w:val="390"/>
          <w:tblCellSpacing w:w="15" w:type="dxa"/>
        </w:trPr>
        <w:tc>
          <w:tcPr>
            <w:tcW w:w="8970" w:type="dxa"/>
            <w:vAlign w:val="center"/>
            <w:hideMark/>
          </w:tcPr>
          <w:p w:rsidR="008F2D0E" w:rsidRPr="008F2D0E" w:rsidRDefault="008F2D0E" w:rsidP="008F2D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Свлачища</w:t>
            </w:r>
            <w:proofErr w:type="spellEnd"/>
          </w:p>
        </w:tc>
      </w:tr>
    </w:tbl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Ключово послание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bg-BG"/>
        </w:rPr>
        <w:drawing>
          <wp:inline distT="0" distB="0" distL="0" distR="0" wp14:anchorId="1201D15E" wp14:editId="6AC9C5C2">
            <wp:extent cx="285750" cy="295275"/>
            <wp:effectExtent l="0" t="0" r="0" b="9525"/>
            <wp:docPr id="11" name="graphics3" descr="state-b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3" descr="state-ba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Тенденцията и през 2012 г. е увеличаване броя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слачищата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засегнати  територии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Дефиниция на индикатора</w:t>
      </w:r>
    </w:p>
    <w:p w:rsidR="008F2D0E" w:rsidRPr="008F2D0E" w:rsidRDefault="008F2D0E" w:rsidP="008F2D0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 Брой на регистрираните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една година</w:t>
      </w:r>
    </w:p>
    <w:p w:rsidR="008F2D0E" w:rsidRPr="008F2D0E" w:rsidRDefault="008F2D0E" w:rsidP="008F2D0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Обща площ в (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- засегната от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свачищни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процеси.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нанасят щети върху инженерната инфраструктура и облика на територията във всички области в страната. Проявата или активизирането им се дължат, както на природни (особености в цялостното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геолого-тектонско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развитие и морфология на районите; интензивност на валежите; морска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абразия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щормови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вълнения, ерозия,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изветрителни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процеси и др.), така и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техногенни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фактори (въздействия в резултат на човешка дейност – извършване на дълбоки изкопи, прокарване на пътища, добив на полезни изкопаеми, претоварване на горната част на терена от насипи или ново строителство; състояние на изградените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ВиК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мрежи и експлоатацията им в потенциално-опасни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райони и др.).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Оценка на индикатора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Общият брой на регистрираните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през 2012 г. е 1 735, 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засегнотите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площи са 20 737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За периода 2004 - 2012 г. в страната са регистрирани 541 бр. нови 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площ от 336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Свлачищните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райони са преди всичко в населените места и по-малко по общинската пътна мрежа. Активните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територията на страната са 692 бр. със засегната площ около 5 800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 От регистрираните</w:t>
      </w:r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1 735 бр.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1 164 бр. са в урбанизирани територии. Останалите 571 бр. са разпространени по републикански и общински пътища и частично в земеделски и горски територии. Най-активните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намират в населени места и застрашават живота и здравето на хората и техническата инфраструктура. Дължината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абразионния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бряг е 233,8 км. 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През 2012 г. са регистрирани 31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нововопроявени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обща площ около 39,3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Данните са за регистрирани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свлачищни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райони в населени места и частично по републиканската и общинска пътна мрежа.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разпределени както следва: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         300 бр.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, в областите Добрич, Шумен, Варна, Бургас и Сливен;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         1 008 бр.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, в областите Видин, Монтана, Враца, Плевен, Ловеч, Габрово, Велико Търново, Русе, Силистра и Търговище;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         427 бр.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, в областите София-град, София-област, Перник, Кюстендил, Благоевград, Пазарджик, Пловдив, Смолян, Хасково и Кърджали.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Най-много нови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има в областите Добрич  Варна и Велико Търново - 13 броя с обща площ 38,12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ha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. (фиг. 13).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Фиг. 13.  Разпределение на площите засегнати от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свлачищни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 процеси,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ha</w:t>
      </w:r>
      <w:proofErr w:type="spellEnd"/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  <w:r w:rsidRPr="008F2D0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24C1D6CB" wp14:editId="3B59DDE6">
            <wp:extent cx="5238750" cy="3457575"/>
            <wp:effectExtent l="0" t="0" r="0" b="9525"/>
            <wp:docPr id="12" name="Картина 12" descr="https://eea.government.bg/bg/soer/2012/land-use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ea.government.bg/bg/soer/2012/land-use/1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0E" w:rsidRPr="008F2D0E" w:rsidRDefault="008F2D0E" w:rsidP="008F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 МРР; „</w:t>
      </w:r>
      <w:proofErr w:type="spellStart"/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Геозащита</w:t>
      </w:r>
      <w:proofErr w:type="spellEnd"/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” ЕООД – Варна, Плевен и Перник</w:t>
      </w:r>
    </w:p>
    <w:p w:rsidR="008F2D0E" w:rsidRPr="008F2D0E" w:rsidRDefault="008F2D0E" w:rsidP="008F2D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периода 2007 – 2012 г. тенденцията е увеличаване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свлачищата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засегнатата територия (табл.8), като проявата на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свлачищна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активност е през пролетния сезон след снеготопене и след интензивни валежи.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Табл. 8.  Разпределение на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новопоявилите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свлачища</w:t>
      </w:r>
      <w:proofErr w:type="spellEnd"/>
      <w:r w:rsidRPr="008F2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 в периода 2007 – 2012 г. 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</w:t>
      </w:r>
    </w:p>
    <w:tbl>
      <w:tblPr>
        <w:tblStyle w:val="a6"/>
        <w:tblW w:w="7995" w:type="dxa"/>
        <w:tblLook w:val="04A0" w:firstRow="1" w:lastRow="0" w:firstColumn="1" w:lastColumn="0" w:noHBand="0" w:noVBand="1"/>
      </w:tblPr>
      <w:tblGrid>
        <w:gridCol w:w="2850"/>
        <w:gridCol w:w="876"/>
        <w:gridCol w:w="876"/>
        <w:gridCol w:w="876"/>
        <w:gridCol w:w="945"/>
        <w:gridCol w:w="855"/>
        <w:gridCol w:w="900"/>
      </w:tblGrid>
      <w:tr w:rsidR="008F2D0E" w:rsidRPr="008F2D0E" w:rsidTr="00896F47">
        <w:tc>
          <w:tcPr>
            <w:tcW w:w="285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Новопоявили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се 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свлачища</w:t>
            </w:r>
            <w:proofErr w:type="spellEnd"/>
          </w:p>
        </w:tc>
        <w:tc>
          <w:tcPr>
            <w:tcW w:w="85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2007</w:t>
            </w:r>
          </w:p>
        </w:tc>
        <w:tc>
          <w:tcPr>
            <w:tcW w:w="75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2008</w:t>
            </w:r>
          </w:p>
        </w:tc>
        <w:tc>
          <w:tcPr>
            <w:tcW w:w="85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2009</w:t>
            </w:r>
          </w:p>
        </w:tc>
        <w:tc>
          <w:tcPr>
            <w:tcW w:w="94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2010</w:t>
            </w:r>
          </w:p>
        </w:tc>
        <w:tc>
          <w:tcPr>
            <w:tcW w:w="85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2011</w:t>
            </w:r>
          </w:p>
        </w:tc>
        <w:tc>
          <w:tcPr>
            <w:tcW w:w="90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2012</w:t>
            </w:r>
          </w:p>
        </w:tc>
      </w:tr>
      <w:tr w:rsidR="008F2D0E" w:rsidRPr="008F2D0E" w:rsidTr="00896F47">
        <w:tc>
          <w:tcPr>
            <w:tcW w:w="285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Брой</w:t>
            </w:r>
          </w:p>
        </w:tc>
        <w:tc>
          <w:tcPr>
            <w:tcW w:w="85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75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</w:t>
            </w:r>
          </w:p>
        </w:tc>
        <w:tc>
          <w:tcPr>
            <w:tcW w:w="85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94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</w:t>
            </w:r>
          </w:p>
        </w:tc>
        <w:tc>
          <w:tcPr>
            <w:tcW w:w="855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900" w:type="dxa"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</w:tc>
      </w:tr>
      <w:tr w:rsidR="008F2D0E" w:rsidRPr="008F2D0E" w:rsidTr="00896F47">
        <w:tc>
          <w:tcPr>
            <w:tcW w:w="285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Площ (</w:t>
            </w:r>
            <w:proofErr w:type="spellStart"/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ha</w:t>
            </w:r>
            <w:proofErr w:type="spellEnd"/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</w:tc>
        <w:tc>
          <w:tcPr>
            <w:tcW w:w="85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123.74</w:t>
            </w:r>
          </w:p>
        </w:tc>
        <w:tc>
          <w:tcPr>
            <w:tcW w:w="75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140.08</w:t>
            </w:r>
          </w:p>
        </w:tc>
        <w:tc>
          <w:tcPr>
            <w:tcW w:w="85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111.21</w:t>
            </w:r>
          </w:p>
        </w:tc>
        <w:tc>
          <w:tcPr>
            <w:tcW w:w="94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169.59</w:t>
            </w:r>
          </w:p>
        </w:tc>
        <w:tc>
          <w:tcPr>
            <w:tcW w:w="855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900" w:type="dxa"/>
            <w:noWrap/>
            <w:hideMark/>
          </w:tcPr>
          <w:p w:rsidR="008F2D0E" w:rsidRPr="008F2D0E" w:rsidRDefault="008F2D0E" w:rsidP="008F2D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F2D0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392.82</w:t>
            </w:r>
          </w:p>
        </w:tc>
      </w:tr>
    </w:tbl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8F2D0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 МРР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  1 Информацията е предоставена от НИМХ – БАН </w:t>
      </w:r>
    </w:p>
    <w:p w:rsidR="008F2D0E" w:rsidRPr="008F2D0E" w:rsidRDefault="008F2D0E" w:rsidP="008F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  2НИМХ – БАН (</w:t>
      </w:r>
      <w:hyperlink r:id="rId29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http://meteorology.meteo.bg/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8F2D0E" w:rsidRPr="008F2D0E" w:rsidRDefault="008F2D0E" w:rsidP="008F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0" w:name="sdfootnote3sym"/>
      <w:bookmarkEnd w:id="0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3 USLE -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Universal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Soil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Loss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Equation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30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http://www.fao.org/docrep/t1765e/t1765e0e.htm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1" w:name="sdfootnote4sym"/>
      <w:bookmarkEnd w:id="1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Wind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Erosion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Equation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31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http://www.weru.ksu.edu/nrcs/weq.html</w:t>
        </w:r>
      </w:hyperlink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  </w:t>
      </w:r>
      <w:hyperlink r:id="rId32" w:anchor="_ftnref1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[6]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Поради липса на данни от НИМХ за периода 2007-2009г. - данните за този индикатор са за последните три години.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</w:t>
      </w:r>
      <w:hyperlink r:id="rId33" w:anchor="_ftnref2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[7]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USLE -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Universal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Soil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Loss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Equation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34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http://www.fao.org/home/en</w:t>
        </w:r>
      </w:hyperlink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35" w:anchor="_ftnref1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[8]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До този момент в България не са внедрени модели за мониторинг на почвена ерозия в гори. Такива модели успешно се прилагат в САЩ, Китай и др.</w:t>
      </w:r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36" w:anchor="_ftnref2" w:tooltip="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[9]</w:t>
        </w:r>
      </w:hyperlink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Wind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Erosion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Equation</w:t>
      </w:r>
      <w:proofErr w:type="spellEnd"/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37" w:tgtFrame="_blank" w:history="1">
        <w:r w:rsidRPr="008F2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http://www.weru.ksu.edu/nrcs/weq.html</w:t>
        </w:r>
      </w:hyperlink>
    </w:p>
    <w:p w:rsidR="008F2D0E" w:rsidRPr="008F2D0E" w:rsidRDefault="008F2D0E" w:rsidP="008F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2D0E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B21123" w:rsidRDefault="00B21123"/>
    <w:p w:rsidR="00282D72" w:rsidRDefault="00282D72"/>
    <w:p w:rsidR="00282D72" w:rsidRDefault="00282D72">
      <w:hyperlink r:id="rId38" w:history="1">
        <w:r w:rsidRPr="00CB03BE">
          <w:rPr>
            <w:rStyle w:val="a5"/>
          </w:rPr>
          <w:t>https://eea.government.bg/bg/soer/2011/climate/climate1</w:t>
        </w:r>
      </w:hyperlink>
    </w:p>
    <w:p w:rsidR="00282D72" w:rsidRDefault="00282D72"/>
    <w:p w:rsidR="00282D72" w:rsidRPr="00282D72" w:rsidRDefault="00282D72" w:rsidP="00282D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Климат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</w:tblGrid>
      <w:tr w:rsidR="00282D72" w:rsidRPr="00282D72" w:rsidTr="00282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Характеристики на валежите и температурата</w:t>
            </w:r>
            <w:r w:rsidRPr="00282D7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bg-BG"/>
              </w:rPr>
              <w:t>1</w:t>
            </w:r>
          </w:p>
        </w:tc>
      </w:tr>
    </w:tbl>
    <w:p w:rsidR="00282D72" w:rsidRPr="00282D72" w:rsidRDefault="00282D72" w:rsidP="00282D7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282D72" w:rsidRPr="00282D72" w:rsidTr="00282D72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Ключов въпрос</w:t>
            </w:r>
          </w:p>
          <w:p w:rsidR="00282D72" w:rsidRPr="00282D72" w:rsidRDefault="00282D72" w:rsidP="00282D7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Какви са били температурите и количеството на валежите в България през 2011 година?</w:t>
            </w:r>
          </w:p>
        </w:tc>
      </w:tr>
    </w:tbl>
    <w:p w:rsidR="00282D72" w:rsidRPr="00282D72" w:rsidRDefault="00282D72" w:rsidP="00282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Ключово послание</w:t>
      </w:r>
    </w:p>
    <w:p w:rsidR="00282D72" w:rsidRPr="00282D72" w:rsidRDefault="00282D72" w:rsidP="00282D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282D72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4AF5BFAD" wp14:editId="50C72078">
            <wp:extent cx="295275" cy="295275"/>
            <wp:effectExtent l="0" t="0" r="9525" b="9525"/>
            <wp:docPr id="13" name="graphics2" descr="state-b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 descr="state-ba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20 от последните 22 години след 1989 г. са с положителни аномалии на средната годишна температура на въздуха в България спрямо климатичната норма на базисния период 1961 – 1990 г. За периода 1971-2011 г. средната приземна температура на въздуха в страната се е увеличила с 1,5°С;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Дефиниция на индикатора 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Климатичните и метеорологичните условия влияят на природните и антропогенни процеси, които въздействат върху състоянието на околната среда. Високите температури засягат отводняването, увеличават </w:t>
      </w:r>
      <w:proofErr w:type="spellStart"/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еутрофикацията</w:t>
      </w:r>
      <w:proofErr w:type="spellEnd"/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стоящите води, и могат да доведат до пожари. Метеорологичните условия също влияят на икономиката и по този начин увеличават натиска върху околната среда от тези сектори. Температурата влияе и върху консумацията на енергия за отопление и климатизация, като по този начин засяга замърсяването на въздуха, свързано с производството на енергия от ТЕЦ. Валежите оказват значителен ефект върху селското стопанство, чрез употребата на вода за напояване, торене, </w:t>
      </w:r>
      <w:proofErr w:type="spellStart"/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агрохимикали</w:t>
      </w:r>
      <w:proofErr w:type="spellEnd"/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, разпространение на вредители и количеството на добивите. Други засегнати сектори включват горското стопанство и в малка степен, услугите. Екстремни метеорологични условия, като наводнения, дългосрочни периоди на суша и силни ветрове, могат да причинят големи щети на националната икономика.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Индикаторите за изменение на </w:t>
      </w: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климата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следните: 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 райони с надморска височина до 800 м:</w:t>
      </w:r>
    </w:p>
    <w:p w:rsidR="00282D72" w:rsidRPr="00282D72" w:rsidRDefault="00282D72" w:rsidP="00282D7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Средногодишна температура на въздуха</w:t>
      </w:r>
    </w:p>
    <w:p w:rsidR="00282D72" w:rsidRPr="00282D72" w:rsidRDefault="00282D72" w:rsidP="00282D7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Количество на валежите</w:t>
      </w:r>
    </w:p>
    <w:p w:rsidR="00282D72" w:rsidRPr="00282D72" w:rsidRDefault="00282D72" w:rsidP="00282D7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Максимален денонощен валеж за 1 ден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 райони с надморска височина от 800 до 1800 м</w:t>
      </w:r>
      <w:r w:rsidRPr="00282D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:</w:t>
      </w:r>
    </w:p>
    <w:p w:rsidR="00282D72" w:rsidRPr="00282D72" w:rsidRDefault="00282D72" w:rsidP="00282D7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Количество на валежите</w:t>
      </w:r>
    </w:p>
    <w:p w:rsidR="00282D72" w:rsidRPr="00282D72" w:rsidRDefault="00282D72" w:rsidP="00282D7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Максимален денонощен валеж за 1 ден</w:t>
      </w:r>
    </w:p>
    <w:p w:rsidR="00282D72" w:rsidRPr="00282D72" w:rsidRDefault="00282D72" w:rsidP="00282D7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Максимална височина на снежната покривка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Оценка на индикаторите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282D72" w:rsidRPr="00282D72" w:rsidRDefault="00282D72" w:rsidP="00282D7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Средногодишна температура на въздуха и тенденции в изменението спрямо климатичната норма за периода 1961 - 1990 г.</w:t>
      </w:r>
    </w:p>
    <w:p w:rsidR="00282D72" w:rsidRPr="00282D72" w:rsidRDefault="00282D72" w:rsidP="00282D72">
      <w:pPr>
        <w:spacing w:before="119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Фиг.1. Аномалии на температурата на въздуха в България спрямо периода 1961-1990, °С</w:t>
      </w:r>
    </w:p>
    <w:p w:rsidR="00282D72" w:rsidRPr="00282D72" w:rsidRDefault="00282D72" w:rsidP="00282D7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52E85942" wp14:editId="36B52D6B">
            <wp:extent cx="5191125" cy="3238500"/>
            <wp:effectExtent l="0" t="0" r="9525" b="0"/>
            <wp:docPr id="14" name="graphics3" descr="climate1_html_m2f69f6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3" descr="climate1_html_m2f69f65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72" w:rsidRPr="00282D72" w:rsidRDefault="00282D72" w:rsidP="00282D7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282D72" w:rsidRPr="00282D72" w:rsidRDefault="00282D72" w:rsidP="00282D72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червено -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положителна аномалия на средната годишна температура спрямо климатичната норма на периода 1961-1990 г.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синьо -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отрицателна аномалия на средната годишна температура спрямо климатичната норма на периода 1961-1990 г.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зелено -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филтър (пълзящо средно) за определяне на вариациите в аномалиите на средната годишна температура;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жълто -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линеен </w:t>
      </w:r>
      <w:proofErr w:type="spellStart"/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тренд</w:t>
      </w:r>
      <w:proofErr w:type="spellEnd"/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аномалиите на средната годишна температура за периода 1971-2010 г.</w:t>
      </w:r>
    </w:p>
    <w:p w:rsidR="00282D72" w:rsidRPr="00282D72" w:rsidRDefault="00282D72" w:rsidP="00282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lastRenderedPageBreak/>
        <w:t>Източник: НИМХ</w:t>
      </w: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Температурите през 2011 г. не са толкова високи, колкото са рекордните стойности, наблюдавани през 2010 г. Глобалната температура на въздуха за 2011 г. се оценява на 0,41°C±0,11°C над средните годишни стойности през 1961-1990 г. от 14,0°C. 2011 година е в редицата на десетте най-топли години от началото на редовните метеорологични наблюдения. Всъщност 13-те най-топли години са настъпили през 15-те години между 1997 и 2011 г.</w:t>
      </w:r>
    </w:p>
    <w:p w:rsidR="00282D72" w:rsidRPr="00282D72" w:rsidRDefault="00282D72" w:rsidP="00282D72">
      <w:pPr>
        <w:spacing w:before="100" w:beforeAutospacing="1" w:after="278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Средногодишните температури в България през 2009, 2010 и 2011 г. са с над 1°C над климатичната норма за страната от 10,5°. 2011 г. е поредната 14-та година с температури по-високи от обичайните за страната.</w:t>
      </w:r>
    </w:p>
    <w:p w:rsidR="00282D72" w:rsidRPr="00282D72" w:rsidRDefault="00282D72" w:rsidP="00282D72">
      <w:pPr>
        <w:spacing w:before="100" w:beforeAutospacing="1" w:after="27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Колебания в средната стойност на годишните валежи, максималните денонощни валежи, снежната покривка</w:t>
      </w:r>
    </w:p>
    <w:p w:rsidR="00282D72" w:rsidRPr="00282D72" w:rsidRDefault="00282D72" w:rsidP="00282D7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Табл.1. Стойности на количеството на валежите, максималните денонощни валежи и снежната покривка през периода 1988 – 2011 г.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7"/>
        <w:gridCol w:w="1157"/>
        <w:gridCol w:w="2246"/>
        <w:gridCol w:w="2729"/>
        <w:gridCol w:w="2149"/>
      </w:tblGrid>
      <w:tr w:rsidR="00282D72" w:rsidRPr="00282D72" w:rsidTr="00896F47">
        <w:trPr>
          <w:trHeight w:val="1095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Година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Валеж, mm 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Максимален денонощен валеж, mm 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Максимална височина </w:t>
            </w:r>
          </w:p>
          <w:p w:rsidR="00282D72" w:rsidRPr="00282D72" w:rsidRDefault="00282D72" w:rsidP="00282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на снежната покривка, cm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Температура на въздуха, °С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1988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579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197.5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11,9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1989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546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164.0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12,4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1990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459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135.5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11,8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1991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641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182.0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10,6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1992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456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138.0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11,7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1993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475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92.4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11,6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1994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528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263.0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13,0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1995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697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135.4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11,2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1996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599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122.2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11,0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1997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662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110.6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11,3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1998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678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157.6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12,1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1999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633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268.5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12,1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2000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377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160.0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12,4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2001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549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100.5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12,3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2002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743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158.0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11,9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2003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176.0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11,4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2004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604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136.0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11,6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2005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924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288.0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70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11,1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2006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597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300.8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11,5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2007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696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291.0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12,6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2008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496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224.0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12,3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2009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676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132.0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12,2</w:t>
            </w:r>
          </w:p>
        </w:tc>
      </w:tr>
      <w:tr w:rsidR="00282D72" w:rsidRPr="00282D72" w:rsidTr="00896F47">
        <w:trPr>
          <w:trHeight w:val="150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2010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788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200.9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5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12,1</w:t>
            </w:r>
          </w:p>
        </w:tc>
      </w:tr>
      <w:tr w:rsidR="00282D72" w:rsidRPr="00282D72" w:rsidTr="00896F47">
        <w:trPr>
          <w:trHeight w:val="135"/>
        </w:trPr>
        <w:tc>
          <w:tcPr>
            <w:tcW w:w="9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2011</w:t>
            </w:r>
          </w:p>
        </w:tc>
        <w:tc>
          <w:tcPr>
            <w:tcW w:w="121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501</w:t>
            </w:r>
          </w:p>
        </w:tc>
        <w:tc>
          <w:tcPr>
            <w:tcW w:w="244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124.6</w:t>
            </w:r>
          </w:p>
        </w:tc>
        <w:tc>
          <w:tcPr>
            <w:tcW w:w="3075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2310" w:type="dxa"/>
            <w:hideMark/>
          </w:tcPr>
          <w:p w:rsidR="00282D72" w:rsidRPr="00282D72" w:rsidRDefault="00282D72" w:rsidP="00282D72">
            <w:pPr>
              <w:spacing w:before="100" w:beforeAutospacing="1" w:after="100" w:afterAutospacing="1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82D7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11,3</w:t>
            </w:r>
          </w:p>
        </w:tc>
      </w:tr>
    </w:tbl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lastRenderedPageBreak/>
        <w:t>Източник: НИМХ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282D72" w:rsidRPr="00282D72" w:rsidRDefault="00282D72" w:rsidP="00282D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От Фигура 1 и Таблица 1 е видно, че има устойчива и трайна тенденция към повишаване на температурата на въздуха, докато количеството на валежите и дебелината на снежната покривка остават относително постоянни.</w:t>
      </w:r>
    </w:p>
    <w:p w:rsidR="00282D72" w:rsidRDefault="00282D72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</w:pPr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bookmarkStart w:id="2" w:name="sdfootnote1sym"/>
      <w:bookmarkEnd w:id="2"/>
      <w:r w:rsidRPr="00282D72">
        <w:rPr>
          <w:rFonts w:ascii="Times New Roman" w:eastAsia="Times New Roman" w:hAnsi="Times New Roman" w:cs="Times New Roman"/>
          <w:sz w:val="24"/>
          <w:szCs w:val="24"/>
          <w:lang w:eastAsia="bg-BG"/>
        </w:rPr>
        <w:t>1</w:t>
      </w:r>
      <w:r w:rsidRPr="00282D7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Информацията е предоставена от НИМХ при БАН</w:t>
      </w:r>
    </w:p>
    <w:p w:rsid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</w:pPr>
    </w:p>
    <w:p w:rsid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</w:pPr>
    </w:p>
    <w:p w:rsidR="000F47C9" w:rsidRPr="00282D72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82D72" w:rsidRDefault="00282D72"/>
    <w:p w:rsidR="000F47C9" w:rsidRDefault="000F47C9">
      <w:hyperlink r:id="rId40" w:history="1">
        <w:r w:rsidRPr="00CB03BE">
          <w:rPr>
            <w:rStyle w:val="a5"/>
          </w:rPr>
          <w:t>https://eea.government.bg/bg/soer/2012/climate/climate1</w:t>
        </w:r>
      </w:hyperlink>
    </w:p>
    <w:p w:rsidR="000F47C9" w:rsidRPr="000F47C9" w:rsidRDefault="000F47C9" w:rsidP="000F4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Климат 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0F47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Характеристики на валежите и температурата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F47C9" w:rsidRPr="000F47C9" w:rsidTr="000F47C9">
        <w:tc>
          <w:tcPr>
            <w:tcW w:w="5000" w:type="pct"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Ключов въпрос</w:t>
            </w:r>
          </w:p>
          <w:p w:rsidR="000F47C9" w:rsidRPr="000F47C9" w:rsidRDefault="000F47C9" w:rsidP="000F47C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Какви са били температурите и количеството на валежите в България през 2012 година?</w:t>
            </w:r>
          </w:p>
        </w:tc>
      </w:tr>
    </w:tbl>
    <w:p w:rsidR="000F47C9" w:rsidRPr="000F47C9" w:rsidRDefault="000F47C9" w:rsidP="000F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Ключово послание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0F47C9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68207316" wp14:editId="3FEBFA18">
            <wp:extent cx="295275" cy="295275"/>
            <wp:effectExtent l="0" t="0" r="9525" b="9525"/>
            <wp:docPr id="15" name="graphics2" descr="state-b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 descr="state-ba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В глобален мащаб  - всички години от новото хилядолетие са по-топли от средната температура за изминалия двадесети век.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5AE64229" wp14:editId="4E84F7C2">
            <wp:extent cx="295275" cy="295275"/>
            <wp:effectExtent l="0" t="0" r="9525" b="9525"/>
            <wp:docPr id="16" name="graphics2" descr="state-b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 descr="state-ba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В България – двадесет от последните двадесет и три години след 1989 г. са с положителни аномалии на средната годишна температура на въздуха спрямо климатичната норма на базисния период 1961–1990 г.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5E21B7A6" wp14:editId="4E8F43E7">
            <wp:extent cx="295275" cy="295275"/>
            <wp:effectExtent l="0" t="0" r="9525" b="9525"/>
            <wp:docPr id="17" name="graphics2" descr="state-b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 descr="state-ba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През 2012 г. в България средногодишната температура е с 1,3±0,3ºС над климатичната норма 10,5°С.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Дефиниция на индикатора </w:t>
      </w:r>
    </w:p>
    <w:p w:rsidR="000F47C9" w:rsidRPr="000F47C9" w:rsidRDefault="000F47C9" w:rsidP="000F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Индикаторите за изменение на </w:t>
      </w: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климата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следните:</w:t>
      </w:r>
    </w:p>
    <w:p w:rsidR="000F47C9" w:rsidRPr="000F47C9" w:rsidRDefault="000F47C9" w:rsidP="000F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 райони с надморска височина  до 800 m:</w:t>
      </w:r>
    </w:p>
    <w:p w:rsidR="000F47C9" w:rsidRPr="000F47C9" w:rsidRDefault="000F47C9" w:rsidP="000F47C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Средногодишна температура на въздуха</w:t>
      </w:r>
    </w:p>
    <w:p w:rsidR="000F47C9" w:rsidRPr="000F47C9" w:rsidRDefault="000F47C9" w:rsidP="000F47C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Количество на валежите</w:t>
      </w:r>
    </w:p>
    <w:p w:rsidR="000F47C9" w:rsidRPr="000F47C9" w:rsidRDefault="000F47C9" w:rsidP="000F47C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Максимален денонощен валеж за 1 ден</w:t>
      </w:r>
    </w:p>
    <w:p w:rsidR="000F47C9" w:rsidRPr="000F47C9" w:rsidRDefault="000F47C9" w:rsidP="000F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 райони с надморска височина  от 800 до 1800 m</w:t>
      </w:r>
      <w:r w:rsidRPr="000F47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:</w:t>
      </w:r>
    </w:p>
    <w:p w:rsidR="000F47C9" w:rsidRPr="000F47C9" w:rsidRDefault="000F47C9" w:rsidP="000F47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Количество на валежите</w:t>
      </w:r>
    </w:p>
    <w:p w:rsidR="000F47C9" w:rsidRPr="000F47C9" w:rsidRDefault="000F47C9" w:rsidP="000F47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Максимален денонощен валеж за 1 ден</w:t>
      </w:r>
    </w:p>
    <w:p w:rsidR="000F47C9" w:rsidRPr="000F47C9" w:rsidRDefault="000F47C9" w:rsidP="000F47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Максимална височина на снежната покривка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Оценка на индикаторите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Климатичните и метеорологичните условия влияят на природните и антропогенни процеси, които въздействат върху състоянието на околната среда. Високите температури засягат отводняването, увеличават </w:t>
      </w:r>
      <w:proofErr w:type="spellStart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еутрофикацията</w:t>
      </w:r>
      <w:proofErr w:type="spellEnd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стоящите води, и могат да доведат до пожари. Метеорологичните условия също влияят на икономиката и по този начин увеличават натиска върху околната среда от тези сектори. Температурата влияе и върху консумацията на енергия за отопление и климатизация, като по този начин засяга замърсяването на въздуха, свързано с производството на енергия от ТЕЦ. Валежите оказват значителен ефект върху селското стопанство, чрез употребата на вода за напояване, торене, </w:t>
      </w:r>
      <w:proofErr w:type="spellStart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агрохимикали</w:t>
      </w:r>
      <w:proofErr w:type="spellEnd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, разпространение на вредители и количеството на добивите.Други засегнати сектори включват горското стопанство и в малка степен, услугите. Екстремни метеорологични условия, като наводнения, дългосрочни периоди на суша и силни ветрове, могат да причинят големи щети на националната икономика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Средногодишна температура на въздуха и тенденции в изменението спрямо климатичната норма за периода 1961 - 1990 г.</w:t>
      </w:r>
    </w:p>
    <w:p w:rsidR="000F47C9" w:rsidRPr="000F47C9" w:rsidRDefault="000F47C9" w:rsidP="000F47C9">
      <w:pPr>
        <w:spacing w:before="119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Фиг.1. Аномалии на температурата на въздуха в България спрямо периода 1961-1990, °С</w:t>
      </w:r>
    </w:p>
    <w:p w:rsidR="000F47C9" w:rsidRPr="000F47C9" w:rsidRDefault="000F47C9" w:rsidP="000F47C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 wp14:anchorId="414D2367" wp14:editId="475400C8">
            <wp:extent cx="5191125" cy="3238500"/>
            <wp:effectExtent l="0" t="0" r="9525" b="0"/>
            <wp:docPr id="18" name="graphics3" descr="https://eea.government.bg/bg/soer/2012/climate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3" descr="https://eea.government.bg/bg/soer/2012/climate/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C9" w:rsidRPr="000F47C9" w:rsidRDefault="000F47C9" w:rsidP="000F47C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червено -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положителна аномалия на средната годишна температура спрямо климатичната норма на периода 1961-1990 г.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синьо -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отрицателна аномалия на средната годишна температура спрямо климатичната норма на периода 1961-1990 г.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зелено -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филтър (пълзящо средно) за определяне на вариациите в аномалиите на средната годишна температура;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жълто -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линеен </w:t>
      </w:r>
      <w:proofErr w:type="spellStart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тренд</w:t>
      </w:r>
      <w:proofErr w:type="spellEnd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аномалиите на средната годишна температура за периода 1971-2010 г.</w:t>
      </w:r>
    </w:p>
    <w:p w:rsidR="000F47C9" w:rsidRPr="000F47C9" w:rsidRDefault="000F47C9" w:rsidP="000F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НИМХ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 последните години се увеличава честотата на екстремните метеорологични и климатични явления. В глобален план,  през 2012 г. средната температура има лек спад надолу заради много студеният период от края на януари и първата половина на февруари. През 2012 г. в България средногодишната температура е с 1,3±0,3ºС над климатичната норма (средногодишната температура за периода 1961–1990 г.), с което се запазва тенденцията тя да е с над 1ºС през последните 5-6 години. 2012 г. е и поредната 15-та година с температури по-високи от обичайните за страната. Най-студен е бил месец февруари, а най-топъл месец юли. Фиг.2 илюстрира отклонението от годишната климатична норма на температурата на въздуха в България на територията на цялата страна.</w:t>
      </w:r>
    </w:p>
    <w:p w:rsidR="000F47C9" w:rsidRPr="000F47C9" w:rsidRDefault="000F47C9" w:rsidP="000F47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Фиг. 2. Отклонение от годишната климатична норма (10,5ºС) на температурата на въздуха в България през 2012г.</w:t>
      </w:r>
    </w:p>
    <w:p w:rsidR="000F47C9" w:rsidRPr="000F47C9" w:rsidRDefault="000F47C9" w:rsidP="000F4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bg-BG"/>
        </w:rPr>
        <w:lastRenderedPageBreak/>
        <w:drawing>
          <wp:inline distT="0" distB="0" distL="0" distR="0" wp14:anchorId="7CAED4BD" wp14:editId="5A245FED">
            <wp:extent cx="4762500" cy="2886075"/>
            <wp:effectExtent l="0" t="0" r="0" b="9525"/>
            <wp:docPr id="19" name="Картина 19" descr="https://eea.government.bg/bg/soer/2012/climate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ea.government.bg/bg/soer/2012/climate/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C9" w:rsidRPr="000F47C9" w:rsidRDefault="000F47C9" w:rsidP="000F4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НИМХ</w:t>
      </w:r>
    </w:p>
    <w:p w:rsidR="000F47C9" w:rsidRPr="000F47C9" w:rsidRDefault="000F47C9" w:rsidP="000F4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tbl>
      <w:tblPr>
        <w:tblW w:w="97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0F47C9" w:rsidRPr="000F47C9" w:rsidTr="000F4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F47C9" w:rsidRPr="000F47C9" w:rsidRDefault="000F47C9" w:rsidP="000F47C9">
            <w:pPr>
              <w:spacing w:before="100" w:beforeAutospacing="1" w:after="278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bg-BG"/>
              </w:rPr>
              <w:t>Колебания в средната стойност на годишните валежи, максималните денонощни валежи, снежната покривка</w:t>
            </w:r>
          </w:p>
        </w:tc>
      </w:tr>
    </w:tbl>
    <w:p w:rsidR="000F47C9" w:rsidRPr="000F47C9" w:rsidRDefault="000F47C9" w:rsidP="000F47C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Фиг. 3. Аномалии на годишните валежи в България спрямо периода 1961-1990г., % от климатичната норма.</w:t>
      </w:r>
    </w:p>
    <w:p w:rsidR="000F47C9" w:rsidRPr="000F47C9" w:rsidRDefault="000F47C9" w:rsidP="000F47C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bg-BG"/>
        </w:rPr>
        <w:drawing>
          <wp:inline distT="0" distB="0" distL="0" distR="0" wp14:anchorId="4080FE4F" wp14:editId="2FA8F62A">
            <wp:extent cx="4876800" cy="2962275"/>
            <wp:effectExtent l="0" t="0" r="0" b="9525"/>
            <wp:docPr id="20" name="Картина 20" descr="https://eea.government.bg/bg/soer/2012/climate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ea.government.bg/bg/soer/2012/climate/3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C9" w:rsidRPr="000F47C9" w:rsidRDefault="000F47C9" w:rsidP="000F4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НИМХ</w:t>
      </w:r>
    </w:p>
    <w:p w:rsidR="000F47C9" w:rsidRPr="000F47C9" w:rsidRDefault="000F47C9" w:rsidP="000F4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Средногодишното отношение на валежните суми спрямо нормите (от периода 1961-1990 г.) средно за станция е близко до нормалното 103 ±17%, което представлява 646 mm (l/m</w:t>
      </w:r>
      <w:r w:rsidRPr="000F47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2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Най-малко са падналите валежи през юли, март и ноември, съответно – 28, 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32 и 35% от нормата. Най-валежни са януари (233%) и декември (183%). През 2012 г. е налице и висока снежна покривка.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отбелязване е продължителното засушаване от 7 юни до 28 октомври 2012 г. (около 150 дни с леки прекъсвания и слаби локални валежи). Може да се отделят 2 периода екстремни периода: 5-6 февруари (валежи до 120 mm/24 ч.в отделни станции) и 29-30 октомври (валежи до 200 mm/48 ч.).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Фиг. 4. Отклонение от годишната сума на валежите в България през 2012г.(в % от климатичната годишна норма).</w:t>
      </w:r>
    </w:p>
    <w:p w:rsidR="000F47C9" w:rsidRPr="000F47C9" w:rsidRDefault="000F47C9" w:rsidP="000F47C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bg-BG"/>
        </w:rPr>
        <w:drawing>
          <wp:inline distT="0" distB="0" distL="0" distR="0" wp14:anchorId="7FF87E73" wp14:editId="7B17EFC5">
            <wp:extent cx="5238750" cy="3200400"/>
            <wp:effectExtent l="0" t="0" r="0" b="0"/>
            <wp:docPr id="21" name="Картина 21" descr="https://eea.government.bg/bg/soer/2012/climate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ea.government.bg/bg/soer/2012/climate/4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C9" w:rsidRPr="000F47C9" w:rsidRDefault="000F47C9" w:rsidP="000F4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НИМХ</w:t>
      </w:r>
    </w:p>
    <w:p w:rsidR="000F47C9" w:rsidRPr="000F47C9" w:rsidRDefault="000F47C9" w:rsidP="000F47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Регистрирани са 4 слаби смерча предимно през май месец в Шумен и областта, в Ломска община (с. Замфир) и София. Наблюдавани са гръмотевични бури в 122 дни и градушки в 60 дни. Най-мощни и със значителни щети са тези бури на 22 май и 5 юни 2012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 препоръка на Световната Метеорологична Организация за описание на съвременния климат се използват средните за периода 1961-1990. Поради това месечните и годишни температури и валежи са сравнявани с този период и </w:t>
      </w:r>
      <w:proofErr w:type="spellStart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сe</w:t>
      </w:r>
      <w:proofErr w:type="spellEnd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отнасят само за равнинната част на страната.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На следващата таблица са обобщени данните за метеорологичните параметри в България за последните 25 г.</w:t>
      </w:r>
    </w:p>
    <w:p w:rsidR="000F47C9" w:rsidRPr="000F47C9" w:rsidRDefault="000F47C9" w:rsidP="000F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Табл.1. Стойности на количеството на валежите, максималните денонощни валежи и  снежната покривка през периода 1988 – 2012г.</w:t>
      </w:r>
    </w:p>
    <w:tbl>
      <w:tblPr>
        <w:tblStyle w:val="a6"/>
        <w:tblW w:w="8850" w:type="dxa"/>
        <w:tblLook w:val="04A0" w:firstRow="1" w:lastRow="0" w:firstColumn="1" w:lastColumn="0" w:noHBand="0" w:noVBand="1"/>
      </w:tblPr>
      <w:tblGrid>
        <w:gridCol w:w="1007"/>
        <w:gridCol w:w="1140"/>
        <w:gridCol w:w="2115"/>
        <w:gridCol w:w="2640"/>
        <w:gridCol w:w="2010"/>
      </w:tblGrid>
      <w:tr w:rsidR="000F47C9" w:rsidRPr="000F47C9" w:rsidTr="000F47C9">
        <w:tc>
          <w:tcPr>
            <w:tcW w:w="960" w:type="dxa"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Година</w:t>
            </w:r>
          </w:p>
        </w:tc>
        <w:tc>
          <w:tcPr>
            <w:tcW w:w="1140" w:type="dxa"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Валеж, mm </w:t>
            </w:r>
          </w:p>
        </w:tc>
        <w:tc>
          <w:tcPr>
            <w:tcW w:w="2115" w:type="dxa"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Максимален денонощен </w:t>
            </w: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 xml:space="preserve">валеж, mm </w:t>
            </w:r>
          </w:p>
        </w:tc>
        <w:tc>
          <w:tcPr>
            <w:tcW w:w="2640" w:type="dxa"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 xml:space="preserve">Максимална височина на </w:t>
            </w: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снежната покривка, cm</w:t>
            </w:r>
          </w:p>
        </w:tc>
        <w:tc>
          <w:tcPr>
            <w:tcW w:w="2010" w:type="dxa"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Температура на въздуха, °С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1988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579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197,5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11,9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1989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546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164,0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12,4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1990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459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135,5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11,8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1991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641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182,0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10,6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1992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456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138,0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11,7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1993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475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92,4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11,6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1994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528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263,0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13,0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1995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697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135,4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11,2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1996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599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122,2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11,0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1997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662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110,6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11,3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1998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678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157,6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12,1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1999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633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268,5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12,1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2000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377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160,0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12,4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2001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549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100,5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12,3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2002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743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158,0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11,9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2003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176,0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11,4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2004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604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136,0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11,6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2005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924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288,0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70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11,1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2006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597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300,8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11,5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2007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696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291,0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12,6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2008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496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224,0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12,3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2009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676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132,0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12,2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2010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788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200,9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12,1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2011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501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124,6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11,3</w:t>
            </w:r>
          </w:p>
        </w:tc>
      </w:tr>
      <w:tr w:rsidR="000F47C9" w:rsidRPr="000F47C9" w:rsidTr="000F47C9">
        <w:tc>
          <w:tcPr>
            <w:tcW w:w="96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2012</w:t>
            </w:r>
          </w:p>
        </w:tc>
        <w:tc>
          <w:tcPr>
            <w:tcW w:w="11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660</w:t>
            </w:r>
          </w:p>
        </w:tc>
        <w:tc>
          <w:tcPr>
            <w:tcW w:w="2115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210,0</w:t>
            </w:r>
          </w:p>
        </w:tc>
        <w:tc>
          <w:tcPr>
            <w:tcW w:w="264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220</w:t>
            </w:r>
          </w:p>
        </w:tc>
        <w:tc>
          <w:tcPr>
            <w:tcW w:w="2010" w:type="dxa"/>
            <w:noWrap/>
            <w:hideMark/>
          </w:tcPr>
          <w:p w:rsidR="000F47C9" w:rsidRPr="000F47C9" w:rsidRDefault="000F47C9" w:rsidP="000F47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F47C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11,9</w:t>
            </w:r>
          </w:p>
        </w:tc>
      </w:tr>
    </w:tbl>
    <w:p w:rsidR="000F47C9" w:rsidRPr="000F47C9" w:rsidRDefault="000F47C9" w:rsidP="000F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Източник: НИМХ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Тенденции</w:t>
      </w:r>
    </w:p>
    <w:p w:rsidR="000F47C9" w:rsidRPr="000F47C9" w:rsidRDefault="000F47C9" w:rsidP="000F47C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От края на 1970-те се наблюдава тенденция към затопляне.</w:t>
      </w:r>
    </w:p>
    <w:p w:rsidR="000F47C9" w:rsidRPr="000F47C9" w:rsidRDefault="000F47C9" w:rsidP="000F47C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 втората половина на XX в. зимите са по-меки. Аналогично и в началото на 21-век. Повечето януарски температури са по-високи от нормалните</w:t>
      </w:r>
    </w:p>
    <w:p w:rsidR="000F47C9" w:rsidRPr="000F47C9" w:rsidRDefault="000F47C9" w:rsidP="000F47C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периода 1971-2012 г. средната приземна температура на въздуха в страната се е увеличила с 1,5°С</w:t>
      </w:r>
    </w:p>
    <w:p w:rsidR="000F47C9" w:rsidRPr="000F47C9" w:rsidRDefault="000F47C9" w:rsidP="000F47C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Средногодишната температура през 2010, 2011 и 2012 г. са с над 1°C над климатичната норма. 2012 е поредната 15-та година с температури по-високи от обичайните за страната.</w:t>
      </w:r>
    </w:p>
    <w:p w:rsidR="000F47C9" w:rsidRPr="000F47C9" w:rsidRDefault="000F47C9" w:rsidP="000F47C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 последните години се увеличава честотата на екстремните метеорологични и климатични явления</w:t>
      </w:r>
    </w:p>
    <w:p w:rsidR="000F47C9" w:rsidRPr="000F47C9" w:rsidRDefault="000F47C9" w:rsidP="000F47C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Годишната амплитудата между максималната и минималната температура на въздуха намалява – минималната температура се повишава по-бързо от максималната.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Климатични сценарии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В света съществуват може би над 20 центрове, които се занимават с моделиране на глобалния и регионалния климат. Такива са например Макс Планк института по метеорология (Германия), </w:t>
      </w:r>
      <w:proofErr w:type="spellStart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Хадлей</w:t>
      </w:r>
      <w:proofErr w:type="spellEnd"/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центъра за прогноза и изследване на климата (Великобритания), Канадския център по климат, Австралийския CSIRO моделен център, Геофизичната лаборатория по динамика на флуидите (САЩ) и много други (IPCC, 2001). </w:t>
      </w:r>
    </w:p>
    <w:p w:rsidR="000F47C9" w:rsidRPr="000F47C9" w:rsidRDefault="000F47C9" w:rsidP="000F47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Повечето модели включват като фактор и човешката дейност. Много от процесите в природата все още не фигурират в тези модели. Например, не се отчита какво е влиянието на облачните системи върху парниковия ефект, нито усвояването на въглеродния диоксид от океаните. Математичните модели на климата, които се използват и за симулиране на очакваното изменение на климата през XXI-ви век, се нуждаят от сценарии за бъдещите емисии на парникови газове и аерозоли в атмосферата. Тези сценарии описват в широки граници основните демографски, икономически и технологични източници, които оказват и ще продължават да оказват влияние върху бъдещите емисии на парниковите газове и аерозолите в атмосферата. </w:t>
      </w:r>
      <w:r w:rsidRPr="000F47C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Според симулациите за промените на климата, направени на базата на основните емисионни сценарии, се очаква повишение на температурата в България между 2 и 5 градуса до края на XXI-ви век.</w:t>
      </w:r>
      <w:r w:rsidRPr="000F47C9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7C9" w:rsidRDefault="000F47C9"/>
    <w:p w:rsidR="00B0518C" w:rsidRDefault="00B0518C"/>
    <w:p w:rsidR="00B0518C" w:rsidRDefault="00B0518C">
      <w:hyperlink r:id="rId45" w:history="1">
        <w:r w:rsidRPr="00CB03BE">
          <w:rPr>
            <w:rStyle w:val="a5"/>
          </w:rPr>
          <w:t>https://bg.wikipedia.org/wiki/%D0%9A%D0%BB%D0%B8%D0%BC%D0%B0%D1%82%D0%B8%D1%87%D0%BD%D0%B8_%D0%BE%D0%B1%D0%BB%D0%B0%D1%81%D1%82%D0%B8_%D0%B2_%D0%91%D1%8A%D0%BB%D0%B3%D0%B0%D1%80%D0%B8%D1%8F</w:t>
        </w:r>
      </w:hyperlink>
    </w:p>
    <w:p w:rsidR="00B0518C" w:rsidRPr="00B0518C" w:rsidRDefault="00B0518C" w:rsidP="00B051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Климатични области в България</w:t>
      </w:r>
    </w:p>
    <w:p w:rsidR="00B0518C" w:rsidRPr="00B0518C" w:rsidRDefault="00B0518C" w:rsidP="00B05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В зависимост от териториалното проявление на климатичните елементи и влиянието на климатичните фактори - България се поделя на пет климатични области.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Съдържание</w:t>
      </w:r>
    </w:p>
    <w:p w:rsidR="00B0518C" w:rsidRPr="00B0518C" w:rsidRDefault="00B0518C" w:rsidP="00B051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46" w:anchor=".D0.9E.D0.B1.D0.BB.D0.B0.D1.81.D1.82_.D1.81_.D1.83.D0.BC.D0.B5.D1.80.D0.B5.D0.BD_.D0.BA.D0.BE.D0.BD.D1.82.D0.B8.D0.BD.D0.B5.D0.BD.D1.82.D0.B0.D0.BB.D0.B5.D0.BD_.D0.BA.D0.BB.D0.B8.D0.BC.D0.B0.D1.82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1 Област с умерен континентален климат</w:t>
        </w:r>
      </w:hyperlink>
    </w:p>
    <w:p w:rsidR="00B0518C" w:rsidRPr="00B0518C" w:rsidRDefault="00B0518C" w:rsidP="00B051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47" w:anchor=".D0.9E.D0.B1.D0.BB.D0.B0.D1.81.D1.82_.D1.81_.D0.BF.D1.80.D0.B5.D1.85.D0.BE.D0.B4.D0.BD.D0.BE_.D0.BA.D0.BE.D0.BD.D1.82.D0.B8.D0.BD.D0.B5.D0.BD.D1.82.D0.B0.D0.BB.D0.B5.D0.BD_.D0.BA.D0.BB.D0.B8.D0.BC.D0.B0.D1.82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2 Област с преходно континентален климат</w:t>
        </w:r>
      </w:hyperlink>
    </w:p>
    <w:p w:rsidR="00B0518C" w:rsidRPr="00B0518C" w:rsidRDefault="00B0518C" w:rsidP="00B051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48" w:anchor=".D0.9E.D0.B1.D0.BB.D0.B0.D1.81.D1.82_.D1.81_.D0.BF.D1.80.D0.B5.D1.85.D0.BE.D0.B4.D0.BD.D0.BE-.D1.81.D1.80.D0.B5.D0.B4.D0.B8.D0.B7.D0.B5.D0.BC.D0.BD.D0.BE.D0.BC.D0.BE.D1.80.D1.81.D0.BA.D0.B8_.D0.BA.D0.BB.D0.B8.D0.BC.D0.B0.D1.82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3 Област с преходно-средиземноморски климат</w:t>
        </w:r>
      </w:hyperlink>
    </w:p>
    <w:p w:rsidR="00B0518C" w:rsidRPr="00B0518C" w:rsidRDefault="00B0518C" w:rsidP="00B051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49" w:anchor=".D0.9E.D0.B1.D0.BB.D0.B0.D1.81.D1.82_.D0.BD.D0.B0_.D1.87.D0.B5.D1.80.D0.BD.D0.BE.D0.BC.D0.BE.D1.80.D1.81.D0.BA.D0.BE.D1.82.D0.BE_.D0.BA.D0.BB.D0.B8.D0.BC.D0.B0.D1.82.D0.B8.D1.87.D0.BD.D0.BE_.D0.B2.D0.BB.D0.B8.D1.8F.D0.BD.D0.B8.D0.B5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4 Област на черноморското климатично влияние</w:t>
        </w:r>
      </w:hyperlink>
    </w:p>
    <w:p w:rsidR="00B0518C" w:rsidRPr="00B0518C" w:rsidRDefault="00B0518C" w:rsidP="00B051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50" w:anchor=".D0.9F.D0.BB.D0.B0.D0.BD.D0.B8.D0.BD.D1.81.D0.BA.D0.B0_.D0.BA.D0.BB.D0.B8.D0.BC.D0.B0.D1.82.D0.B8.D1.87.D0.BD.D0.B0_.D0.BE.D0.B1.D0.BB.D0.B0.D1.81.D1.82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5 Планинска климатична област</w:t>
        </w:r>
      </w:hyperlink>
    </w:p>
    <w:p w:rsidR="00B0518C" w:rsidRPr="00B0518C" w:rsidRDefault="00B0518C" w:rsidP="00B051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51" w:anchor=".D0.92.D0.B8.D0.B6.D1.82.D0.B5_.D0.BE.D1.89.D0.B5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6 Вижте още</w:t>
        </w:r>
      </w:hyperlink>
    </w:p>
    <w:p w:rsidR="00B0518C" w:rsidRPr="00B0518C" w:rsidRDefault="00B0518C" w:rsidP="00B05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Област с умерен континентален климат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Обхваща придунавските низини, хълмистите райони до Стара планина, най-източните части на Стара планина, високите котловинни области на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Крайще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Ихтиманско </w:t>
      </w: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Средногорие. Средната годишна амплитуда има големи стойности от +25 до +26°С. Средната </w:t>
      </w:r>
      <w:hyperlink r:id="rId52" w:tooltip="Януари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януарска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53" w:tooltip="Температура на въздуха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температура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от –2 до –3°С, а средната </w:t>
      </w:r>
      <w:hyperlink r:id="rId54" w:tooltip="Юли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юлска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25–26°С. В тази област са отбелязани най-ниските зимни температури в България / -38,3°С в Трън/, както и много високи летни температури - 45°С в Бойчиновци. Годишната сума на валежите от 500–600 mm в Дунавската равнина, достига до 800mm в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Предбалкана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котловинните полета. Ясно изразена е тенденцията на нарастване в посока юг и във височина. Характеризират се със минимум през </w:t>
      </w:r>
      <w:hyperlink r:id="rId55" w:tooltip="Февруари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февруари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максимум през </w:t>
      </w:r>
      <w:hyperlink r:id="rId56" w:tooltip="Юни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юни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Преобладават западните и северозападни ветрове, а през пролетта и зимата преобладаващи са източните ветрове. В Дунавската равнина те могат да бъдат с много висока скорост. Често явление са и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фьоновите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ветрове в Дунавската равнина и Софийско поле.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Тази климатична област е предимно под влиянието на континентални въздушни маси на умерените ширини и такива формирани над Балканския полуостров. От северозапад и запад нахлуват трансформирани океански въздушни маси. Наблюдава се и нахлуване на тропичен въздух, както и на арктичен през студеното полугодие. Тази климатична област има най-добре изразени континентални черти на климата, като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континенталността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намалява от север на юг.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Област с преходно континентален климат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Обхваща </w:t>
      </w:r>
      <w:hyperlink r:id="rId57" w:tooltip="Горнотракийската низина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Горнотракийската низина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северната половина на Тунджанската област, източната половина на Задбалканските котловини и Благоевградската котловина. Годишната температурна амплитуда е около 23°С. Средната януарска температура е -1°С, която се характеризира с известна неустойчивост. Възможно е да се повиши до 20°С, а също така да спадне до -25°С дори -30°С. Средната юлска — 24–26°С, а максималните летни температури достигат до 40 °С. Отличава се с мека зима, хладна пролет и горещо лято. Годишната валежна сума е 550mm - 600mm, а в района на Горнотракийската низина тя е под 500mm. Снежната покривка е неустойчива, като почти не се осъществява постоянно и непрекъснато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снегонатрупване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. Преобладават западните и северозападни ветрове, а през пролетта и лятото в източните части на Горнотракийската низина се проявяват източните и североизточни ветрове.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Като цяло общите черти на климата в тази област са по-благоприятни в сравнение с умерено-континенталната климатична област.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Област с преходно-средиземноморски климат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Обхваща долините на реките Струма и Места, Арда, Източни Родопи и Странджанското черноморско крайбрежие. Климатът се формира под въздействието на трансформирани тропични въздушни маси и такива на умерените ширини. Средната годишна температура е 13°С - 13,5°С. Средната януарска температура е положителна – 1°С - 2°С, а средната юлска температура – 24°С – 25°С. Годишната температурна амплитуда не надхвърля 23°С – 24°С. Областта е с положителен радиационен баланс през цялата година. Режимът на валежите /с есенно-зимен максимум и летен минимум/ е характерен за средиземноморския тип климат. Периодът на засушаване не е така продължителен и максимумите и минимумите на валежите са относително по-слабо изразени. Годишните валежни суми са между 500-600мм, а в южната планинска част </w:t>
      </w: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достигат до 700-1000мм. Снежната покривка е много непостоянна, задържа се 1-2 дни, по долините на Струма и Места тя се образува веднъж на няколко години.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Област на черноморското климатично влияние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Обхваща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меридионална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ивица с ширина 20-40 км. на запад от брега на Черно море. Характерно за областта е, че има малка денонощна и годишна амплитуда (20-21°С). Средна годишна температура- от +12 до +12,7°С. Средната януарска температура е положителна - 0,8°С. за северното крайбрежие и 3,2 °С по Южното Черноморие. Областта се характеризира с най-слаби валежи. Така например в Добруджа те не достигат 500 мм, но в южната част нарастват на 900 мм.В зависимост от термичните условия снежната покривка в северната част се задържа 2-4 седмици, а в южната 4-5 денонощия. През лятото преобладава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бризовата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циркулация, която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сe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заражда благодарение на откритата водна площ и денонощния режим на температурата. През зимата преобладаващи са северните и североизточни ветрове. Понякога тяхната скорост надхвърля 30 м/с.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Климатът тук се формира освен под влиянието на атмосферната циркулация, характерна за тази част на Балканския полуостров, но и от влиянието на Черноморския басейн. В областта, както и при преходно-континенталната област се преплитат две климатични влияния - на континента Европа /от северозапад и североизток/ и средиземноморско от югозапад. Континенталното климатично влияние е по-силно изразено в северната половина, средиземноморското - в южната половина. Черно море от своя страна допълнително трансформира нахлуващите над него въздушни маси и формира специфичен климат. Той не може да бъде отнесен нито към преходно-средиземноморския, нито към преходно-континенталния климат. Специфичния черноморски климат е по-мек въпреки липсата на планински прегради. Благодарение на Черно море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адвекциите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студени континентални или арктични въздушни маси не се проявяват така остро.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Планинска климатична област</w:t>
      </w:r>
    </w:p>
    <w:p w:rsidR="00B0518C" w:rsidRPr="00B0518C" w:rsidRDefault="00B0518C" w:rsidP="00B05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Обхваща районите с надморска височина над 1000м. Характеризира се с по-ниските температури, малка температурна амплитуда, голяма облачност и валежи, продължителна и устойчива снежна покривка, ниско атмосферно налягане, висока относителна влажност, силни ветрове. Средногодишната температура е над 0°С, но над 2300 м н. в. тя е отрицателна /връх Ботев - –0,6°С,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вр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.Мусала - до –3°С. Максималните </w:t>
      </w:r>
      <w:proofErr w:type="spellStart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средномесечни</w:t>
      </w:r>
      <w:proofErr w:type="spellEnd"/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температури настъпват през август, а минималните – през февруари. Средните януарски температури на височина 1200 - 1300м са от -3,5°С до -4,5°С, а на височина 1180-1900м - са от –6°С до –7°С. В най-високите части на планините средните януарски температури достигат до –10°С. Средната годишна сума на валежите е 800-1000 мм. Най голяма е тя през пролетта в по северните планински райони, а в южните - през зимата. Периодът със снежна покривка обхваща от 5 до 9 месеца. По билата на планините духат много силни ветрове - скоростта им достига до 30 м/с. Въз основа на измененията на климатичните елементи различаваме нископланински климат /до 1000м/, среднопланински /до 1800 м/ и високопланински /над 1800м/.</w:t>
      </w:r>
    </w:p>
    <w:p w:rsidR="00B0518C" w:rsidRPr="00B0518C" w:rsidRDefault="00B0518C" w:rsidP="00B05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Вижте още</w:t>
      </w:r>
    </w:p>
    <w:p w:rsidR="00B0518C" w:rsidRPr="00B0518C" w:rsidRDefault="00B0518C" w:rsidP="00B051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58" w:tooltip="Климат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Климат</w:t>
        </w:r>
      </w:hyperlink>
    </w:p>
    <w:p w:rsidR="00B0518C" w:rsidRPr="00B0518C" w:rsidRDefault="00B0518C" w:rsidP="00B051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59" w:tooltip="Климатични пояси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Климатични пояси</w:t>
        </w:r>
      </w:hyperlink>
    </w:p>
    <w:p w:rsidR="00B0518C" w:rsidRPr="00B0518C" w:rsidRDefault="00B0518C" w:rsidP="00B051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0" w:tooltip="Агрометеорология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Агрометеорология</w:t>
        </w:r>
      </w:hyperlink>
    </w:p>
    <w:p w:rsidR="00B0518C" w:rsidRPr="00B0518C" w:rsidRDefault="00B0518C" w:rsidP="00B051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1" w:tooltip="Списък на земеделски теми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Списък на земеделски теми</w:t>
        </w:r>
      </w:hyperlink>
    </w:p>
    <w:p w:rsidR="00B0518C" w:rsidRPr="00B0518C" w:rsidRDefault="00B0518C" w:rsidP="00B051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2" w:tooltip="Климатограми" w:history="1">
        <w:proofErr w:type="spellStart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Климатограми</w:t>
        </w:r>
        <w:proofErr w:type="spellEnd"/>
      </w:hyperlink>
    </w:p>
    <w:p w:rsidR="00B0518C" w:rsidRPr="00B0518C" w:rsidRDefault="00B0518C" w:rsidP="00B05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3" w:tooltip="Специални:Категории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Категории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B0518C" w:rsidRPr="00B0518C" w:rsidRDefault="00B0518C" w:rsidP="00B051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4" w:tooltip="Категория:Климат на България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Климат на България</w:t>
        </w:r>
      </w:hyperlink>
    </w:p>
    <w:p w:rsidR="00B0518C" w:rsidRPr="00B0518C" w:rsidRDefault="00B0518C" w:rsidP="00B051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5" w:tooltip="Категория:Агрометеорология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Агрометеорология</w:t>
        </w:r>
      </w:hyperlink>
    </w:p>
    <w:p w:rsidR="00B0518C" w:rsidRPr="00B0518C" w:rsidRDefault="00B0518C" w:rsidP="00B05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Навигация</w:t>
      </w:r>
    </w:p>
    <w:p w:rsidR="00B0518C" w:rsidRPr="00B0518C" w:rsidRDefault="00B0518C" w:rsidP="00B0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Не сте влезли в системата</w:t>
      </w:r>
    </w:p>
    <w:p w:rsidR="00B0518C" w:rsidRPr="00B0518C" w:rsidRDefault="00B0518C" w:rsidP="00B0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6" w:tooltip="Дискусия относно редакциите от този адрес [Alt+Shift+n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Беседа</w:t>
        </w:r>
      </w:hyperlink>
    </w:p>
    <w:p w:rsidR="00B0518C" w:rsidRPr="00B0518C" w:rsidRDefault="00B0518C" w:rsidP="00B0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7" w:tooltip="Списък на промените, направени от този IP адрес [Alt+Shift+y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Приноси</w:t>
        </w:r>
      </w:hyperlink>
    </w:p>
    <w:p w:rsidR="00B0518C" w:rsidRPr="00B0518C" w:rsidRDefault="00B0518C" w:rsidP="00B0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8" w:tooltip="Насърчаваме Ви да си създадете сметка и да влезете, въпреки че не е задължително.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Създаване на сметка</w:t>
        </w:r>
      </w:hyperlink>
    </w:p>
    <w:p w:rsidR="00B0518C" w:rsidRPr="00B0518C" w:rsidRDefault="00B0518C" w:rsidP="00B0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9" w:tooltip="Насърчаваме Ви да влезете, въпреки че не е задължително. [Alt+Shift+o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Влизане</w:t>
        </w:r>
      </w:hyperlink>
    </w:p>
    <w:p w:rsidR="00B0518C" w:rsidRPr="00B0518C" w:rsidRDefault="00B0518C" w:rsidP="00B051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0" w:tooltip="Преглед на основната страница [Alt+Shift+c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Статия</w:t>
        </w:r>
      </w:hyperlink>
    </w:p>
    <w:p w:rsidR="00B0518C" w:rsidRPr="00B0518C" w:rsidRDefault="00B0518C" w:rsidP="00B051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1" w:tooltip="Беседа относно страницата [Alt+Shift+t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Беседа</w:t>
        </w:r>
      </w:hyperlink>
    </w:p>
    <w:p w:rsidR="00B0518C" w:rsidRPr="00B0518C" w:rsidRDefault="00B0518C" w:rsidP="00B051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2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Преглед</w:t>
        </w:r>
      </w:hyperlink>
    </w:p>
    <w:p w:rsidR="00B0518C" w:rsidRPr="00B0518C" w:rsidRDefault="00B0518C" w:rsidP="00B051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3" w:tooltip="Редактиране на страницата [Alt+Shift+v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Редактиране</w:t>
        </w:r>
      </w:hyperlink>
    </w:p>
    <w:p w:rsidR="00B0518C" w:rsidRPr="00B0518C" w:rsidRDefault="00B0518C" w:rsidP="00B051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4" w:tooltip="Редактиране на страницата [Alt+Shift+e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Редактиране на кода</w:t>
        </w:r>
      </w:hyperlink>
    </w:p>
    <w:p w:rsidR="00B0518C" w:rsidRPr="00B0518C" w:rsidRDefault="00B0518C" w:rsidP="00B051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5" w:tooltip="Предишни версии на страницата [Alt+Shift+h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История</w:t>
        </w:r>
      </w:hyperlink>
    </w:p>
    <w:p w:rsidR="00B0518C" w:rsidRPr="00B0518C" w:rsidRDefault="00B0518C" w:rsidP="00B05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Търсене </w:t>
      </w:r>
    </w:p>
    <w:p w:rsidR="00B0518C" w:rsidRPr="00B0518C" w:rsidRDefault="00B0518C" w:rsidP="00B051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B0518C">
        <w:rPr>
          <w:rFonts w:ascii="Arial" w:eastAsia="Times New Roman" w:hAnsi="Arial" w:cs="Arial"/>
          <w:vanish/>
          <w:sz w:val="16"/>
          <w:szCs w:val="16"/>
          <w:lang w:eastAsia="bg-BG"/>
        </w:rPr>
        <w:t>Начало на формуляра</w:t>
      </w:r>
    </w:p>
    <w:p w:rsidR="00B0518C" w:rsidRPr="00B0518C" w:rsidRDefault="00B0518C" w:rsidP="00B051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B0518C">
        <w:rPr>
          <w:rFonts w:ascii="Arial" w:eastAsia="Times New Roman" w:hAnsi="Arial" w:cs="Arial"/>
          <w:vanish/>
          <w:sz w:val="16"/>
          <w:szCs w:val="16"/>
          <w:lang w:eastAsia="bg-BG"/>
        </w:rPr>
        <w:t>Край на формуляра</w:t>
      </w:r>
    </w:p>
    <w:p w:rsidR="00B0518C" w:rsidRPr="00B0518C" w:rsidRDefault="00B0518C" w:rsidP="00B051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6" w:tooltip="Началната страница [Alt+Shift+z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Начална страница</w:t>
        </w:r>
      </w:hyperlink>
    </w:p>
    <w:p w:rsidR="00B0518C" w:rsidRPr="00B0518C" w:rsidRDefault="00B0518C" w:rsidP="00B051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7" w:tooltip="Зареждане на случайна страница [Alt+Shift+x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Случайна статия</w:t>
        </w:r>
      </w:hyperlink>
    </w:p>
    <w:p w:rsidR="00B0518C" w:rsidRPr="00B0518C" w:rsidRDefault="00B0518C" w:rsidP="00B051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8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За </w:t>
        </w:r>
        <w:proofErr w:type="spellStart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Уикипедия</w:t>
        </w:r>
        <w:proofErr w:type="spellEnd"/>
      </w:hyperlink>
    </w:p>
    <w:p w:rsidR="00B0518C" w:rsidRPr="00B0518C" w:rsidRDefault="00B0518C" w:rsidP="00B051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9" w:tooltip="Подкрепете ни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Направете дарение</w:t>
        </w:r>
      </w:hyperlink>
    </w:p>
    <w:p w:rsidR="00B0518C" w:rsidRPr="00B0518C" w:rsidRDefault="00B0518C" w:rsidP="00B051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0" w:history="1">
        <w:proofErr w:type="spellStart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Блог</w:t>
        </w:r>
        <w:proofErr w:type="spellEnd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на </w:t>
        </w:r>
        <w:proofErr w:type="spellStart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Уикипедия</w:t>
        </w:r>
        <w:proofErr w:type="spellEnd"/>
      </w:hyperlink>
    </w:p>
    <w:p w:rsidR="00B0518C" w:rsidRPr="00B0518C" w:rsidRDefault="00B0518C" w:rsidP="00B051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1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Пишете ни!</w:t>
        </w:r>
      </w:hyperlink>
    </w:p>
    <w:p w:rsidR="00B0518C" w:rsidRPr="00B0518C" w:rsidRDefault="00B0518C" w:rsidP="00B05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Участвайте</w:t>
      </w:r>
    </w:p>
    <w:p w:rsidR="00B0518C" w:rsidRPr="00B0518C" w:rsidRDefault="00B0518C" w:rsidP="00B051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2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Защо?</w:t>
        </w:r>
      </w:hyperlink>
    </w:p>
    <w:p w:rsidR="00B0518C" w:rsidRPr="00B0518C" w:rsidRDefault="00B0518C" w:rsidP="00B051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3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Изпробване</w:t>
        </w:r>
      </w:hyperlink>
    </w:p>
    <w:p w:rsidR="00B0518C" w:rsidRPr="00B0518C" w:rsidRDefault="00B0518C" w:rsidP="00B051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4" w:tooltip="Място, където може да се информирате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Помощ</w:t>
        </w:r>
      </w:hyperlink>
    </w:p>
    <w:p w:rsidR="00B0518C" w:rsidRPr="00B0518C" w:rsidRDefault="00B0518C" w:rsidP="00B051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5" w:tooltip="Списък на последните промени в уикито [Alt+Shift+r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Последни промени</w:t>
        </w:r>
      </w:hyperlink>
    </w:p>
    <w:p w:rsidR="00B0518C" w:rsidRPr="00B0518C" w:rsidRDefault="00B0518C" w:rsidP="00B051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6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Обсъждани статии</w:t>
        </w:r>
      </w:hyperlink>
    </w:p>
    <w:p w:rsidR="00B0518C" w:rsidRPr="00B0518C" w:rsidRDefault="00B0518C" w:rsidP="00B051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7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Общи разговори</w:t>
        </w:r>
      </w:hyperlink>
    </w:p>
    <w:p w:rsidR="00B0518C" w:rsidRPr="00B0518C" w:rsidRDefault="00B0518C" w:rsidP="00B05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Отпечатване/изнасяне</w:t>
      </w:r>
    </w:p>
    <w:p w:rsidR="00B0518C" w:rsidRPr="00B0518C" w:rsidRDefault="00B0518C" w:rsidP="00B051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8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Създаване на книга</w:t>
        </w:r>
      </w:hyperlink>
    </w:p>
    <w:p w:rsidR="00B0518C" w:rsidRPr="00B0518C" w:rsidRDefault="00B0518C" w:rsidP="00B051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9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Изтегляне като PDF</w:t>
        </w:r>
      </w:hyperlink>
    </w:p>
    <w:p w:rsidR="00B0518C" w:rsidRPr="00B0518C" w:rsidRDefault="00B0518C" w:rsidP="00B051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0" w:tooltip="Версия за печат на страницата [Alt+Shift+p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Версия за печат</w:t>
        </w:r>
      </w:hyperlink>
    </w:p>
    <w:p w:rsidR="00B0518C" w:rsidRPr="00B0518C" w:rsidRDefault="00B0518C" w:rsidP="00B05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Инструменти</w:t>
      </w:r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1" w:tooltip="Списък на всички страници, сочещи насам [Alt+Shift+j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Какво сочи насам</w:t>
        </w:r>
      </w:hyperlink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2" w:tooltip="Последните промени на страници, сочени от тази страница [Alt+Shift+k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Свързани промени</w:t>
        </w:r>
      </w:hyperlink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3" w:tooltip="Качи файлове [Alt+Shift+u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Качване на файл</w:t>
        </w:r>
      </w:hyperlink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4" w:tooltip="Списък на всички специални страници [Alt+Shift+q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Специални страници</w:t>
        </w:r>
      </w:hyperlink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5" w:tooltip="Постоянна препратка към тази версия на страницата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Постоянна препратка</w:t>
        </w:r>
      </w:hyperlink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6" w:tooltip="Повече за тази страница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Информация за страницата</w:t>
        </w:r>
      </w:hyperlink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7" w:tooltip="Препратка към свързаният обект от хранилището за данни [Alt+Shift+g]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Обект в </w:t>
        </w:r>
        <w:proofErr w:type="spellStart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Уикиданни</w:t>
        </w:r>
        <w:proofErr w:type="spellEnd"/>
      </w:hyperlink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8" w:tooltip="Информация за начините за цитиране на тази страница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Цитиране на статията</w:t>
        </w:r>
      </w:hyperlink>
    </w:p>
    <w:p w:rsidR="00B0518C" w:rsidRPr="00B0518C" w:rsidRDefault="00B0518C" w:rsidP="00B051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9" w:history="1">
        <w:proofErr w:type="spellStart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Подстраници</w:t>
        </w:r>
        <w:proofErr w:type="spellEnd"/>
      </w:hyperlink>
    </w:p>
    <w:p w:rsidR="00B0518C" w:rsidRPr="00B0518C" w:rsidRDefault="00B0518C" w:rsidP="00B05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B0518C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Езици</w:t>
      </w:r>
    </w:p>
    <w:p w:rsidR="00B0518C" w:rsidRPr="00B0518C" w:rsidRDefault="00B0518C" w:rsidP="00B05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0" w:anchor="sitelinks-wikipedia" w:tooltip="Add interlanguage links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Добавяне на препратки</w:t>
        </w:r>
      </w:hyperlink>
    </w:p>
    <w:p w:rsidR="00B0518C" w:rsidRPr="00B0518C" w:rsidRDefault="00B0518C" w:rsidP="00B051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Последна промяна на страницата: в 19:45, на 21 ноември 2016.</w:t>
      </w:r>
    </w:p>
    <w:p w:rsidR="00B0518C" w:rsidRPr="00B0518C" w:rsidRDefault="00B0518C" w:rsidP="00B051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Текстът е достъпен под лиценза </w:t>
      </w:r>
      <w:hyperlink r:id="rId101" w:history="1">
        <w:proofErr w:type="spellStart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Creative</w:t>
        </w:r>
        <w:proofErr w:type="spellEnd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Commons</w:t>
        </w:r>
        <w:proofErr w:type="spellEnd"/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Признание-Споделяне на споделеното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може да са приложени допълнителни условия. За подробности вижте </w:t>
      </w:r>
      <w:hyperlink r:id="rId102" w:history="1">
        <w:r w:rsidRPr="00B051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Условия за ползване</w:t>
        </w:r>
      </w:hyperlink>
      <w:r w:rsidRPr="00B0518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B0518C" w:rsidRDefault="00B0518C"/>
    <w:p w:rsidR="00B0518C" w:rsidRPr="003632FE" w:rsidRDefault="00B0518C">
      <w:pPr>
        <w:rPr>
          <w:sz w:val="40"/>
          <w:szCs w:val="40"/>
        </w:rPr>
      </w:pPr>
    </w:p>
    <w:p w:rsidR="00D76755" w:rsidRDefault="003632FE">
      <w:pPr>
        <w:rPr>
          <w:sz w:val="40"/>
          <w:szCs w:val="40"/>
        </w:rPr>
      </w:pPr>
      <w:hyperlink r:id="rId103" w:history="1">
        <w:r w:rsidRPr="003632FE">
          <w:rPr>
            <w:rStyle w:val="a5"/>
            <w:sz w:val="40"/>
            <w:szCs w:val="40"/>
          </w:rPr>
          <w:t>http://institutfrancais.bg/media/29/fc/4aa8674ed5598794a39e3df8b3b9/vesselin-alexandrov.pdf</w:t>
        </w:r>
      </w:hyperlink>
    </w:p>
    <w:p w:rsidR="00D76755" w:rsidRDefault="00D76755">
      <w:pPr>
        <w:rPr>
          <w:sz w:val="40"/>
          <w:szCs w:val="40"/>
        </w:rPr>
      </w:pPr>
      <w:r>
        <w:rPr>
          <w:sz w:val="40"/>
          <w:szCs w:val="40"/>
        </w:rPr>
        <w:t>учебно съдържание</w:t>
      </w:r>
    </w:p>
    <w:p w:rsidR="00D76755" w:rsidRDefault="00D76755">
      <w:pPr>
        <w:rPr>
          <w:sz w:val="40"/>
          <w:szCs w:val="40"/>
        </w:rPr>
      </w:pPr>
      <w:hyperlink r:id="rId104" w:history="1">
        <w:r w:rsidRPr="00CB03BE">
          <w:rPr>
            <w:rStyle w:val="a5"/>
            <w:sz w:val="40"/>
            <w:szCs w:val="40"/>
          </w:rPr>
          <w:t>http://www1.znam.bg/zmonres/edu/geografia%2010/EUK/UNIT2/unit4.htm</w:t>
        </w:r>
      </w:hyperlink>
    </w:p>
    <w:p w:rsidR="00071F0B" w:rsidRDefault="00071F0B">
      <w:pPr>
        <w:rPr>
          <w:sz w:val="40"/>
          <w:szCs w:val="40"/>
        </w:rPr>
      </w:pPr>
    </w:p>
    <w:p w:rsidR="00071F0B" w:rsidRDefault="00071F0B">
      <w:pPr>
        <w:rPr>
          <w:sz w:val="40"/>
          <w:szCs w:val="40"/>
        </w:rPr>
      </w:pPr>
      <w:hyperlink r:id="rId105" w:history="1">
        <w:r w:rsidRPr="00CB03BE">
          <w:rPr>
            <w:rStyle w:val="a5"/>
            <w:sz w:val="40"/>
            <w:szCs w:val="40"/>
          </w:rPr>
          <w:t>http://www.adameurope.eu/prj/11393/prj/%D0%9A%D0%BB%D0%B8%D0%BC%D0%B0%D1%82%D0%B8%D1%87%D0%BD%D0%B0%20%D1%85%D0%B0%D1%80</w:t>
        </w:r>
        <w:r w:rsidRPr="00CB03BE">
          <w:rPr>
            <w:rStyle w:val="a5"/>
            <w:sz w:val="40"/>
            <w:szCs w:val="40"/>
          </w:rPr>
          <w:lastRenderedPageBreak/>
          <w:t>%D0%B0%D0%BA%D1%82%D0%B5%D1%80%D0%B8%D1%81%D1%82%D0%B8%D0%BA%D0%B0%20%D0%B8%20%D0%BF%D1%80%D0%BE%D0%B3%D0%BD%D0%BE%D0%B7%D0%B0.pdf</w:t>
        </w:r>
      </w:hyperlink>
    </w:p>
    <w:p w:rsidR="00071F0B" w:rsidRDefault="00071F0B">
      <w:pPr>
        <w:rPr>
          <w:sz w:val="40"/>
          <w:szCs w:val="40"/>
        </w:rPr>
      </w:pPr>
    </w:p>
    <w:p w:rsidR="000B5EB6" w:rsidRDefault="000B5EB6">
      <w:pPr>
        <w:rPr>
          <w:sz w:val="40"/>
          <w:szCs w:val="40"/>
        </w:rPr>
      </w:pPr>
    </w:p>
    <w:p w:rsidR="00D76755" w:rsidRDefault="000B5EB6">
      <w:pPr>
        <w:rPr>
          <w:sz w:val="40"/>
          <w:szCs w:val="40"/>
        </w:rPr>
      </w:pPr>
      <w:hyperlink r:id="rId106" w:history="1">
        <w:r w:rsidRPr="00CB03BE">
          <w:rPr>
            <w:rStyle w:val="a5"/>
            <w:sz w:val="40"/>
            <w:szCs w:val="40"/>
          </w:rPr>
          <w:t>http://meteorology.meteo.bg/bro6ura.pdf</w:t>
        </w:r>
      </w:hyperlink>
    </w:p>
    <w:p w:rsidR="000B5EB6" w:rsidRDefault="000B5EB6">
      <w:pPr>
        <w:rPr>
          <w:sz w:val="40"/>
          <w:szCs w:val="40"/>
        </w:rPr>
      </w:pPr>
    </w:p>
    <w:p w:rsidR="000B5EB6" w:rsidRDefault="000B5EB6">
      <w:pPr>
        <w:rPr>
          <w:sz w:val="40"/>
          <w:szCs w:val="40"/>
        </w:rPr>
      </w:pPr>
    </w:p>
    <w:p w:rsidR="000B5EB6" w:rsidRDefault="000B5EB6">
      <w:pPr>
        <w:rPr>
          <w:sz w:val="40"/>
          <w:szCs w:val="40"/>
        </w:rPr>
      </w:pPr>
      <w:hyperlink r:id="rId107" w:history="1">
        <w:r w:rsidRPr="00CB03BE">
          <w:rPr>
            <w:rStyle w:val="a5"/>
            <w:sz w:val="40"/>
            <w:szCs w:val="40"/>
          </w:rPr>
          <w:t>http://www.pu-pirin.com/images/Sreshti/27-28.08.14-Abiotichni_f-ri/2.%201.8.%20Klimat_Abiota_27-28.08.2014.pdf</w:t>
        </w:r>
      </w:hyperlink>
    </w:p>
    <w:p w:rsidR="00D47258" w:rsidRDefault="00D47258">
      <w:pPr>
        <w:rPr>
          <w:sz w:val="40"/>
          <w:szCs w:val="40"/>
        </w:rPr>
      </w:pPr>
    </w:p>
    <w:p w:rsidR="00D47258" w:rsidRDefault="00D47258">
      <w:pPr>
        <w:rPr>
          <w:sz w:val="40"/>
          <w:szCs w:val="40"/>
        </w:rPr>
      </w:pPr>
      <w:r>
        <w:rPr>
          <w:sz w:val="40"/>
          <w:szCs w:val="40"/>
        </w:rPr>
        <w:t>http://www.phys.uni</w:t>
      </w:r>
      <w:bookmarkStart w:id="3" w:name="_GoBack"/>
      <w:bookmarkEnd w:id="3"/>
      <w:r w:rsidRPr="00D47258">
        <w:rPr>
          <w:sz w:val="40"/>
          <w:szCs w:val="40"/>
        </w:rPr>
        <w:t>sofia.bg/annual/archive/109/full/GSU-Fizika-109_07.pdf</w:t>
      </w:r>
    </w:p>
    <w:p w:rsidR="000B5EB6" w:rsidRDefault="000B5EB6">
      <w:pPr>
        <w:rPr>
          <w:sz w:val="40"/>
          <w:szCs w:val="40"/>
        </w:rPr>
      </w:pPr>
    </w:p>
    <w:p w:rsidR="000B5EB6" w:rsidRPr="003632FE" w:rsidRDefault="000B5EB6">
      <w:pPr>
        <w:rPr>
          <w:sz w:val="40"/>
          <w:szCs w:val="40"/>
        </w:rPr>
      </w:pPr>
    </w:p>
    <w:p w:rsidR="003632FE" w:rsidRDefault="003632FE"/>
    <w:sectPr w:rsidR="00363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6D9"/>
    <w:multiLevelType w:val="multilevel"/>
    <w:tmpl w:val="A57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806F2"/>
    <w:multiLevelType w:val="multilevel"/>
    <w:tmpl w:val="5F4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9574A"/>
    <w:multiLevelType w:val="multilevel"/>
    <w:tmpl w:val="E50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E0382"/>
    <w:multiLevelType w:val="multilevel"/>
    <w:tmpl w:val="A74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A654E"/>
    <w:multiLevelType w:val="multilevel"/>
    <w:tmpl w:val="3C3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70BE5"/>
    <w:multiLevelType w:val="multilevel"/>
    <w:tmpl w:val="173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9F4E05"/>
    <w:multiLevelType w:val="multilevel"/>
    <w:tmpl w:val="A7CC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19580B"/>
    <w:multiLevelType w:val="multilevel"/>
    <w:tmpl w:val="CBA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A827E2"/>
    <w:multiLevelType w:val="multilevel"/>
    <w:tmpl w:val="753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37DF0"/>
    <w:multiLevelType w:val="multilevel"/>
    <w:tmpl w:val="5FFC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E71F2"/>
    <w:multiLevelType w:val="multilevel"/>
    <w:tmpl w:val="370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FC4C7F"/>
    <w:multiLevelType w:val="multilevel"/>
    <w:tmpl w:val="CCF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833A67"/>
    <w:multiLevelType w:val="multilevel"/>
    <w:tmpl w:val="78E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FC54C3"/>
    <w:multiLevelType w:val="multilevel"/>
    <w:tmpl w:val="1492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E77A8F"/>
    <w:multiLevelType w:val="multilevel"/>
    <w:tmpl w:val="2CC0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B77184"/>
    <w:multiLevelType w:val="multilevel"/>
    <w:tmpl w:val="3AE4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C55B42"/>
    <w:multiLevelType w:val="multilevel"/>
    <w:tmpl w:val="9A5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6204A4"/>
    <w:multiLevelType w:val="multilevel"/>
    <w:tmpl w:val="757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947ADB"/>
    <w:multiLevelType w:val="multilevel"/>
    <w:tmpl w:val="030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0C7DB0"/>
    <w:multiLevelType w:val="multilevel"/>
    <w:tmpl w:val="2CC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8A4711"/>
    <w:multiLevelType w:val="multilevel"/>
    <w:tmpl w:val="3F5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18"/>
  </w:num>
  <w:num w:numId="7">
    <w:abstractNumId w:val="1"/>
  </w:num>
  <w:num w:numId="8">
    <w:abstractNumId w:val="10"/>
  </w:num>
  <w:num w:numId="9">
    <w:abstractNumId w:val="4"/>
  </w:num>
  <w:num w:numId="10">
    <w:abstractNumId w:val="11"/>
  </w:num>
  <w:num w:numId="11">
    <w:abstractNumId w:val="20"/>
  </w:num>
  <w:num w:numId="12">
    <w:abstractNumId w:val="7"/>
  </w:num>
  <w:num w:numId="13">
    <w:abstractNumId w:val="12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0"/>
  </w:num>
  <w:num w:numId="19">
    <w:abstractNumId w:val="6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0E"/>
    <w:rsid w:val="00034856"/>
    <w:rsid w:val="00071F0B"/>
    <w:rsid w:val="000871FB"/>
    <w:rsid w:val="000B5EB6"/>
    <w:rsid w:val="000F47C9"/>
    <w:rsid w:val="00282D72"/>
    <w:rsid w:val="003632FE"/>
    <w:rsid w:val="00896F47"/>
    <w:rsid w:val="008F2D0E"/>
    <w:rsid w:val="00AA6BCC"/>
    <w:rsid w:val="00B0518C"/>
    <w:rsid w:val="00B21123"/>
    <w:rsid w:val="00D47258"/>
    <w:rsid w:val="00D7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8F2D0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F2D0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96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8F2D0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F2D0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96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8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1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6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9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7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zh.government.bg/mzh/bg/Home.aspx" TargetMode="External"/><Relationship Id="rId21" Type="http://schemas.openxmlformats.org/officeDocument/2006/relationships/image" Target="media/image9.gif"/><Relationship Id="rId42" Type="http://schemas.openxmlformats.org/officeDocument/2006/relationships/image" Target="media/image14.gif"/><Relationship Id="rId47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63" Type="http://schemas.openxmlformats.org/officeDocument/2006/relationships/hyperlink" Target="https://bg.wikipedia.org/wiki/%D0%A1%D0%BF%D0%B5%D1%86%D0%B8%D0%B0%D0%BB%D0%BD%D0%B8:%D0%9A%D0%B0%D1%82%D0%B5%D0%B3%D0%BE%D1%80%D0%B8%D0%B8" TargetMode="External"/><Relationship Id="rId68" Type="http://schemas.openxmlformats.org/officeDocument/2006/relationships/hyperlink" Target="https://bg.wikipedia.org/w/index.php?title=%D0%A1%D0%BF%D0%B5%D1%86%D0%B8%D0%B0%D0%BB%D0%BD%D0%B8:%D0%A1%D1%8A%D0%B7%D0%B4%D0%B0%D0%B2%D0%B0%D0%BD%D0%B5_%D0%BD%D0%B0_%D1%81%D0%BC%D0%B5%D1%82%D0%BA%D0%B0&amp;returnto=%D0%9A%D0%BB%D0%B8%D0%BC%D0%B0%D1%82%D0%B8%D1%87%D0%BD%D0%B8+%D0%BE%D0%B1%D0%BB%D0%B0%D1%81%D1%82%D0%B8+%D0%B2+%D0%91%D1%8A%D0%BB%D0%B3%D0%B0%D1%80%D0%B8%D1%8F" TargetMode="External"/><Relationship Id="rId84" Type="http://schemas.openxmlformats.org/officeDocument/2006/relationships/hyperlink" Target="https://bg.wikipedia.org/wiki/%D0%A3%D0%B8%D0%BA%D0%B8%D0%BF%D0%B5%D0%B4%D0%B8%D1%8F:%D0%9F%D1%8A%D1%80%D0%B2%D0%B8_%D1%81%D1%82%D1%8A%D0%BF%D0%BA%D0%B8" TargetMode="External"/><Relationship Id="rId89" Type="http://schemas.openxmlformats.org/officeDocument/2006/relationships/hyperlink" Target="https://bg.wikipedia.org/w/index.php?title=%D0%A1%D0%BF%D0%B5%D1%86%D0%B8%D0%B0%D0%BB%D0%BD%D0%B8:Book&amp;bookcmd=render_article&amp;arttitle=%D0%9A%D0%BB%D0%B8%D0%BC%D0%B0%D1%82%D0%B8%D1%87%D0%BD%D0%B8+%D0%BE%D0%B1%D0%BB%D0%B0%D1%81%D1%82%D0%B8+%D0%B2+%D0%91%D1%8A%D0%BB%D0%B3%D0%B0%D1%80%D0%B8%D1%8F&amp;returnto=%D0%9A%D0%BB%D0%B8%D0%BC%D0%B0%D1%82%D0%B8%D1%87%D0%BD%D0%B8+%D0%BE%D0%B1%D0%BB%D0%B0%D1%81%D1%82%D0%B8+%D0%B2+%D0%91%D1%8A%D0%BB%D0%B3%D0%B0%D1%80%D0%B8%D1%8F&amp;oldid=7580655&amp;writer=rdf2latex" TargetMode="External"/><Relationship Id="rId16" Type="http://schemas.openxmlformats.org/officeDocument/2006/relationships/image" Target="media/image7.gif"/><Relationship Id="rId107" Type="http://schemas.openxmlformats.org/officeDocument/2006/relationships/hyperlink" Target="http://www.pu-pirin.com/images/Sreshti/27-28.08.14-Abiotichni_f-ri/2.%201.8.%20Klimat_Abiota_27-28.08.2014.pdf" TargetMode="External"/><Relationship Id="rId11" Type="http://schemas.openxmlformats.org/officeDocument/2006/relationships/image" Target="media/image4.gif"/><Relationship Id="rId32" Type="http://schemas.openxmlformats.org/officeDocument/2006/relationships/hyperlink" Target="https://eea.government.bg/bg/soer/2012/land-use/sastoyanie-na-pochvite" TargetMode="External"/><Relationship Id="rId37" Type="http://schemas.openxmlformats.org/officeDocument/2006/relationships/hyperlink" Target="http://www.weru.ksu.edu/nrcs/weq.html" TargetMode="External"/><Relationship Id="rId53" Type="http://schemas.openxmlformats.org/officeDocument/2006/relationships/hyperlink" Target="https://bg.wikipedia.org/wiki/%D0%A2%D0%B5%D0%BC%D0%BF%D0%B5%D1%80%D0%B0%D1%82%D1%83%D1%80%D0%B0_%D0%BD%D0%B0_%D0%B2%D1%8A%D0%B7%D0%B4%D1%83%D1%85%D0%B0" TargetMode="External"/><Relationship Id="rId58" Type="http://schemas.openxmlformats.org/officeDocument/2006/relationships/hyperlink" Target="https://bg.wikipedia.org/wiki/%D0%9A%D0%BB%D0%B8%D0%BC%D0%B0%D1%82" TargetMode="External"/><Relationship Id="rId74" Type="http://schemas.openxmlformats.org/officeDocument/2006/relationships/hyperlink" Target="https://bg.wikipedia.org/w/index.php?title=%D0%9A%D0%BB%D0%B8%D0%BC%D0%B0%D1%82%D0%B8%D1%87%D0%BD%D0%B8_%D0%BE%D0%B1%D0%BB%D0%B0%D1%81%D1%82%D0%B8_%D0%B2_%D0%91%D1%8A%D0%BB%D0%B3%D0%B0%D1%80%D0%B8%D1%8F&amp;action=edit" TargetMode="External"/><Relationship Id="rId79" Type="http://schemas.openxmlformats.org/officeDocument/2006/relationships/hyperlink" Target="https://donate.wikimedia.org/wiki/Special:FundraiserRedirector?utm_source=donate&amp;utm_medium=sidebar&amp;utm_campaign=C13_bg.wikipedia.org&amp;uselang=bg" TargetMode="External"/><Relationship Id="rId102" Type="http://schemas.openxmlformats.org/officeDocument/2006/relationships/hyperlink" Target="https://meta.wikimedia.org/wiki/Terms_of_use/b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bg.wikipedia.org/w/index.php?title=%D0%9A%D0%BB%D0%B8%D0%BC%D0%B0%D1%82%D0%B8%D1%87%D0%BD%D0%B8_%D0%BE%D0%B1%D0%BB%D0%B0%D1%81%D1%82%D0%B8_%D0%B2_%D0%91%D1%8A%D0%BB%D0%B3%D0%B0%D1%80%D0%B8%D1%8F&amp;printable=yes" TargetMode="External"/><Relationship Id="rId95" Type="http://schemas.openxmlformats.org/officeDocument/2006/relationships/hyperlink" Target="https://bg.wikipedia.org/w/index.php?title=%D0%9A%D0%BB%D0%B8%D0%BC%D0%B0%D1%82%D0%B8%D1%87%D0%BD%D0%B8_%D0%BE%D0%B1%D0%BB%D0%B0%D1%81%D1%82%D0%B8_%D0%B2_%D0%91%D1%8A%D0%BB%D0%B3%D0%B0%D1%80%D0%B8%D1%8F&amp;oldid=7580655" TargetMode="External"/><Relationship Id="rId22" Type="http://schemas.openxmlformats.org/officeDocument/2006/relationships/hyperlink" Target="http://www.eea.government.bg/" TargetMode="External"/><Relationship Id="rId27" Type="http://schemas.openxmlformats.org/officeDocument/2006/relationships/image" Target="media/image10.jpeg"/><Relationship Id="rId43" Type="http://schemas.openxmlformats.org/officeDocument/2006/relationships/image" Target="media/image15.gif"/><Relationship Id="rId48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64" Type="http://schemas.openxmlformats.org/officeDocument/2006/relationships/hyperlink" Target="https://bg.wikipedia.org/wiki/%D0%9A%D0%B0%D1%82%D0%B5%D0%B3%D0%BE%D1%80%D0%B8%D1%8F:%D0%9A%D0%BB%D0%B8%D0%BC%D0%B0%D1%82_%D0%BD%D0%B0_%D0%91%D1%8A%D0%BB%D0%B3%D0%B0%D1%80%D0%B8%D1%8F" TargetMode="External"/><Relationship Id="rId69" Type="http://schemas.openxmlformats.org/officeDocument/2006/relationships/hyperlink" Target="https://bg.wikipedia.org/w/index.php?title=%D0%A1%D0%BF%D0%B5%D1%86%D0%B8%D0%B0%D0%BB%D0%BD%D0%B8:%D0%A0%D0%B5%D0%B3%D0%B8%D1%81%D1%82%D1%80%D0%B8%D1%80%D0%B0%D0%BD%D0%B5_%D0%B8%D0%BB%D0%B8_%D0%B2%D0%BB%D0%B8%D0%B7%D0%B0%D0%BD%D0%B5&amp;returnto=%D0%9A%D0%BB%D0%B8%D0%BC%D0%B0%D1%82%D0%B8%D1%87%D0%BD%D0%B8+%D0%BE%D0%B1%D0%BB%D0%B0%D1%81%D1%82%D0%B8+%D0%B2+%D0%91%D1%8A%D0%BB%D0%B3%D0%B0%D1%80%D0%B8%D1%8F" TargetMode="External"/><Relationship Id="rId80" Type="http://schemas.openxmlformats.org/officeDocument/2006/relationships/hyperlink" Target="https://blog.wikimedia.bg/" TargetMode="External"/><Relationship Id="rId85" Type="http://schemas.openxmlformats.org/officeDocument/2006/relationships/hyperlink" Target="https://bg.wikipedia.org/wiki/%D0%A1%D0%BF%D0%B5%D1%86%D0%B8%D0%B0%D0%BB%D0%BD%D0%B8:%D0%9F%D0%BE%D1%81%D0%BB%D0%B5%D0%B4%D0%BD%D0%B8_%D0%BF%D1%80%D0%BE%D0%BC%D0%B5%D0%BD%D0%B8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iag.bg/docs/lang/1/cat/3/index" TargetMode="External"/><Relationship Id="rId33" Type="http://schemas.openxmlformats.org/officeDocument/2006/relationships/hyperlink" Target="https://eea.government.bg/bg/soer/2012/land-use/sastoyanie-na-pochvite" TargetMode="External"/><Relationship Id="rId38" Type="http://schemas.openxmlformats.org/officeDocument/2006/relationships/hyperlink" Target="https://eea.government.bg/bg/soer/2011/climate/climate1" TargetMode="External"/><Relationship Id="rId59" Type="http://schemas.openxmlformats.org/officeDocument/2006/relationships/hyperlink" Target="https://bg.wikipedia.org/wiki/%D0%9A%D0%BB%D0%B8%D0%BC%D0%B0%D1%82%D0%B8%D1%87%D0%BD%D0%B8_%D0%BF%D0%BE%D1%8F%D1%81%D0%B8" TargetMode="External"/><Relationship Id="rId103" Type="http://schemas.openxmlformats.org/officeDocument/2006/relationships/hyperlink" Target="http://institutfrancais.bg/media/29/fc/4aa8674ed5598794a39e3df8b3b9/vesselin-alexandrov.pdf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bg.wikipedia.org/wiki/%D0%AE%D0%BB%D0%B8" TargetMode="External"/><Relationship Id="rId70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75" Type="http://schemas.openxmlformats.org/officeDocument/2006/relationships/hyperlink" Target="https://bg.wikipedia.org/w/index.php?title=%D0%9A%D0%BB%D0%B8%D0%BC%D0%B0%D1%82%D0%B8%D1%87%D0%BD%D0%B8_%D0%BE%D0%B1%D0%BB%D0%B0%D1%81%D1%82%D0%B8_%D0%B2_%D0%91%D1%8A%D0%BB%D0%B3%D0%B0%D1%80%D0%B8%D1%8F&amp;action=history" TargetMode="External"/><Relationship Id="rId91" Type="http://schemas.openxmlformats.org/officeDocument/2006/relationships/hyperlink" Target="https://bg.wikipedia.org/wiki/%D0%A1%D0%BF%D0%B5%D1%86%D0%B8%D0%B0%D0%BB%D0%BD%D0%B8:%D0%9A%D0%B0%D0%BA%D0%B2%D0%BE_%D1%81%D0%BE%D1%87%D0%B8_%D0%BD%D0%B0%D1%81%D0%B0%D0%BC/%D0%9A%D0%BB%D0%B8%D0%BC%D0%B0%D1%82%D0%B8%D1%87%D0%BD%D0%B8_%D0%BE%D0%B1%D0%BB%D0%B0%D1%81%D1%82%D0%B8_%D0%B2_%D0%91%D1%8A%D0%BB%D0%B3%D0%B0%D1%80%D0%B8%D1%8F" TargetMode="External"/><Relationship Id="rId96" Type="http://schemas.openxmlformats.org/officeDocument/2006/relationships/hyperlink" Target="https://bg.wikipedia.org/w/index.php?title=%D0%9A%D0%BB%D0%B8%D0%BC%D0%B0%D1%82%D0%B8%D1%87%D0%BD%D0%B8_%D0%BE%D0%B1%D0%BB%D0%B0%D1%81%D1%82%D0%B8_%D0%B2_%D0%91%D1%8A%D0%BB%D0%B3%D0%B0%D1%80%D0%B8%D1%8F&amp;action=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6.gif"/><Relationship Id="rId23" Type="http://schemas.openxmlformats.org/officeDocument/2006/relationships/hyperlink" Target="http://www.eea.government.bg/" TargetMode="External"/><Relationship Id="rId28" Type="http://schemas.openxmlformats.org/officeDocument/2006/relationships/image" Target="media/image11.gif"/><Relationship Id="rId36" Type="http://schemas.openxmlformats.org/officeDocument/2006/relationships/hyperlink" Target="https://eea.government.bg/bg/soer/2012/land-use/sastoyanie-na-pochvite" TargetMode="External"/><Relationship Id="rId49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57" Type="http://schemas.openxmlformats.org/officeDocument/2006/relationships/hyperlink" Target="https://bg.wikipedia.org/wiki/%D0%93%D0%BE%D1%80%D0%BD%D0%BE%D1%82%D1%80%D0%B0%D0%BA%D0%B8%D0%B9%D1%81%D0%BA%D0%B0%D1%82%D0%B0_%D0%BD%D0%B8%D0%B7%D0%B8%D0%BD%D0%B0" TargetMode="External"/><Relationship Id="rId106" Type="http://schemas.openxmlformats.org/officeDocument/2006/relationships/hyperlink" Target="http://meteorology.meteo.bg/bro6ura.pdf" TargetMode="External"/><Relationship Id="rId10" Type="http://schemas.openxmlformats.org/officeDocument/2006/relationships/image" Target="media/image3.gif"/><Relationship Id="rId31" Type="http://schemas.openxmlformats.org/officeDocument/2006/relationships/hyperlink" Target="http://www.weru.ksu.edu/nrcs/weq.html" TargetMode="External"/><Relationship Id="rId44" Type="http://schemas.openxmlformats.org/officeDocument/2006/relationships/image" Target="media/image16.gif"/><Relationship Id="rId52" Type="http://schemas.openxmlformats.org/officeDocument/2006/relationships/hyperlink" Target="https://bg.wikipedia.org/wiki/%D0%AF%D0%BD%D1%83%D0%B0%D1%80%D0%B8" TargetMode="External"/><Relationship Id="rId60" Type="http://schemas.openxmlformats.org/officeDocument/2006/relationships/hyperlink" Target="https://bg.wikipedia.org/wiki/%D0%90%D0%B3%D1%80%D0%BE%D0%BC%D0%B5%D1%82%D0%B5%D0%BE%D1%80%D0%BE%D0%BB%D0%BE%D0%B3%D0%B8%D1%8F" TargetMode="External"/><Relationship Id="rId65" Type="http://schemas.openxmlformats.org/officeDocument/2006/relationships/hyperlink" Target="https://bg.wikipedia.org/wiki/%D0%9A%D0%B0%D1%82%D0%B5%D0%B3%D0%BE%D1%80%D0%B8%D1%8F:%D0%90%D0%B3%D1%80%D0%BE%D0%BC%D0%B5%D1%82%D0%B5%D0%BE%D1%80%D0%BE%D0%BB%D0%BE%D0%B3%D0%B8%D1%8F" TargetMode="External"/><Relationship Id="rId73" Type="http://schemas.openxmlformats.org/officeDocument/2006/relationships/hyperlink" Target="https://bg.wikipedia.org/w/index.php?title=%D0%9A%D0%BB%D0%B8%D0%BC%D0%B0%D1%82%D0%B8%D1%87%D0%BD%D0%B8_%D0%BE%D0%B1%D0%BB%D0%B0%D1%81%D1%82%D0%B8_%D0%B2_%D0%91%D1%8A%D0%BB%D0%B3%D0%B0%D1%80%D0%B8%D1%8F&amp;veaction=edit" TargetMode="External"/><Relationship Id="rId78" Type="http://schemas.openxmlformats.org/officeDocument/2006/relationships/hyperlink" Target="https://bg.wikipedia.org/wiki/%D0%A3%D0%B8%D0%BA%D0%B8%D0%BF%D0%B5%D0%B4%D0%B8%D1%8F:%D0%97%D0%B0_%D0%A3%D0%B8%D0%BA%D0%B8%D0%BF%D0%B5%D0%B4%D0%B8%D1%8F" TargetMode="External"/><Relationship Id="rId81" Type="http://schemas.openxmlformats.org/officeDocument/2006/relationships/hyperlink" Target="https://bg.wikipedia.org/wiki/%D0%A3%D0%B8%D0%BA%D0%B8%D0%BF%D0%B5%D0%B4%D0%B8%D1%8F:%D0%97%D0%B0_%D0%BA%D0%BE%D0%BD%D1%82%D0%B0%D0%BA%D1%82%D0%B8" TargetMode="External"/><Relationship Id="rId86" Type="http://schemas.openxmlformats.org/officeDocument/2006/relationships/hyperlink" Target="https://bg.wikipedia.org/wiki/%D0%A3%D0%B8%D0%BA%D0%B8%D0%BF%D0%B5%D0%B4%D0%B8%D1%8F:%D0%90%D0%BA%D1%82%D0%B8%D0%B2%D0%BD%D0%B8_%D0%B1%D0%B5%D1%81%D0%B5%D0%B4%D0%B8" TargetMode="External"/><Relationship Id="rId94" Type="http://schemas.openxmlformats.org/officeDocument/2006/relationships/hyperlink" Target="https://bg.wikipedia.org/wiki/%D0%A1%D0%BF%D0%B5%D1%86%D0%B8%D0%B0%D0%BB%D0%BD%D0%B8:%D0%A1%D0%BF%D0%B5%D1%86%D0%B8%D0%B0%D0%BB%D0%BD%D0%B8_%D1%81%D1%82%D1%80%D0%B0%D0%BD%D0%B8%D1%86%D0%B8" TargetMode="External"/><Relationship Id="rId99" Type="http://schemas.openxmlformats.org/officeDocument/2006/relationships/hyperlink" Target="https://bg.wikipedia.org/wiki/Special:Prefixindex/%D0%9A%D0%BB%D0%B8%D0%BC%D0%B0%D1%82%D0%B8%D1%87%D0%BD%D0%B8_%D0%BE%D0%B1%D0%BB%D0%B0%D1%81%D1%82%D0%B8_%D0%B2_%D0%91%D1%8A%D0%BB%D0%B3%D0%B0%D1%80%D0%B8%D1%8F/" TargetMode="External"/><Relationship Id="rId101" Type="http://schemas.openxmlformats.org/officeDocument/2006/relationships/hyperlink" Target="https://creativecommons.org/licenses/by-sa/3.0/deed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ea.government.bg/bg/soer/2012/land-use/sastoyanie-na-pochvite" TargetMode="External"/><Relationship Id="rId13" Type="http://schemas.openxmlformats.org/officeDocument/2006/relationships/hyperlink" Target="https://eea.government.bg/bg/soer/2012/land-use/sastoyanie-na-pochvite" TargetMode="External"/><Relationship Id="rId18" Type="http://schemas.openxmlformats.org/officeDocument/2006/relationships/hyperlink" Target="https://eea.government.bg/bg/soer/2012/land-use/sastoyanie-na-pochvite" TargetMode="External"/><Relationship Id="rId39" Type="http://schemas.openxmlformats.org/officeDocument/2006/relationships/image" Target="media/image12.png"/><Relationship Id="rId109" Type="http://schemas.openxmlformats.org/officeDocument/2006/relationships/theme" Target="theme/theme1.xml"/><Relationship Id="rId34" Type="http://schemas.openxmlformats.org/officeDocument/2006/relationships/hyperlink" Target="http://www.fao.org/home/en" TargetMode="External"/><Relationship Id="rId50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55" Type="http://schemas.openxmlformats.org/officeDocument/2006/relationships/hyperlink" Target="https://bg.wikipedia.org/wiki/%D0%A4%D0%B5%D0%B2%D1%80%D1%83%D0%B0%D1%80%D0%B8" TargetMode="External"/><Relationship Id="rId76" Type="http://schemas.openxmlformats.org/officeDocument/2006/relationships/hyperlink" Target="https://bg.wikipedia.org/wiki/%D0%9D%D0%B0%D1%87%D0%B0%D0%BB%D0%BD%D0%B0_%D1%81%D1%82%D1%80%D0%B0%D0%BD%D0%B8%D1%86%D0%B0" TargetMode="External"/><Relationship Id="rId97" Type="http://schemas.openxmlformats.org/officeDocument/2006/relationships/hyperlink" Target="https://www.wikidata.org/wiki/Q12283191" TargetMode="External"/><Relationship Id="rId104" Type="http://schemas.openxmlformats.org/officeDocument/2006/relationships/hyperlink" Target="http://www1.znam.bg/zmonres/edu/geografia%2010/EUK/UNIT2/unit4.htm" TargetMode="External"/><Relationship Id="rId7" Type="http://schemas.openxmlformats.org/officeDocument/2006/relationships/image" Target="media/image2.gif"/><Relationship Id="rId71" Type="http://schemas.openxmlformats.org/officeDocument/2006/relationships/hyperlink" Target="https://bg.wikipedia.org/w/index.php?title=%D0%91%D0%B5%D1%81%D0%B5%D0%B4%D0%B0:%D0%9A%D0%BB%D0%B8%D0%BC%D0%B0%D1%82%D0%B8%D1%87%D0%BD%D0%B8_%D0%BE%D0%B1%D0%BB%D0%B0%D1%81%D1%82%D0%B8_%D0%B2_%D0%91%D1%8A%D0%BB%D0%B3%D0%B0%D1%80%D0%B8%D1%8F&amp;action=edit&amp;redlink=1" TargetMode="External"/><Relationship Id="rId92" Type="http://schemas.openxmlformats.org/officeDocument/2006/relationships/hyperlink" Target="https://bg.wikipedia.org/wiki/%D0%A1%D0%BF%D0%B5%D1%86%D0%B8%D0%B0%D0%BB%D0%BD%D0%B8:%D0%A1%D0%B2%D1%8A%D1%80%D0%B7%D0%B0%D0%BD%D0%B8_%D0%BF%D1%80%D0%BE%D0%BC%D0%B5%D0%BD%D0%B8/%D0%9A%D0%BB%D0%B8%D0%BC%D0%B0%D1%82%D0%B8%D1%87%D0%BD%D0%B8_%D0%BE%D0%B1%D0%BB%D0%B0%D1%81%D1%82%D0%B8_%D0%B2_%D0%91%D1%8A%D0%BB%D0%B3%D0%B0%D1%80%D0%B8%D1%8F" TargetMode="External"/><Relationship Id="rId2" Type="http://schemas.openxmlformats.org/officeDocument/2006/relationships/styles" Target="styles.xml"/><Relationship Id="rId29" Type="http://schemas.openxmlformats.org/officeDocument/2006/relationships/hyperlink" Target="http://meteorology.meteo.bg/" TargetMode="External"/><Relationship Id="rId24" Type="http://schemas.openxmlformats.org/officeDocument/2006/relationships/hyperlink" Target="http://www.mzh.government.bg/mzh/bg/Documents/AgrarenDoklad.aspx" TargetMode="External"/><Relationship Id="rId40" Type="http://schemas.openxmlformats.org/officeDocument/2006/relationships/hyperlink" Target="https://eea.government.bg/bg/soer/2012/climate/climate1" TargetMode="External"/><Relationship Id="rId45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66" Type="http://schemas.openxmlformats.org/officeDocument/2006/relationships/hyperlink" Target="https://bg.wikipedia.org/wiki/%D0%A1%D0%BF%D0%B5%D1%86%D0%B8%D0%B0%D0%BB%D0%BD%D0%B8:%D0%9C%D0%BE%D1%8F%D1%82%D0%B0_%D0%B1%D0%B5%D1%81%D0%B5%D0%B4%D0%B0" TargetMode="External"/><Relationship Id="rId87" Type="http://schemas.openxmlformats.org/officeDocument/2006/relationships/hyperlink" Target="https://bg.wikipedia.org/wiki/%D0%A3%D0%B8%D0%BA%D0%B8%D0%BF%D0%B5%D0%B4%D0%B8%D1%8F:%D0%A0%D0%B0%D0%B7%D0%B3%D0%BE%D0%B2%D0%BE%D1%80%D0%B8" TargetMode="External"/><Relationship Id="rId61" Type="http://schemas.openxmlformats.org/officeDocument/2006/relationships/hyperlink" Target="https://bg.wikipedia.org/wiki/%D0%A1%D0%BF%D0%B8%D1%81%D1%8A%D0%BA_%D0%BD%D0%B0_%D0%B7%D0%B5%D0%BC%D0%B5%D0%B4%D0%B5%D0%BB%D1%81%D0%BA%D0%B8_%D1%82%D0%B5%D0%BC%D0%B8" TargetMode="External"/><Relationship Id="rId82" Type="http://schemas.openxmlformats.org/officeDocument/2006/relationships/hyperlink" Target="https://bg.wikipedia.org/wiki/%D0%A3%D0%B8%D0%BA%D0%B8%D0%BF%D0%B5%D0%B4%D0%B8%D1%8F:%D0%9A%D0%BE%D0%B9_%D1%81%D1%8A%D0%B7%D0%B4%D0%B0%D0%B2%D0%B0_%D0%A3%D0%B8%D0%BA%D0%B8%D0%BF%D0%B5%D0%B4%D0%B8%D1%8F" TargetMode="External"/><Relationship Id="rId19" Type="http://schemas.openxmlformats.org/officeDocument/2006/relationships/hyperlink" Target="https://eea.government.bg/bg/soer/2012/land-use/sastoyanie-na-pochvite" TargetMode="External"/><Relationship Id="rId14" Type="http://schemas.openxmlformats.org/officeDocument/2006/relationships/hyperlink" Target="https://eea.government.bg/bg/soer/2012/land-use/sastoyanie-na-pochvite" TargetMode="External"/><Relationship Id="rId30" Type="http://schemas.openxmlformats.org/officeDocument/2006/relationships/hyperlink" Target="http://www.fao.org/docrep/t1765e/t1765e0e.htm" TargetMode="External"/><Relationship Id="rId35" Type="http://schemas.openxmlformats.org/officeDocument/2006/relationships/hyperlink" Target="https://eea.government.bg/bg/soer/2012/land-use/sastoyanie-na-pochvite" TargetMode="External"/><Relationship Id="rId56" Type="http://schemas.openxmlformats.org/officeDocument/2006/relationships/hyperlink" Target="https://bg.wikipedia.org/wiki/%D0%AE%D0%BD%D0%B8" TargetMode="External"/><Relationship Id="rId77" Type="http://schemas.openxmlformats.org/officeDocument/2006/relationships/hyperlink" Target="https://bg.wikipedia.org/wiki/%D0%A1%D0%BF%D0%B5%D1%86%D0%B8%D0%B0%D0%BB%D0%BD%D0%B8:%D0%A1%D0%BB%D1%83%D1%87%D0%B0%D0%B9%D0%BD%D0%B0_%D1%81%D1%82%D1%80%D0%B0%D0%BD%D0%B8%D1%86%D0%B0" TargetMode="External"/><Relationship Id="rId100" Type="http://schemas.openxmlformats.org/officeDocument/2006/relationships/hyperlink" Target="https://www.wikidata.org/wiki/Q12283191" TargetMode="External"/><Relationship Id="rId105" Type="http://schemas.openxmlformats.org/officeDocument/2006/relationships/hyperlink" Target="http://www.adameurope.eu/prj/11393/prj/%D0%9A%D0%BB%D0%B8%D0%BC%D0%B0%D1%82%D0%B8%D1%87%D0%BD%D0%B0%20%D1%85%D0%B0%D1%80%D0%B0%D0%BA%D1%82%D0%B5%D1%80%D0%B8%D1%81%D1%82%D0%B8%D0%BA%D0%B0%20%D0%B8%20%D0%BF%D1%80%D0%BE%D0%B3%D0%BD%D0%BE%D0%B7%D0%B0.pdf" TargetMode="External"/><Relationship Id="rId8" Type="http://schemas.openxmlformats.org/officeDocument/2006/relationships/hyperlink" Target="https://eea.government.bg/bg/soer/2012/land-use/sastoyanie-na-pochvite" TargetMode="External"/><Relationship Id="rId51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72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93" Type="http://schemas.openxmlformats.org/officeDocument/2006/relationships/hyperlink" Target="https://bg.wikipedia.org/wiki/MediaWiki:Uploadtext" TargetMode="External"/><Relationship Id="rId98" Type="http://schemas.openxmlformats.org/officeDocument/2006/relationships/hyperlink" Target="https://bg.wikipedia.org/w/index.php?title=%D0%A1%D0%BF%D0%B5%D1%86%D0%B8%D0%B0%D0%BB%D0%BD%D0%B8:%D0%A6%D0%B8%D1%82%D0%B8%D1%80%D0%B0%D0%BD%D0%B5&amp;page=%D0%9A%D0%BB%D0%B8%D0%BC%D0%B0%D1%82%D0%B8%D1%87%D0%BD%D0%B8_%D0%BE%D0%B1%D0%BB%D0%B0%D1%81%D1%82%D0%B8_%D0%B2_%D0%91%D1%8A%D0%BB%D0%B3%D0%B0%D1%80%D0%B8%D1%8F&amp;id=7580655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mzh.government.bg/mzh/bg/Documents/AgrarenDoklad.aspx" TargetMode="External"/><Relationship Id="rId46" Type="http://schemas.openxmlformats.org/officeDocument/2006/relationships/hyperlink" Target="https://bg.wikipedia.org/wiki/%D0%9A%D0%BB%D0%B8%D0%BC%D0%B0%D1%82%D0%B8%D1%87%D0%BD%D0%B8_%D0%BE%D0%B1%D0%BB%D0%B0%D1%81%D1%82%D0%B8_%D0%B2_%D0%91%D1%8A%D0%BB%D0%B3%D0%B0%D1%80%D0%B8%D1%8F" TargetMode="External"/><Relationship Id="rId67" Type="http://schemas.openxmlformats.org/officeDocument/2006/relationships/hyperlink" Target="https://bg.wikipedia.org/wiki/%D0%A1%D0%BF%D0%B5%D1%86%D0%B8%D0%B0%D0%BB%D0%BD%D0%B8:%D0%9C%D0%BE%D0%B8%D1%82%D0%B5_%D0%BF%D1%80%D0%B8%D0%BD%D0%BE%D1%81%D0%B8" TargetMode="External"/><Relationship Id="rId20" Type="http://schemas.openxmlformats.org/officeDocument/2006/relationships/image" Target="media/image8.gif"/><Relationship Id="rId41" Type="http://schemas.openxmlformats.org/officeDocument/2006/relationships/image" Target="media/image13.gif"/><Relationship Id="rId62" Type="http://schemas.openxmlformats.org/officeDocument/2006/relationships/hyperlink" Target="https://bg.wikipedia.org/wiki/%D0%9A%D0%BB%D0%B8%D0%BC%D0%B0%D1%82%D0%BE%D0%B3%D1%80%D0%B0%D0%BC%D0%B8" TargetMode="External"/><Relationship Id="rId83" Type="http://schemas.openxmlformats.org/officeDocument/2006/relationships/hyperlink" Target="https://bg.wikipedia.org/wiki/%D0%A3%D0%B8%D0%BA%D0%B8%D0%BF%D0%B5%D0%B4%D0%B8%D1%8F:%D0%9F%D1%8F%D1%81%D1%8A%D1%87%D0%BD%D0%B8%D0%BA" TargetMode="External"/><Relationship Id="rId88" Type="http://schemas.openxmlformats.org/officeDocument/2006/relationships/hyperlink" Target="https://bg.wikipedia.org/w/index.php?title=%D0%A1%D0%BF%D0%B5%D1%86%D0%B8%D0%B0%D0%BB%D0%BD%D0%B8:Book&amp;bookcmd=book_creator&amp;referer=%D0%9A%D0%BB%D0%B8%D0%BC%D0%B0%D1%82%D0%B8%D1%87%D0%BD%D0%B8+%D0%BE%D0%B1%D0%BB%D0%B0%D1%81%D1%82%D0%B8+%D0%B2+%D0%91%D1%8A%D0%BB%D0%B3%D0%B0%D1%80%D0%B8%D1%8F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29</Pages>
  <Words>8988</Words>
  <Characters>51234</Characters>
  <Application>Microsoft Office Word</Application>
  <DocSecurity>0</DocSecurity>
  <Lines>426</Lines>
  <Paragraphs>120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</dc:creator>
  <cp:lastModifiedBy>Stela</cp:lastModifiedBy>
  <cp:revision>12</cp:revision>
  <dcterms:created xsi:type="dcterms:W3CDTF">2017-04-13T16:09:00Z</dcterms:created>
  <dcterms:modified xsi:type="dcterms:W3CDTF">2017-04-13T17:06:00Z</dcterms:modified>
</cp:coreProperties>
</file>