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23" w:rsidRPr="00A67454" w:rsidRDefault="00B21123">
      <w:pPr>
        <w:rPr>
          <w:rFonts w:ascii="Times New Roman" w:hAnsi="Times New Roman" w:cs="Times New Roman"/>
          <w:sz w:val="24"/>
          <w:szCs w:val="24"/>
        </w:rPr>
      </w:pPr>
    </w:p>
    <w:p w:rsidR="00BC6200" w:rsidRPr="0016093B" w:rsidRDefault="00A67454" w:rsidP="00A67454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377F4">
        <w:rPr>
          <w:rFonts w:ascii="Times New Roman" w:hAnsi="Times New Roman" w:cs="Times New Roman"/>
          <w:sz w:val="24"/>
          <w:szCs w:val="24"/>
        </w:rPr>
        <w:t xml:space="preserve">  </w:t>
      </w:r>
      <w:r w:rsidR="00B4386A" w:rsidRPr="00A67454">
        <w:rPr>
          <w:rFonts w:ascii="Times New Roman" w:hAnsi="Times New Roman" w:cs="Times New Roman"/>
          <w:sz w:val="24"/>
          <w:szCs w:val="24"/>
        </w:rPr>
        <w:t xml:space="preserve">Използвани са данни </w:t>
      </w:r>
      <w:r w:rsidR="005978A8">
        <w:rPr>
          <w:rFonts w:ascii="Times New Roman" w:hAnsi="Times New Roman" w:cs="Times New Roman"/>
          <w:sz w:val="24"/>
          <w:szCs w:val="24"/>
        </w:rPr>
        <w:t>в световен мащаб за констатирани огнища</w:t>
      </w:r>
      <w:r w:rsidR="00BC6200" w:rsidRPr="00A6745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BC6200" w:rsidRPr="00F22D29">
        <w:rPr>
          <w:rFonts w:ascii="Times New Roman" w:hAnsi="Times New Roman" w:cs="Times New Roman"/>
          <w:i/>
          <w:sz w:val="24"/>
          <w:szCs w:val="24"/>
          <w:lang w:val="en-US"/>
        </w:rPr>
        <w:t>Aethina</w:t>
      </w:r>
      <w:proofErr w:type="spellEnd"/>
      <w:r w:rsidR="00BC6200" w:rsidRPr="00F22D2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B4386A" w:rsidRPr="00F22D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C6200" w:rsidRPr="00F22D29">
        <w:rPr>
          <w:rFonts w:ascii="Times New Roman" w:hAnsi="Times New Roman" w:cs="Times New Roman"/>
          <w:i/>
          <w:sz w:val="24"/>
          <w:szCs w:val="24"/>
          <w:lang w:val="en-US"/>
        </w:rPr>
        <w:t>tumida</w:t>
      </w:r>
      <w:proofErr w:type="spellEnd"/>
      <w:r w:rsidR="00BC6200" w:rsidRPr="00A67454">
        <w:rPr>
          <w:rFonts w:ascii="Times New Roman" w:hAnsi="Times New Roman" w:cs="Times New Roman"/>
          <w:sz w:val="24"/>
          <w:szCs w:val="24"/>
        </w:rPr>
        <w:t xml:space="preserve"> </w:t>
      </w:r>
      <w:r w:rsidR="00B4386A" w:rsidRPr="00A67454">
        <w:rPr>
          <w:rFonts w:ascii="Times New Roman" w:hAnsi="Times New Roman" w:cs="Times New Roman"/>
          <w:sz w:val="24"/>
          <w:szCs w:val="24"/>
        </w:rPr>
        <w:t xml:space="preserve"> от </w:t>
      </w:r>
      <w:r w:rsidR="00B4386A" w:rsidRPr="00F22D29">
        <w:rPr>
          <w:rFonts w:ascii="Times New Roman" w:hAnsi="Times New Roman" w:cs="Times New Roman"/>
          <w:i/>
          <w:sz w:val="24"/>
          <w:szCs w:val="24"/>
          <w:lang w:val="en-US"/>
        </w:rPr>
        <w:t>OIE</w:t>
      </w:r>
      <w:r w:rsidR="00DD3C30">
        <w:rPr>
          <w:rFonts w:ascii="Times New Roman" w:hAnsi="Times New Roman" w:cs="Times New Roman"/>
          <w:i/>
          <w:sz w:val="24"/>
          <w:szCs w:val="24"/>
        </w:rPr>
        <w:t xml:space="preserve"> на адрес </w:t>
      </w:r>
      <w:r w:rsidR="00DD3C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hyperlink r:id="rId6" w:history="1">
        <w:r w:rsidR="00DD3C30" w:rsidRPr="00DD3C3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www.oie.int</w:t>
        </w:r>
      </w:hyperlink>
      <w:r w:rsidR="00B4386A" w:rsidRPr="00A67454">
        <w:rPr>
          <w:rFonts w:ascii="Times New Roman" w:hAnsi="Times New Roman" w:cs="Times New Roman"/>
          <w:sz w:val="24"/>
          <w:szCs w:val="24"/>
        </w:rPr>
        <w:t xml:space="preserve">, като местоположението </w:t>
      </w:r>
      <w:r w:rsidR="00DD3C30">
        <w:rPr>
          <w:rFonts w:ascii="Times New Roman" w:hAnsi="Times New Roman" w:cs="Times New Roman"/>
          <w:sz w:val="24"/>
          <w:szCs w:val="24"/>
        </w:rPr>
        <w:t xml:space="preserve">на огнищата в Италия е взето от таблични данни на извършени наблюдения от  </w:t>
      </w:r>
      <w:r w:rsidR="002B2A93">
        <w:rPr>
          <w:rFonts w:ascii="Times New Roman" w:hAnsi="Times New Roman" w:cs="Times New Roman"/>
          <w:sz w:val="24"/>
          <w:szCs w:val="24"/>
        </w:rPr>
        <w:t>Експерименталния</w:t>
      </w:r>
      <w:r w:rsidR="002B2A93" w:rsidRPr="002B2A93">
        <w:rPr>
          <w:rFonts w:ascii="Times New Roman" w:hAnsi="Times New Roman" w:cs="Times New Roman"/>
          <w:sz w:val="24"/>
          <w:szCs w:val="24"/>
        </w:rPr>
        <w:t xml:space="preserve"> профилактичен зоологически институт на Венеция</w:t>
      </w:r>
      <w:r w:rsidR="002B2A93">
        <w:rPr>
          <w:rFonts w:ascii="Times New Roman" w:hAnsi="Times New Roman" w:cs="Times New Roman"/>
          <w:sz w:val="24"/>
          <w:szCs w:val="24"/>
        </w:rPr>
        <w:t xml:space="preserve"> -</w:t>
      </w:r>
      <w:r w:rsidR="002B2A93" w:rsidRPr="002B2A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A93" w:rsidRPr="002B2A93">
        <w:rPr>
          <w:rStyle w:val="a7"/>
          <w:rFonts w:ascii="Times New Roman" w:hAnsi="Times New Roman" w:cs="Times New Roman"/>
          <w:b w:val="0"/>
          <w:sz w:val="24"/>
          <w:szCs w:val="24"/>
        </w:rPr>
        <w:t>Istituto</w:t>
      </w:r>
      <w:proofErr w:type="spellEnd"/>
      <w:r w:rsidR="002B2A93" w:rsidRPr="002B2A93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2B2A93" w:rsidRPr="002B2A93">
        <w:rPr>
          <w:rStyle w:val="a7"/>
          <w:rFonts w:ascii="Times New Roman" w:hAnsi="Times New Roman" w:cs="Times New Roman"/>
          <w:b w:val="0"/>
          <w:sz w:val="24"/>
          <w:szCs w:val="24"/>
        </w:rPr>
        <w:t>Zooprofilattico</w:t>
      </w:r>
      <w:proofErr w:type="spellEnd"/>
      <w:r w:rsidR="002B2A93" w:rsidRPr="002B2A93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2B2A93" w:rsidRPr="002B2A93">
        <w:rPr>
          <w:rStyle w:val="a7"/>
          <w:rFonts w:ascii="Times New Roman" w:hAnsi="Times New Roman" w:cs="Times New Roman"/>
          <w:b w:val="0"/>
          <w:sz w:val="24"/>
          <w:szCs w:val="24"/>
        </w:rPr>
        <w:t>Sperimentale</w:t>
      </w:r>
      <w:proofErr w:type="spellEnd"/>
      <w:r w:rsidR="002B2A93" w:rsidRPr="002B2A93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2B2A93" w:rsidRPr="002B2A93">
        <w:rPr>
          <w:rStyle w:val="a7"/>
          <w:rFonts w:ascii="Times New Roman" w:hAnsi="Times New Roman" w:cs="Times New Roman"/>
          <w:b w:val="0"/>
          <w:sz w:val="24"/>
          <w:szCs w:val="24"/>
        </w:rPr>
        <w:t>delle</w:t>
      </w:r>
      <w:proofErr w:type="spellEnd"/>
      <w:r w:rsidR="002B2A93" w:rsidRPr="002B2A93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2B2A93" w:rsidRPr="002B2A93">
        <w:rPr>
          <w:rStyle w:val="a7"/>
          <w:rFonts w:ascii="Times New Roman" w:hAnsi="Times New Roman" w:cs="Times New Roman"/>
          <w:b w:val="0"/>
          <w:sz w:val="24"/>
          <w:szCs w:val="24"/>
        </w:rPr>
        <w:t>Venezie</w:t>
      </w:r>
      <w:proofErr w:type="spellEnd"/>
      <w:r w:rsidR="00B4386A" w:rsidRPr="00A6745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22D29">
        <w:rPr>
          <w:rFonts w:ascii="Times New Roman" w:hAnsi="Times New Roman" w:cs="Times New Roman"/>
          <w:sz w:val="24"/>
          <w:szCs w:val="24"/>
        </w:rPr>
        <w:t>П</w:t>
      </w:r>
      <w:r w:rsidR="005978A8">
        <w:rPr>
          <w:rFonts w:ascii="Times New Roman" w:hAnsi="Times New Roman" w:cs="Times New Roman"/>
          <w:sz w:val="24"/>
          <w:szCs w:val="24"/>
        </w:rPr>
        <w:t xml:space="preserve">осочените  огнища </w:t>
      </w:r>
      <w:r w:rsidRPr="00A67454">
        <w:rPr>
          <w:rFonts w:ascii="Times New Roman" w:hAnsi="Times New Roman" w:cs="Times New Roman"/>
          <w:sz w:val="24"/>
          <w:szCs w:val="24"/>
        </w:rPr>
        <w:t xml:space="preserve"> на наблюдение на </w:t>
      </w:r>
      <w:r w:rsidR="00BC6200" w:rsidRPr="00A674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29">
        <w:rPr>
          <w:rFonts w:ascii="Times New Roman" w:hAnsi="Times New Roman" w:cs="Times New Roman"/>
          <w:i/>
          <w:sz w:val="24"/>
          <w:szCs w:val="24"/>
          <w:lang w:val="en-US"/>
        </w:rPr>
        <w:t>Aethina</w:t>
      </w:r>
      <w:proofErr w:type="spellEnd"/>
      <w:r w:rsidRPr="00F22D2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22D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22D29">
        <w:rPr>
          <w:rFonts w:ascii="Times New Roman" w:hAnsi="Times New Roman" w:cs="Times New Roman"/>
          <w:i/>
          <w:sz w:val="24"/>
          <w:szCs w:val="24"/>
          <w:lang w:val="en-US"/>
        </w:rPr>
        <w:t>tumida</w:t>
      </w:r>
      <w:proofErr w:type="spellEnd"/>
      <w:r w:rsidR="00F22D29">
        <w:rPr>
          <w:rFonts w:ascii="Times New Roman" w:hAnsi="Times New Roman" w:cs="Times New Roman"/>
          <w:sz w:val="24"/>
          <w:szCs w:val="24"/>
        </w:rPr>
        <w:t xml:space="preserve">, </w:t>
      </w:r>
      <w:r w:rsidR="00F22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2D29">
        <w:rPr>
          <w:rFonts w:ascii="Times New Roman" w:hAnsi="Times New Roman" w:cs="Times New Roman"/>
          <w:sz w:val="24"/>
          <w:szCs w:val="24"/>
        </w:rPr>
        <w:t xml:space="preserve">чрез  </w:t>
      </w:r>
      <w:proofErr w:type="spellStart"/>
      <w:r w:rsidR="00F22D29" w:rsidRPr="00F22D29">
        <w:rPr>
          <w:rStyle w:val="notranslate"/>
          <w:rFonts w:ascii="Times New Roman" w:hAnsi="Times New Roman" w:cs="Times New Roman"/>
          <w:i/>
          <w:sz w:val="24"/>
          <w:szCs w:val="24"/>
        </w:rPr>
        <w:t>Latlong</w:t>
      </w:r>
      <w:proofErr w:type="spellEnd"/>
      <w:r w:rsidR="00F22D29" w:rsidRPr="00F22D29">
        <w:rPr>
          <w:rStyle w:val="notranslate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F22D29" w:rsidRPr="00F22D29">
        <w:rPr>
          <w:rStyle w:val="notranslate"/>
          <w:rFonts w:ascii="Times New Roman" w:hAnsi="Times New Roman" w:cs="Times New Roman"/>
          <w:i/>
          <w:sz w:val="24"/>
          <w:szCs w:val="24"/>
        </w:rPr>
        <w:t>net</w:t>
      </w:r>
      <w:proofErr w:type="spellEnd"/>
      <w:r w:rsidR="00F22D29">
        <w:rPr>
          <w:rStyle w:val="notranslate"/>
          <w:rFonts w:ascii="Times New Roman" w:hAnsi="Times New Roman" w:cs="Times New Roman"/>
          <w:sz w:val="24"/>
          <w:szCs w:val="24"/>
        </w:rPr>
        <w:t xml:space="preserve"> </w:t>
      </w:r>
      <w:r w:rsidR="00F22D29">
        <w:rPr>
          <w:rStyle w:val="notranslate"/>
          <w:rFonts w:ascii="Times New Roman" w:hAnsi="Times New Roman" w:cs="Times New Roman"/>
          <w:sz w:val="24"/>
          <w:szCs w:val="24"/>
          <w:lang w:val="en-US"/>
        </w:rPr>
        <w:t>-</w:t>
      </w:r>
      <w:r w:rsidR="00F22D29" w:rsidRPr="00F22D29">
        <w:rPr>
          <w:rStyle w:val="notranslate"/>
          <w:rFonts w:ascii="Times New Roman" w:hAnsi="Times New Roman" w:cs="Times New Roman"/>
          <w:sz w:val="24"/>
          <w:szCs w:val="24"/>
        </w:rPr>
        <w:t xml:space="preserve"> </w:t>
      </w:r>
      <w:r w:rsidR="00F22D29" w:rsidRPr="00F22D29">
        <w:rPr>
          <w:rStyle w:val="a6"/>
          <w:rFonts w:ascii="Times New Roman" w:hAnsi="Times New Roman" w:cs="Times New Roman"/>
          <w:i w:val="0"/>
          <w:sz w:val="24"/>
          <w:szCs w:val="24"/>
        </w:rPr>
        <w:t>онлайн географски инструмент</w:t>
      </w:r>
      <w:r w:rsidR="00F22D29" w:rsidRPr="00F22D29">
        <w:rPr>
          <w:rStyle w:val="a6"/>
          <w:rFonts w:ascii="Times New Roman" w:hAnsi="Times New Roman" w:cs="Times New Roman"/>
          <w:sz w:val="24"/>
          <w:szCs w:val="24"/>
        </w:rPr>
        <w:t>,</w:t>
      </w:r>
      <w:r w:rsidR="00F22D29">
        <w:rPr>
          <w:rStyle w:val="notranslate"/>
          <w:rFonts w:ascii="Times New Roman" w:hAnsi="Times New Roman" w:cs="Times New Roman"/>
          <w:sz w:val="24"/>
          <w:szCs w:val="24"/>
        </w:rPr>
        <w:t xml:space="preserve"> който</w:t>
      </w:r>
      <w:r w:rsidR="00F22D29" w:rsidRPr="00F22D29">
        <w:rPr>
          <w:rStyle w:val="notranslate"/>
          <w:rFonts w:ascii="Times New Roman" w:hAnsi="Times New Roman" w:cs="Times New Roman"/>
          <w:sz w:val="24"/>
          <w:szCs w:val="24"/>
        </w:rPr>
        <w:t xml:space="preserve"> се използва за </w:t>
      </w:r>
      <w:r w:rsidR="00F22D29" w:rsidRPr="00F22D29">
        <w:rPr>
          <w:rStyle w:val="a7"/>
          <w:rFonts w:ascii="Times New Roman" w:hAnsi="Times New Roman" w:cs="Times New Roman"/>
          <w:sz w:val="24"/>
          <w:szCs w:val="24"/>
        </w:rPr>
        <w:t>търсене на географска ширина и дължина на дадено място</w:t>
      </w:r>
      <w:r w:rsidR="00F22D29">
        <w:rPr>
          <w:rStyle w:val="notranslate"/>
          <w:rFonts w:ascii="Times New Roman" w:hAnsi="Times New Roman" w:cs="Times New Roman"/>
          <w:sz w:val="24"/>
          <w:szCs w:val="24"/>
        </w:rPr>
        <w:t xml:space="preserve"> и  получаване на </w:t>
      </w:r>
      <w:r w:rsidR="00F22D29" w:rsidRPr="00F22D29">
        <w:rPr>
          <w:rStyle w:val="notranslate"/>
          <w:rFonts w:ascii="Times New Roman" w:hAnsi="Times New Roman" w:cs="Times New Roman"/>
          <w:sz w:val="24"/>
          <w:szCs w:val="24"/>
        </w:rPr>
        <w:t xml:space="preserve"> координатите му на картата</w:t>
      </w:r>
      <w:r w:rsidR="00F22D29">
        <w:rPr>
          <w:rStyle w:val="notranslate"/>
          <w:rFonts w:ascii="Times New Roman" w:hAnsi="Times New Roman" w:cs="Times New Roman"/>
          <w:sz w:val="24"/>
          <w:szCs w:val="24"/>
        </w:rPr>
        <w:t xml:space="preserve"> - </w:t>
      </w:r>
      <w:hyperlink r:id="rId7" w:history="1">
        <w:r w:rsidR="000A50CB" w:rsidRPr="004A5DD0">
          <w:rPr>
            <w:rStyle w:val="a5"/>
            <w:rFonts w:ascii="Times New Roman" w:hAnsi="Times New Roman" w:cs="Times New Roman"/>
            <w:sz w:val="24"/>
            <w:szCs w:val="24"/>
          </w:rPr>
          <w:t>https://www.latlong.net</w:t>
        </w:r>
      </w:hyperlink>
      <w:r w:rsidR="000A50C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67454">
        <w:rPr>
          <w:rFonts w:ascii="Times New Roman" w:hAnsi="Times New Roman" w:cs="Times New Roman"/>
          <w:sz w:val="24"/>
          <w:szCs w:val="24"/>
        </w:rPr>
        <w:t>са определени географската ширина и дължина, данните са трансформирани с програмата</w:t>
      </w:r>
      <w:r w:rsidRPr="00A674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7454">
        <w:rPr>
          <w:rFonts w:ascii="Times New Roman" w:hAnsi="Times New Roman" w:cs="Times New Roman"/>
          <w:sz w:val="24"/>
          <w:szCs w:val="24"/>
        </w:rPr>
        <w:t xml:space="preserve"> </w:t>
      </w:r>
      <w:r w:rsidRPr="00A67454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A67454">
        <w:rPr>
          <w:rFonts w:ascii="Times New Roman" w:hAnsi="Times New Roman" w:cs="Times New Roman"/>
          <w:sz w:val="24"/>
          <w:szCs w:val="24"/>
        </w:rPr>
        <w:t xml:space="preserve">, като са взети и данни за 84 наблюдения на вида от </w:t>
      </w:r>
      <w:hyperlink r:id="rId8" w:history="1">
        <w:r w:rsidRPr="00A6745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www.gbif.org</w:t>
        </w:r>
      </w:hyperlink>
      <w:r w:rsidRPr="00A67454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Pr="00A67454">
        <w:rPr>
          <w:rFonts w:ascii="Times New Roman" w:hAnsi="Times New Roman" w:cs="Times New Roman"/>
          <w:sz w:val="24"/>
          <w:szCs w:val="24"/>
        </w:rPr>
        <w:t>Модела по който се моделира екологичната ниша на вида  се нарича</w:t>
      </w:r>
      <w:r>
        <w:t xml:space="preserve">  </w:t>
      </w:r>
      <w:proofErr w:type="spellStart"/>
      <w:r w:rsidRPr="00A6745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bg-BG"/>
        </w:rPr>
        <w:t>Maxent</w:t>
      </w:r>
      <w:proofErr w:type="spellEnd"/>
      <w:r w:rsidRPr="00A6745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bg-BG"/>
        </w:rPr>
        <w:t xml:space="preserve"> </w:t>
      </w:r>
      <w:proofErr w:type="spellStart"/>
      <w:r w:rsidRPr="00A6745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bg-BG"/>
        </w:rPr>
        <w:t>model</w:t>
      </w:r>
      <w:proofErr w:type="spellEnd"/>
      <w:r w:rsidR="003377F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bg-BG"/>
        </w:rPr>
        <w:t xml:space="preserve"> </w:t>
      </w:r>
      <w:r w:rsidR="003377F4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bg-BG"/>
        </w:rPr>
        <w:t xml:space="preserve">– модел на максималната ентропия, като се търси плътността на разпространение на вида на базата на данните. Местонаходищата се съпоставят с климата, като прогнозата се базира на климатичните фактори. В случая са включени средна годишна температура, минимална и максимална годишни температури, както и средно годишни валежи, минимални и максимални годишни валежи от 19 променливи взети от </w:t>
      </w:r>
      <w:hyperlink r:id="rId9" w:history="1">
        <w:r w:rsidR="003377F4" w:rsidRPr="004313EC">
          <w:rPr>
            <w:rStyle w:val="a5"/>
            <w:rFonts w:ascii="Times New Roman" w:eastAsia="Times New Roman" w:hAnsi="Times New Roman" w:cs="Times New Roman"/>
            <w:bCs/>
            <w:kern w:val="36"/>
            <w:sz w:val="24"/>
            <w:szCs w:val="24"/>
            <w:lang w:val="en-US" w:eastAsia="bg-BG"/>
          </w:rPr>
          <w:t>www.worldclim.org</w:t>
        </w:r>
      </w:hyperlink>
      <w:r w:rsidR="003377F4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bg-BG"/>
        </w:rPr>
        <w:t xml:space="preserve">. </w:t>
      </w:r>
      <w:proofErr w:type="spellStart"/>
      <w:r w:rsidR="003377F4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bg-BG"/>
        </w:rPr>
        <w:t>Биоклиматичните</w:t>
      </w:r>
      <w:proofErr w:type="spellEnd"/>
      <w:r w:rsidR="003377F4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bg-BG"/>
        </w:rPr>
        <w:t xml:space="preserve"> променливи са преформатирани за програмата </w:t>
      </w:r>
      <w:proofErr w:type="spellStart"/>
      <w:r w:rsidR="003377F4" w:rsidRPr="00A6745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bg-BG"/>
        </w:rPr>
        <w:t>Maxent</w:t>
      </w:r>
      <w:proofErr w:type="spellEnd"/>
      <w:r w:rsidR="003377F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bg-BG"/>
        </w:rPr>
        <w:t xml:space="preserve"> </w:t>
      </w:r>
      <w:r w:rsidR="0016093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bg-BG"/>
        </w:rPr>
        <w:t xml:space="preserve">с </w:t>
      </w:r>
      <w:r w:rsidR="0016093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bg-BG"/>
        </w:rPr>
        <w:t xml:space="preserve">GIS. </w:t>
      </w:r>
      <w:r w:rsidR="001609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bg-BG"/>
        </w:rPr>
        <w:t>Цветовете на диаграмата могат да се интерпретират като добри или лоши условия от  0 до 1 – интуитивна интерпретация.</w:t>
      </w:r>
    </w:p>
    <w:p w:rsidR="00996FBD" w:rsidRPr="00996FBD" w:rsidRDefault="00B4386A" w:rsidP="00B438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  <w:t xml:space="preserve">         </w:t>
      </w:r>
      <w:proofErr w:type="spellStart"/>
      <w:r w:rsidR="00E8099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  <w:t>Maxent</w:t>
      </w:r>
      <w:proofErr w:type="spellEnd"/>
      <w:r w:rsidR="00E8099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  <w:t xml:space="preserve"> </w:t>
      </w:r>
      <w:proofErr w:type="spellStart"/>
      <w:r w:rsidR="00E8099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  <w:t>model</w:t>
      </w:r>
      <w:proofErr w:type="spellEnd"/>
      <w:r w:rsidR="0048769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  <w:t xml:space="preserve"> </w:t>
      </w:r>
      <w:r w:rsidR="00E8099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  <w:t xml:space="preserve"> </w:t>
      </w:r>
      <w:proofErr w:type="spellStart"/>
      <w:r w:rsidR="00E8099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  <w:t>for</w:t>
      </w:r>
      <w:proofErr w:type="spellEnd"/>
      <w:r w:rsidR="00E8099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  <w:t xml:space="preserve"> </w:t>
      </w:r>
      <w:r w:rsidR="00E8099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bg-BG"/>
        </w:rPr>
        <w:t>A</w:t>
      </w:r>
      <w:proofErr w:type="spellStart"/>
      <w:r w:rsidR="00E8099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  <w:t>et</w:t>
      </w:r>
      <w:proofErr w:type="spellEnd"/>
      <w:r w:rsidR="00E8099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bg-BG"/>
        </w:rPr>
        <w:t>h</w:t>
      </w:r>
      <w:proofErr w:type="spellStart"/>
      <w:r w:rsidR="00E8099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  <w:t>ina</w:t>
      </w:r>
      <w:proofErr w:type="spellEnd"/>
      <w:r w:rsidR="00E8099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bg-BG"/>
        </w:rPr>
        <w:t xml:space="preserve"> </w:t>
      </w:r>
      <w:proofErr w:type="spellStart"/>
      <w:r w:rsidR="00996FBD" w:rsidRPr="00996FB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  <w:t>tumida</w:t>
      </w:r>
      <w:proofErr w:type="spellEnd"/>
    </w:p>
    <w:p w:rsidR="00996FBD" w:rsidRPr="004D21B5" w:rsidRDefault="00996FBD" w:rsidP="00996FBD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</w:pPr>
      <w:r w:rsidRPr="00996FB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This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page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contains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some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analysis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of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Maxent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model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for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aetina_tumida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created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Thu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Sep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20 16:25:23 EEST 2018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using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Maxent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version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3.4.1.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If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you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would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like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to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do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further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analyses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raw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data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used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here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linked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to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end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of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this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page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.</w:t>
      </w:r>
    </w:p>
    <w:p w:rsidR="00996FBD" w:rsidRPr="00996FBD" w:rsidRDefault="00996FBD" w:rsidP="00996F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</w:pPr>
      <w:proofErr w:type="spellStart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Analysis</w:t>
      </w:r>
      <w:proofErr w:type="spellEnd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 xml:space="preserve"> of </w:t>
      </w:r>
      <w:proofErr w:type="spellStart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omission</w:t>
      </w:r>
      <w:proofErr w:type="spellEnd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/</w:t>
      </w:r>
      <w:proofErr w:type="spellStart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commission</w:t>
      </w:r>
      <w:proofErr w:type="spellEnd"/>
    </w:p>
    <w:p w:rsidR="002D191B" w:rsidRPr="004D21B5" w:rsidRDefault="00996FBD" w:rsidP="00996FBD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bg-BG"/>
        </w:rPr>
      </w:pP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following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picture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shows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omission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rate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and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predicted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area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a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function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of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cumulative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threshold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omission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rate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calculated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both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training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presence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records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and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(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if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test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data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are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used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)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test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records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omission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rate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should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close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to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predicted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omission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because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of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definition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of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cumulative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threshold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</w:p>
    <w:p w:rsidR="00996FBD" w:rsidRPr="002D191B" w:rsidRDefault="002D191B" w:rsidP="002D1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457B50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Максент</w:t>
      </w:r>
      <w:proofErr w:type="spellEnd"/>
      <w:r w:rsidRPr="00457B50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модел за </w:t>
      </w:r>
      <w:proofErr w:type="spellStart"/>
      <w:r w:rsidRPr="00457B50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Aethina</w:t>
      </w:r>
      <w:proofErr w:type="spellEnd"/>
      <w:r w:rsidRPr="00457B50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</w:t>
      </w:r>
      <w:proofErr w:type="spellStart"/>
      <w:r w:rsidRPr="00457B50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tumida</w:t>
      </w:r>
      <w:proofErr w:type="spellEnd"/>
      <w:r w:rsidRPr="00457B50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br/>
      </w:r>
      <w:r w:rsidRPr="002D191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Тази страница съдъ</w:t>
      </w:r>
      <w:r w:rsidR="00457B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ржа анализ на </w:t>
      </w:r>
      <w:proofErr w:type="spellStart"/>
      <w:r w:rsidR="00457B50">
        <w:rPr>
          <w:rFonts w:ascii="Times New Roman" w:eastAsia="Times New Roman" w:hAnsi="Times New Roman" w:cs="Times New Roman"/>
          <w:sz w:val="24"/>
          <w:szCs w:val="24"/>
          <w:lang w:eastAsia="bg-BG"/>
        </w:rPr>
        <w:t>Maxent</w:t>
      </w:r>
      <w:proofErr w:type="spellEnd"/>
      <w:r w:rsidR="00457B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модела за </w:t>
      </w:r>
      <w:r w:rsidR="00457B50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</w:t>
      </w:r>
      <w:proofErr w:type="spellStart"/>
      <w:r w:rsidRPr="002D191B">
        <w:rPr>
          <w:rFonts w:ascii="Times New Roman" w:eastAsia="Times New Roman" w:hAnsi="Times New Roman" w:cs="Times New Roman"/>
          <w:sz w:val="24"/>
          <w:szCs w:val="24"/>
          <w:lang w:eastAsia="bg-BG"/>
        </w:rPr>
        <w:t>et</w:t>
      </w:r>
      <w:proofErr w:type="spellEnd"/>
      <w:r w:rsidR="00457B50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h</w:t>
      </w:r>
      <w:proofErr w:type="spellStart"/>
      <w:r w:rsidRPr="002D191B">
        <w:rPr>
          <w:rFonts w:ascii="Times New Roman" w:eastAsia="Times New Roman" w:hAnsi="Times New Roman" w:cs="Times New Roman"/>
          <w:sz w:val="24"/>
          <w:szCs w:val="24"/>
          <w:lang w:eastAsia="bg-BG"/>
        </w:rPr>
        <w:t>ina_tumida</w:t>
      </w:r>
      <w:proofErr w:type="spellEnd"/>
      <w:r w:rsidRPr="002D191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създаден </w:t>
      </w:r>
      <w:proofErr w:type="spellStart"/>
      <w:r w:rsidRPr="002D191B">
        <w:rPr>
          <w:rFonts w:ascii="Times New Roman" w:eastAsia="Times New Roman" w:hAnsi="Times New Roman" w:cs="Times New Roman"/>
          <w:sz w:val="24"/>
          <w:szCs w:val="24"/>
          <w:lang w:eastAsia="bg-BG"/>
        </w:rPr>
        <w:t>Thu</w:t>
      </w:r>
      <w:proofErr w:type="spellEnd"/>
      <w:r w:rsidRPr="002D191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D191B">
        <w:rPr>
          <w:rFonts w:ascii="Times New Roman" w:eastAsia="Times New Roman" w:hAnsi="Times New Roman" w:cs="Times New Roman"/>
          <w:sz w:val="24"/>
          <w:szCs w:val="24"/>
          <w:lang w:eastAsia="bg-BG"/>
        </w:rPr>
        <w:t>Sep</w:t>
      </w:r>
      <w:proofErr w:type="spellEnd"/>
      <w:r w:rsidRPr="002D191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20 16:25:23 EEST 2018 използвайки </w:t>
      </w:r>
      <w:proofErr w:type="spellStart"/>
      <w:r w:rsidRPr="002D191B">
        <w:rPr>
          <w:rFonts w:ascii="Times New Roman" w:eastAsia="Times New Roman" w:hAnsi="Times New Roman" w:cs="Times New Roman"/>
          <w:sz w:val="24"/>
          <w:szCs w:val="24"/>
          <w:lang w:eastAsia="bg-BG"/>
        </w:rPr>
        <w:t>Maxent</w:t>
      </w:r>
      <w:proofErr w:type="spellEnd"/>
      <w:r w:rsidRPr="002D191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версия 3.4.1. Ако искате да направите допълнителни анализи, използваните тук сурови данни са свързани към края на тази страница.</w:t>
      </w:r>
      <w:r w:rsidRPr="002D191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Анализ на пропуски / комисионни</w:t>
      </w:r>
      <w:r w:rsidRPr="002D191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Следващата картинка показва процентът на пропуски и прогнозираната площ като функция от кумулативния праг. Процентът на пропуски се изчислява както върху записите за обучение, така и (ако се използват данни от теста) в записите от теста. Процентът на пропуски трябва да бъде близък до прогнозирания пропуск поради дефинирането на кумулативния праг.</w:t>
      </w:r>
      <w:r w:rsidR="00996FBD" w:rsidRPr="00996FB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="00996FBD" w:rsidRPr="00996FBD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inline distT="0" distB="0" distL="0" distR="0" wp14:anchorId="460A9F14" wp14:editId="20858ACC">
                <wp:extent cx="302895" cy="302895"/>
                <wp:effectExtent l="0" t="0" r="0" b="0"/>
                <wp:docPr id="2" name="AutoShape 1" descr="C:\Users\Stela\Desktop\aetina_tumida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 w:rsidR="00996FBD" w:rsidRPr="00996FB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="00273CA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bg-BG"/>
        </w:rPr>
        <w:lastRenderedPageBreak/>
        <w:drawing>
          <wp:inline distT="0" distB="0" distL="0" distR="0" wp14:anchorId="3E2A875B" wp14:editId="00978056">
            <wp:extent cx="4694349" cy="3136005"/>
            <wp:effectExtent l="0" t="0" r="0" b="7620"/>
            <wp:docPr id="7" name="Картина 7" descr="C:\Users\Stela\Desktop\aetina_tumida_o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la\Desktop\aetina_tumida_omis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347" cy="313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FBD" w:rsidRPr="00996FB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</w:p>
    <w:p w:rsidR="00457B50" w:rsidRPr="00457B50" w:rsidRDefault="00457B50" w:rsidP="00457B50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457B50">
        <w:rPr>
          <w:rFonts w:ascii="Times New Roman" w:hAnsi="Times New Roman" w:cs="Times New Roman"/>
          <w:sz w:val="24"/>
          <w:szCs w:val="24"/>
        </w:rPr>
        <w:t>Пропуск и</w:t>
      </w:r>
      <w:r>
        <w:rPr>
          <w:rFonts w:ascii="Times New Roman" w:hAnsi="Times New Roman" w:cs="Times New Roman"/>
          <w:sz w:val="24"/>
          <w:szCs w:val="24"/>
        </w:rPr>
        <w:t xml:space="preserve"> предсказана площ за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Aethina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tumida</w:t>
      </w:r>
      <w:proofErr w:type="spellEnd"/>
      <w:r w:rsidRPr="00457B50">
        <w:rPr>
          <w:rFonts w:ascii="Times New Roman" w:hAnsi="Times New Roman" w:cs="Times New Roman"/>
          <w:sz w:val="24"/>
          <w:szCs w:val="24"/>
        </w:rPr>
        <w:br/>
        <w:t>Фракционна стойност</w:t>
      </w:r>
      <w:r w:rsidRPr="00457B50">
        <w:rPr>
          <w:rFonts w:ascii="Times New Roman" w:hAnsi="Times New Roman" w:cs="Times New Roman"/>
          <w:sz w:val="24"/>
          <w:szCs w:val="24"/>
        </w:rPr>
        <w:br/>
        <w:t>Кумулативен праг</w:t>
      </w:r>
      <w:r w:rsidRPr="00457B50">
        <w:rPr>
          <w:rFonts w:ascii="Times New Roman" w:hAnsi="Times New Roman" w:cs="Times New Roman"/>
          <w:sz w:val="24"/>
          <w:szCs w:val="24"/>
        </w:rPr>
        <w:br/>
        <w:t>Предполага се фракция на фона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----</w:t>
      </w:r>
      <w:r w:rsidRPr="00457B50">
        <w:rPr>
          <w:rFonts w:ascii="Times New Roman" w:hAnsi="Times New Roman" w:cs="Times New Roman"/>
          <w:sz w:val="24"/>
          <w:szCs w:val="24"/>
        </w:rPr>
        <w:br/>
        <w:t xml:space="preserve">Пропускане на </w:t>
      </w:r>
      <w:r>
        <w:rPr>
          <w:rFonts w:ascii="Times New Roman" w:hAnsi="Times New Roman" w:cs="Times New Roman"/>
          <w:sz w:val="24"/>
          <w:szCs w:val="24"/>
        </w:rPr>
        <w:t>проби за обучение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----</w:t>
      </w:r>
      <w:r>
        <w:rPr>
          <w:rFonts w:ascii="Times New Roman" w:hAnsi="Times New Roman" w:cs="Times New Roman"/>
          <w:sz w:val="24"/>
          <w:szCs w:val="24"/>
        </w:rPr>
        <w:br/>
        <w:t>Прогнозирано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7B50">
        <w:rPr>
          <w:rFonts w:ascii="Times New Roman" w:hAnsi="Times New Roman" w:cs="Times New Roman"/>
          <w:sz w:val="24"/>
          <w:szCs w:val="24"/>
        </w:rPr>
        <w:t xml:space="preserve"> пропускане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----</w:t>
      </w:r>
    </w:p>
    <w:p w:rsidR="00C477B9" w:rsidRPr="004D21B5" w:rsidRDefault="00996FBD" w:rsidP="00466017">
      <w:p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bg-BG"/>
        </w:rPr>
      </w:pP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next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picture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receiver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operating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characteristic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(ROC)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curve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for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same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data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Note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that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specificity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defined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using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predicted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area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rather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than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true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commission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(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see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paper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by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Phillips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Anderson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and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Schapire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cited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help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page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for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discussion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of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what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this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means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).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This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implies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that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maximum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achievable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AUC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less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than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1.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If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test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data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drawn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from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Maxent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distribution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itself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maximum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possible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test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AUC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would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0.928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rather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than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1;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practice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test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AUC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may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exceed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this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bound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</w:p>
    <w:p w:rsidR="00C477B9" w:rsidRDefault="00C477B9" w:rsidP="004660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7B9">
        <w:rPr>
          <w:rFonts w:ascii="Times New Roman" w:hAnsi="Times New Roman" w:cs="Times New Roman"/>
          <w:sz w:val="24"/>
          <w:szCs w:val="24"/>
        </w:rPr>
        <w:t xml:space="preserve">Следващата картина е кривата на работните характеристики на приемника (ROC) за същите данни. Обърнете внимание, че специфичността се определя с помощта на прогнозираната област, а не на истинската комисионна (вж. Статията на </w:t>
      </w:r>
      <w:proofErr w:type="spellStart"/>
      <w:r w:rsidRPr="00C477B9">
        <w:rPr>
          <w:rFonts w:ascii="Times New Roman" w:hAnsi="Times New Roman" w:cs="Times New Roman"/>
          <w:sz w:val="24"/>
          <w:szCs w:val="24"/>
        </w:rPr>
        <w:t>Phillips</w:t>
      </w:r>
      <w:proofErr w:type="spellEnd"/>
      <w:r w:rsidRPr="00C477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7B9">
        <w:rPr>
          <w:rFonts w:ascii="Times New Roman" w:hAnsi="Times New Roman" w:cs="Times New Roman"/>
          <w:sz w:val="24"/>
          <w:szCs w:val="24"/>
        </w:rPr>
        <w:t>Anderson</w:t>
      </w:r>
      <w:proofErr w:type="spellEnd"/>
      <w:r w:rsidRPr="00C477B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477B9">
        <w:rPr>
          <w:rFonts w:ascii="Times New Roman" w:hAnsi="Times New Roman" w:cs="Times New Roman"/>
          <w:sz w:val="24"/>
          <w:szCs w:val="24"/>
        </w:rPr>
        <w:t>Schapire</w:t>
      </w:r>
      <w:proofErr w:type="spellEnd"/>
      <w:r w:rsidRPr="00C477B9">
        <w:rPr>
          <w:rFonts w:ascii="Times New Roman" w:hAnsi="Times New Roman" w:cs="Times New Roman"/>
          <w:sz w:val="24"/>
          <w:szCs w:val="24"/>
        </w:rPr>
        <w:t xml:space="preserve">, цитирани на страницата за помощ за обсъждане на това какво означава това). Това означава, че максималната достижима AUC е по-малка от 1. Ако тестовите данни се извличат от самото разпределение на </w:t>
      </w:r>
      <w:proofErr w:type="spellStart"/>
      <w:r w:rsidRPr="00C477B9">
        <w:rPr>
          <w:rFonts w:ascii="Times New Roman" w:hAnsi="Times New Roman" w:cs="Times New Roman"/>
          <w:sz w:val="24"/>
          <w:szCs w:val="24"/>
        </w:rPr>
        <w:t>Maxent</w:t>
      </w:r>
      <w:proofErr w:type="spellEnd"/>
      <w:r w:rsidRPr="00C477B9">
        <w:rPr>
          <w:rFonts w:ascii="Times New Roman" w:hAnsi="Times New Roman" w:cs="Times New Roman"/>
          <w:sz w:val="24"/>
          <w:szCs w:val="24"/>
        </w:rPr>
        <w:t>, тогава максималната възможна AUC на теста ще бъде 0.928, а не 1; на практика тестовата AUC може да надвиши тази граница.</w:t>
      </w:r>
    </w:p>
    <w:p w:rsidR="00785A67" w:rsidRDefault="00996FBD" w:rsidP="004D21B5">
      <w:pPr>
        <w:rPr>
          <w:rStyle w:val="shorttext"/>
          <w:rFonts w:ascii="Times New Roman" w:hAnsi="Times New Roman" w:cs="Times New Roman"/>
          <w:sz w:val="24"/>
          <w:szCs w:val="24"/>
        </w:rPr>
      </w:pPr>
      <w:r w:rsidRPr="00C477B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br/>
      </w:r>
      <w:r w:rsidRPr="00996FBD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inline distT="0" distB="0" distL="0" distR="0" wp14:anchorId="5469C5F1" wp14:editId="78DB8038">
                <wp:extent cx="302895" cy="302895"/>
                <wp:effectExtent l="0" t="0" r="0" b="0"/>
                <wp:docPr id="1" name="AutoShape 2" descr="C:\Users\Stela\Desktop\aetina_tumida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="00273CA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bg-BG"/>
        </w:rPr>
        <w:drawing>
          <wp:inline distT="0" distB="0" distL="0" distR="0" wp14:anchorId="17D2E419" wp14:editId="10856163">
            <wp:extent cx="4713667" cy="2897746"/>
            <wp:effectExtent l="0" t="0" r="0" b="0"/>
            <wp:docPr id="8" name="Картина 8" descr="C:\Users\Stela\Desktop\aetina_tumida_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la\Desktop\aetina_tumida_ro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673" cy="289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FB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996FB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="004D21B5">
        <w:rPr>
          <w:rStyle w:val="shorttext"/>
          <w:rFonts w:ascii="Times New Roman" w:hAnsi="Times New Roman" w:cs="Times New Roman"/>
          <w:sz w:val="24"/>
          <w:szCs w:val="24"/>
        </w:rPr>
        <w:t xml:space="preserve">    </w:t>
      </w:r>
    </w:p>
    <w:p w:rsidR="004D21B5" w:rsidRPr="004D21B5" w:rsidRDefault="004D21B5" w:rsidP="004D21B5">
      <w:pPr>
        <w:rPr>
          <w:rStyle w:val="shorttex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4D21B5">
        <w:rPr>
          <w:rStyle w:val="shorttext"/>
          <w:rFonts w:ascii="Times New Roman" w:hAnsi="Times New Roman" w:cs="Times New Roman"/>
          <w:sz w:val="24"/>
          <w:szCs w:val="24"/>
        </w:rPr>
        <w:t>Чувствителност срещу</w:t>
      </w:r>
      <w:r w:rsidRPr="004D21B5">
        <w:rPr>
          <w:rStyle w:val="shorttext"/>
          <w:rFonts w:ascii="Times New Roman" w:hAnsi="Times New Roman" w:cs="Times New Roman"/>
          <w:sz w:val="24"/>
          <w:szCs w:val="24"/>
          <w:lang w:val="en-US"/>
        </w:rPr>
        <w:t xml:space="preserve">    1- </w:t>
      </w:r>
      <w:r w:rsidRPr="004D21B5">
        <w:rPr>
          <w:rStyle w:val="shorttext"/>
          <w:rFonts w:ascii="Times New Roman" w:hAnsi="Times New Roman" w:cs="Times New Roman"/>
          <w:sz w:val="24"/>
          <w:szCs w:val="24"/>
        </w:rPr>
        <w:t>специфичност за</w:t>
      </w:r>
      <w:r>
        <w:rPr>
          <w:rStyle w:val="short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horttext"/>
          <w:rFonts w:ascii="Times New Roman" w:hAnsi="Times New Roman" w:cs="Times New Roman"/>
          <w:sz w:val="24"/>
          <w:szCs w:val="24"/>
          <w:lang w:val="en-US"/>
        </w:rPr>
        <w:t>A</w:t>
      </w:r>
      <w:r w:rsidRPr="004D21B5">
        <w:rPr>
          <w:rStyle w:val="shorttext"/>
          <w:rFonts w:ascii="Times New Roman" w:hAnsi="Times New Roman" w:cs="Times New Roman"/>
          <w:sz w:val="24"/>
          <w:szCs w:val="24"/>
          <w:lang w:val="en-US"/>
        </w:rPr>
        <w:t>ethina</w:t>
      </w:r>
      <w:proofErr w:type="spellEnd"/>
      <w:r w:rsidRPr="004D21B5">
        <w:rPr>
          <w:rStyle w:val="short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21B5">
        <w:rPr>
          <w:rStyle w:val="shorttext"/>
          <w:rFonts w:ascii="Times New Roman" w:hAnsi="Times New Roman" w:cs="Times New Roman"/>
          <w:sz w:val="24"/>
          <w:szCs w:val="24"/>
          <w:lang w:val="en-US"/>
        </w:rPr>
        <w:t>tumida</w:t>
      </w:r>
      <w:proofErr w:type="spellEnd"/>
    </w:p>
    <w:p w:rsidR="004D21B5" w:rsidRPr="004D21B5" w:rsidRDefault="004D21B5" w:rsidP="004D21B5">
      <w:pPr>
        <w:rPr>
          <w:rStyle w:val="shorttex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horttext"/>
          <w:rFonts w:ascii="Times New Roman" w:hAnsi="Times New Roman" w:cs="Times New Roman"/>
          <w:sz w:val="24"/>
          <w:szCs w:val="24"/>
        </w:rPr>
        <w:t xml:space="preserve">     </w:t>
      </w:r>
      <w:r w:rsidRPr="004D21B5">
        <w:rPr>
          <w:rStyle w:val="shorttext"/>
          <w:rFonts w:ascii="Times New Roman" w:hAnsi="Times New Roman" w:cs="Times New Roman"/>
          <w:sz w:val="24"/>
          <w:szCs w:val="24"/>
        </w:rPr>
        <w:t>Данни за обучението</w:t>
      </w:r>
      <w:r w:rsidRPr="004D21B5">
        <w:rPr>
          <w:rStyle w:val="shorttext"/>
          <w:rFonts w:ascii="Times New Roman" w:hAnsi="Times New Roman" w:cs="Times New Roman"/>
          <w:sz w:val="24"/>
          <w:szCs w:val="24"/>
          <w:lang w:val="en-US"/>
        </w:rPr>
        <w:t xml:space="preserve"> AUC =O,936</w:t>
      </w:r>
    </w:p>
    <w:p w:rsidR="004D21B5" w:rsidRPr="004D21B5" w:rsidRDefault="004D21B5" w:rsidP="004D21B5">
      <w:pPr>
        <w:rPr>
          <w:rStyle w:val="shorttext"/>
          <w:rFonts w:ascii="Times New Roman" w:hAnsi="Times New Roman" w:cs="Times New Roman"/>
          <w:sz w:val="24"/>
          <w:szCs w:val="24"/>
          <w:lang w:val="en-US"/>
        </w:rPr>
      </w:pPr>
      <w:r w:rsidRPr="004D21B5">
        <w:rPr>
          <w:rStyle w:val="shorttext"/>
          <w:rFonts w:ascii="Times New Roman" w:hAnsi="Times New Roman" w:cs="Times New Roman"/>
          <w:sz w:val="24"/>
          <w:szCs w:val="24"/>
        </w:rPr>
        <w:t xml:space="preserve">     Случайно прогнозиране</w:t>
      </w:r>
      <w:r w:rsidRPr="004D21B5">
        <w:rPr>
          <w:rStyle w:val="shorttext"/>
          <w:rFonts w:ascii="Times New Roman" w:hAnsi="Times New Roman" w:cs="Times New Roman"/>
          <w:sz w:val="24"/>
          <w:szCs w:val="24"/>
          <w:lang w:val="en-US"/>
        </w:rPr>
        <w:t xml:space="preserve"> AUC=0,5</w:t>
      </w:r>
    </w:p>
    <w:p w:rsidR="004D21B5" w:rsidRPr="004D21B5" w:rsidRDefault="004D21B5" w:rsidP="004D21B5">
      <w:pPr>
        <w:rPr>
          <w:rStyle w:val="shorttext"/>
          <w:rFonts w:ascii="Times New Roman" w:hAnsi="Times New Roman" w:cs="Times New Roman"/>
          <w:sz w:val="24"/>
          <w:szCs w:val="24"/>
          <w:lang w:val="en-US"/>
        </w:rPr>
      </w:pPr>
      <w:r w:rsidRPr="004D21B5">
        <w:rPr>
          <w:rStyle w:val="shorttext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short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1B5">
        <w:rPr>
          <w:rStyle w:val="shorttext"/>
          <w:rFonts w:ascii="Times New Roman" w:hAnsi="Times New Roman" w:cs="Times New Roman"/>
          <w:sz w:val="24"/>
          <w:szCs w:val="24"/>
        </w:rPr>
        <w:t xml:space="preserve">Специфичност </w:t>
      </w:r>
      <w:r w:rsidRPr="004D21B5">
        <w:rPr>
          <w:rStyle w:val="shorttext"/>
          <w:rFonts w:ascii="Times New Roman" w:hAnsi="Times New Roman" w:cs="Times New Roman"/>
          <w:sz w:val="24"/>
          <w:szCs w:val="24"/>
          <w:lang w:val="en-US"/>
        </w:rPr>
        <w:t xml:space="preserve"> 1- </w:t>
      </w:r>
      <w:r>
        <w:rPr>
          <w:rStyle w:val="shorttext"/>
          <w:rFonts w:ascii="Times New Roman" w:hAnsi="Times New Roman" w:cs="Times New Roman"/>
          <w:sz w:val="24"/>
          <w:szCs w:val="24"/>
        </w:rPr>
        <w:t xml:space="preserve">степен на </w:t>
      </w:r>
      <w:proofErr w:type="spellStart"/>
      <w:r>
        <w:rPr>
          <w:rStyle w:val="shorttext"/>
          <w:rFonts w:ascii="Times New Roman" w:hAnsi="Times New Roman" w:cs="Times New Roman"/>
          <w:sz w:val="24"/>
          <w:szCs w:val="24"/>
        </w:rPr>
        <w:t>обция</w:t>
      </w:r>
      <w:proofErr w:type="spellEnd"/>
    </w:p>
    <w:p w:rsidR="004D21B5" w:rsidRPr="004D21B5" w:rsidRDefault="004D21B5" w:rsidP="004D21B5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21B5">
        <w:rPr>
          <w:rStyle w:val="shorttext"/>
          <w:rFonts w:ascii="Times New Roman" w:hAnsi="Times New Roman" w:cs="Times New Roman"/>
          <w:sz w:val="24"/>
          <w:szCs w:val="24"/>
        </w:rPr>
        <w:t>Специфичност</w:t>
      </w:r>
      <w:r w:rsidRPr="004D21B5">
        <w:rPr>
          <w:rStyle w:val="short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1B5">
        <w:rPr>
          <w:rStyle w:val="shorttext"/>
          <w:rFonts w:ascii="Times New Roman" w:hAnsi="Times New Roman" w:cs="Times New Roman"/>
          <w:sz w:val="24"/>
          <w:szCs w:val="24"/>
        </w:rPr>
        <w:t>функционална прогнозирана площ</w:t>
      </w:r>
    </w:p>
    <w:p w:rsidR="00466017" w:rsidRDefault="00996FBD" w:rsidP="00466017">
      <w:p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</w:pPr>
      <w:r w:rsidRPr="00996FB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     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Some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common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thresholds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and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corresponding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omission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rates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are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follows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If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test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data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are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available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binomial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probabilities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are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calculated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exactly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if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number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of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test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samples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most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25,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otherwise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using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a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normal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approximation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to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binomial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These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are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1-sided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p-values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for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null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hypothesis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that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test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points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are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predicted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no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better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than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by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a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random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prediction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with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same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fractional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predicted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area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"Balance"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threshold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minimizes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6 *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training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omission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rate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+ .04 *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cumulative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threshold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+ 1.6 *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fractional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predicted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area</w:t>
      </w:r>
      <w:proofErr w:type="spellEnd"/>
      <w:r w:rsidRPr="004D21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.</w:t>
      </w:r>
    </w:p>
    <w:p w:rsidR="00785A67" w:rsidRPr="004D21B5" w:rsidRDefault="00785A67" w:rsidP="00466017">
      <w:p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bg-BG"/>
        </w:rPr>
      </w:pPr>
    </w:p>
    <w:p w:rsidR="00996FBD" w:rsidRPr="00C477B9" w:rsidRDefault="00785A67" w:rsidP="004660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10470">
        <w:rPr>
          <w:rFonts w:ascii="Times New Roman" w:hAnsi="Times New Roman" w:cs="Times New Roman"/>
          <w:sz w:val="24"/>
          <w:szCs w:val="24"/>
        </w:rPr>
        <w:t>Някои общи прагове и съответните</w:t>
      </w:r>
      <w:r w:rsidR="00C477B9" w:rsidRPr="00C477B9">
        <w:rPr>
          <w:rFonts w:ascii="Times New Roman" w:hAnsi="Times New Roman" w:cs="Times New Roman"/>
          <w:sz w:val="24"/>
          <w:szCs w:val="24"/>
        </w:rPr>
        <w:t xml:space="preserve"> процент</w:t>
      </w:r>
      <w:r w:rsidR="00410470">
        <w:rPr>
          <w:rFonts w:ascii="Times New Roman" w:hAnsi="Times New Roman" w:cs="Times New Roman"/>
          <w:sz w:val="24"/>
          <w:szCs w:val="24"/>
        </w:rPr>
        <w:t>и</w:t>
      </w:r>
      <w:r w:rsidR="00C477B9" w:rsidRPr="00C477B9">
        <w:rPr>
          <w:rFonts w:ascii="Times New Roman" w:hAnsi="Times New Roman" w:cs="Times New Roman"/>
          <w:sz w:val="24"/>
          <w:szCs w:val="24"/>
        </w:rPr>
        <w:t xml:space="preserve"> на пропуски са както следва. Ако са налице данни от теста, </w:t>
      </w:r>
      <w:proofErr w:type="spellStart"/>
      <w:r w:rsidR="00C477B9" w:rsidRPr="00C477B9">
        <w:rPr>
          <w:rFonts w:ascii="Times New Roman" w:hAnsi="Times New Roman" w:cs="Times New Roman"/>
          <w:sz w:val="24"/>
          <w:szCs w:val="24"/>
        </w:rPr>
        <w:t>биномните</w:t>
      </w:r>
      <w:proofErr w:type="spellEnd"/>
      <w:r w:rsidR="00C477B9" w:rsidRPr="00C477B9">
        <w:rPr>
          <w:rFonts w:ascii="Times New Roman" w:hAnsi="Times New Roman" w:cs="Times New Roman"/>
          <w:sz w:val="24"/>
          <w:szCs w:val="24"/>
        </w:rPr>
        <w:t xml:space="preserve"> вероятности се изчисляват точно, ако броят на тестовите проби е най-много 25, в противен случай се използва нормално сближаване с </w:t>
      </w:r>
      <w:proofErr w:type="spellStart"/>
      <w:r w:rsidR="00C477B9" w:rsidRPr="00C477B9">
        <w:rPr>
          <w:rFonts w:ascii="Times New Roman" w:hAnsi="Times New Roman" w:cs="Times New Roman"/>
          <w:sz w:val="24"/>
          <w:szCs w:val="24"/>
        </w:rPr>
        <w:t>биномиалната</w:t>
      </w:r>
      <w:proofErr w:type="spellEnd"/>
      <w:r w:rsidR="00C477B9" w:rsidRPr="00C477B9">
        <w:rPr>
          <w:rFonts w:ascii="Times New Roman" w:hAnsi="Times New Roman" w:cs="Times New Roman"/>
          <w:sz w:val="24"/>
          <w:szCs w:val="24"/>
        </w:rPr>
        <w:t>. Това са едностранни р-стойности за нулевата хипотеза, че тестовите точки се прогнозират не по-добре, отколкото чрез произволна прогноза със същата частична прогнозирана площ. Прагът "Баланс" свежда до минимум процент на пропуск 6% за обучение + .04 * кумулативен праг + 1,6 * частична прогнозна площ.</w:t>
      </w:r>
    </w:p>
    <w:p w:rsidR="00996FBD" w:rsidRDefault="00996FBD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47"/>
        <w:gridCol w:w="1437"/>
        <w:gridCol w:w="3605"/>
        <w:gridCol w:w="1842"/>
        <w:gridCol w:w="1897"/>
      </w:tblGrid>
      <w:tr w:rsidR="000E775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lastRenderedPageBreak/>
              <w:t>Cumulative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threshold</w:t>
            </w:r>
            <w:proofErr w:type="spellEnd"/>
          </w:p>
          <w:p w:rsidR="00400FBE" w:rsidRDefault="00400FBE" w:rsidP="00996FBD">
            <w:pPr>
              <w:spacing w:after="0" w:line="240" w:lineRule="auto"/>
              <w:jc w:val="center"/>
              <w:rPr>
                <w:rStyle w:val="shorttext"/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  <w:p w:rsidR="00400FBE" w:rsidRPr="00C41267" w:rsidRDefault="00400FBE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bg-BG"/>
              </w:rPr>
            </w:pPr>
            <w:r w:rsidRPr="00C41267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Кумулативен праг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Cloglog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threshold</w:t>
            </w:r>
            <w:proofErr w:type="spellEnd"/>
          </w:p>
          <w:p w:rsidR="00400FBE" w:rsidRDefault="00400FBE" w:rsidP="00996FBD">
            <w:pPr>
              <w:spacing w:after="0" w:line="240" w:lineRule="auto"/>
              <w:jc w:val="center"/>
              <w:rPr>
                <w:rStyle w:val="shorttext"/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  <w:p w:rsidR="00C477B9" w:rsidRPr="00C41267" w:rsidRDefault="00C477B9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bg-BG"/>
              </w:rPr>
            </w:pPr>
            <w:proofErr w:type="spellStart"/>
            <w:r w:rsidRPr="00C41267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Клогов</w:t>
            </w:r>
            <w:proofErr w:type="spellEnd"/>
            <w:r w:rsidRPr="00C41267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праг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Description</w:t>
            </w:r>
            <w:proofErr w:type="spellEnd"/>
          </w:p>
          <w:p w:rsidR="00400FBE" w:rsidRDefault="00400FBE" w:rsidP="00996FBD">
            <w:pPr>
              <w:spacing w:after="0" w:line="240" w:lineRule="auto"/>
              <w:jc w:val="center"/>
              <w:rPr>
                <w:rStyle w:val="shorttext"/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  <w:p w:rsidR="00C477B9" w:rsidRPr="00C41267" w:rsidRDefault="00400FBE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bg-BG"/>
              </w:rPr>
            </w:pPr>
            <w:r w:rsidRPr="00C41267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O</w:t>
            </w:r>
            <w:r w:rsidR="00C477B9" w:rsidRPr="00C41267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Fractional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predicted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area</w:t>
            </w:r>
            <w:proofErr w:type="spellEnd"/>
          </w:p>
          <w:p w:rsidR="00C477B9" w:rsidRPr="00C41267" w:rsidRDefault="00C477B9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bg-BG"/>
              </w:rPr>
            </w:pPr>
            <w:r w:rsidRPr="00C41267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Фракционен прогнозиран район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Training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omission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rate</w:t>
            </w:r>
            <w:proofErr w:type="spellEnd"/>
          </w:p>
          <w:p w:rsidR="00400FBE" w:rsidRPr="00C41267" w:rsidRDefault="00400FBE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bg-BG"/>
              </w:rPr>
            </w:pPr>
            <w:r w:rsidRPr="00C41267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Процент на пропусната тренировка</w:t>
            </w:r>
          </w:p>
        </w:tc>
      </w:tr>
      <w:tr w:rsidR="000E775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Fixed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cumulative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value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1</w:t>
            </w:r>
          </w:p>
          <w:p w:rsidR="00C41267" w:rsidRPr="00C41267" w:rsidRDefault="00C41267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bg-BG"/>
              </w:rPr>
            </w:pPr>
            <w:r w:rsidRPr="00C41267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Фиксирана кумулативна стойност</w:t>
            </w:r>
            <w:r w:rsidRPr="00C41267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0.006</w:t>
            </w:r>
          </w:p>
        </w:tc>
      </w:tr>
      <w:tr w:rsidR="000E775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5.000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Fixed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cumulative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value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5</w:t>
            </w:r>
          </w:p>
          <w:p w:rsidR="00C41267" w:rsidRPr="003E310C" w:rsidRDefault="00C41267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bg-BG"/>
              </w:rPr>
            </w:pPr>
            <w:r w:rsidRPr="003E310C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Фиксирана кумулативна стойност</w:t>
            </w:r>
            <w:r w:rsidRPr="003E310C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0.071</w:t>
            </w:r>
          </w:p>
        </w:tc>
      </w:tr>
      <w:tr w:rsidR="000E775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Fixed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cumulative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value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10</w:t>
            </w:r>
          </w:p>
          <w:p w:rsidR="00C41267" w:rsidRPr="003E310C" w:rsidRDefault="00C41267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bg-BG"/>
              </w:rPr>
            </w:pPr>
            <w:r w:rsidRPr="003E310C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Фиксирана кумулативна стойност</w:t>
            </w:r>
            <w:r w:rsidRPr="003E310C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0.110</w:t>
            </w:r>
          </w:p>
        </w:tc>
      </w:tr>
      <w:tr w:rsidR="000E775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Minimum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training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presence</w:t>
            </w:r>
            <w:proofErr w:type="spellEnd"/>
          </w:p>
          <w:p w:rsidR="00C41267" w:rsidRPr="003E310C" w:rsidRDefault="00C41267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bg-BG"/>
              </w:rPr>
            </w:pPr>
            <w:r w:rsidRPr="003E310C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Минимално обучение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0.000</w:t>
            </w:r>
          </w:p>
        </w:tc>
      </w:tr>
      <w:tr w:rsidR="000E775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8.801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10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percentile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training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presence</w:t>
            </w:r>
            <w:proofErr w:type="spellEnd"/>
          </w:p>
          <w:p w:rsidR="00C41267" w:rsidRPr="003E310C" w:rsidRDefault="00C41267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bg-BG"/>
              </w:rPr>
            </w:pPr>
            <w:r w:rsidRPr="003E310C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10 процентово обучение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0.097</w:t>
            </w:r>
          </w:p>
        </w:tc>
      </w:tr>
      <w:tr w:rsidR="000E775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15.586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Equal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training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sensitivity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and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specificity</w:t>
            </w:r>
            <w:proofErr w:type="spellEnd"/>
          </w:p>
          <w:p w:rsidR="000E775D" w:rsidRPr="000E775D" w:rsidRDefault="000E775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bg-BG"/>
              </w:rPr>
            </w:pPr>
            <w:r w:rsidRPr="000E775D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Чувствителност и специфичност на обучението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0.142</w:t>
            </w:r>
          </w:p>
        </w:tc>
      </w:tr>
      <w:tr w:rsidR="000E775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14.432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Maximum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training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sensitivity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plus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specificity</w:t>
            </w:r>
            <w:proofErr w:type="spellEnd"/>
          </w:p>
          <w:p w:rsidR="000E775D" w:rsidRPr="000E775D" w:rsidRDefault="000E775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bg-BG"/>
              </w:rPr>
            </w:pPr>
            <w:r w:rsidRPr="000E775D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Максимална чувствителност при обучение плюс специфичност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0.123</w:t>
            </w:r>
          </w:p>
        </w:tc>
      </w:tr>
      <w:tr w:rsidR="000E775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1.030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Balance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training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omission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predicted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area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and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threshold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value</w:t>
            </w:r>
            <w:proofErr w:type="spellEnd"/>
          </w:p>
          <w:p w:rsidR="000E775D" w:rsidRPr="000E775D" w:rsidRDefault="000E775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bg-BG"/>
              </w:rPr>
            </w:pPr>
            <w:r w:rsidRPr="000E775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Опростяване на обучението по балансиране, предвидена площ и прагова стойност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0.006</w:t>
            </w:r>
          </w:p>
        </w:tc>
      </w:tr>
      <w:tr w:rsidR="000E775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9.088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Equate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entropy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of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thresholded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and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original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distributions</w:t>
            </w:r>
            <w:proofErr w:type="spellEnd"/>
          </w:p>
          <w:p w:rsidR="000E775D" w:rsidRPr="000E775D" w:rsidRDefault="000E775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bg-BG"/>
              </w:rPr>
            </w:pPr>
            <w:r w:rsidRPr="000E775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Равновесие на ентропията на праговите и оригиналните разпределения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0.103</w:t>
            </w:r>
          </w:p>
        </w:tc>
      </w:tr>
    </w:tbl>
    <w:p w:rsidR="00996FBD" w:rsidRDefault="00996FBD" w:rsidP="00996FBD"/>
    <w:p w:rsidR="00996FBD" w:rsidRPr="00996FBD" w:rsidRDefault="00996FBD" w:rsidP="00996F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</w:pPr>
      <w:proofErr w:type="spellStart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Pictures</w:t>
      </w:r>
      <w:proofErr w:type="spellEnd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 xml:space="preserve"> of </w:t>
      </w:r>
      <w:proofErr w:type="spellStart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the</w:t>
      </w:r>
      <w:proofErr w:type="spellEnd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 xml:space="preserve"> </w:t>
      </w:r>
      <w:proofErr w:type="spellStart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model</w:t>
      </w:r>
      <w:proofErr w:type="spellEnd"/>
    </w:p>
    <w:p w:rsidR="00996FBD" w:rsidRPr="00785A67" w:rsidRDefault="00996FBD" w:rsidP="00996FBD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bg-BG"/>
        </w:rPr>
      </w:pP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This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a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representation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of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Maxent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model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for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aetina_tumida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Warmer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colors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show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areas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with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better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predicted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conditions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White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dots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show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presence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locations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used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for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training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while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violet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dots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show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test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locations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Click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image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for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a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full-size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version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.</w:t>
      </w:r>
    </w:p>
    <w:p w:rsidR="00C41267" w:rsidRPr="00C41267" w:rsidRDefault="00C41267" w:rsidP="00996FB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 w:rsidRPr="00785A67">
        <w:rPr>
          <w:rFonts w:ascii="Times New Roman" w:hAnsi="Times New Roman" w:cs="Times New Roman"/>
          <w:b/>
          <w:sz w:val="24"/>
          <w:szCs w:val="24"/>
        </w:rPr>
        <w:t>Снимки на модела</w:t>
      </w:r>
      <w:r w:rsidRPr="00785A67">
        <w:rPr>
          <w:rFonts w:ascii="Times New Roman" w:hAnsi="Times New Roman" w:cs="Times New Roman"/>
          <w:b/>
          <w:sz w:val="24"/>
          <w:szCs w:val="24"/>
        </w:rPr>
        <w:br/>
      </w:r>
      <w:r w:rsidRPr="00C41267">
        <w:rPr>
          <w:rFonts w:ascii="Times New Roman" w:hAnsi="Times New Roman" w:cs="Times New Roman"/>
          <w:sz w:val="24"/>
          <w:szCs w:val="24"/>
        </w:rPr>
        <w:t xml:space="preserve">Това е представяне на модела </w:t>
      </w:r>
      <w:proofErr w:type="spellStart"/>
      <w:r w:rsidRPr="00C41267">
        <w:rPr>
          <w:rFonts w:ascii="Times New Roman" w:hAnsi="Times New Roman" w:cs="Times New Roman"/>
          <w:sz w:val="24"/>
          <w:szCs w:val="24"/>
        </w:rPr>
        <w:t>Maxent</w:t>
      </w:r>
      <w:proofErr w:type="spellEnd"/>
      <w:r w:rsidRPr="00C4126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C41267">
        <w:rPr>
          <w:rFonts w:ascii="Times New Roman" w:hAnsi="Times New Roman" w:cs="Times New Roman"/>
          <w:sz w:val="24"/>
          <w:szCs w:val="24"/>
        </w:rPr>
        <w:t>aetina_tumida</w:t>
      </w:r>
      <w:proofErr w:type="spellEnd"/>
      <w:r w:rsidRPr="00C41267">
        <w:rPr>
          <w:rFonts w:ascii="Times New Roman" w:hAnsi="Times New Roman" w:cs="Times New Roman"/>
          <w:sz w:val="24"/>
          <w:szCs w:val="24"/>
        </w:rPr>
        <w:t>. По-топлите цветове показват области с по-добри предвидими условия. Бели точки показват местата за присъствие, използвани за обучение, докато виолетовите точки показват места за тестване. Кликнете върху изображението за версия в пълен размер.</w:t>
      </w:r>
    </w:p>
    <w:p w:rsidR="00996FBD" w:rsidRDefault="00996FBD" w:rsidP="00996FB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996FBD" w:rsidRPr="00785A67" w:rsidRDefault="00273CAA" w:rsidP="00996FBD">
      <w:pPr>
        <w:rPr>
          <w:i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bg-BG"/>
        </w:rPr>
        <w:drawing>
          <wp:inline distT="0" distB="0" distL="0" distR="0">
            <wp:extent cx="6387704" cy="3541691"/>
            <wp:effectExtent l="0" t="0" r="0" b="1905"/>
            <wp:docPr id="9" name="Картина 9" descr="C:\Users\Stela\Desktop\aetina_tum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la\Desktop\aetina_tumid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54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FBD" w:rsidRPr="00996FB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="00996FBD" w:rsidRPr="00996FB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(A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link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to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Explain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tool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was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not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made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for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this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model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model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uses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product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features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while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Explain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tool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can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only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be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used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for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additive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models</w:t>
      </w:r>
      <w:proofErr w:type="spellEnd"/>
      <w:r w:rsidR="00996FBD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.)</w:t>
      </w:r>
    </w:p>
    <w:p w:rsidR="00996FBD" w:rsidRPr="00C41267" w:rsidRDefault="00C41267" w:rsidP="00996FBD">
      <w:pPr>
        <w:rPr>
          <w:rFonts w:ascii="Times New Roman" w:hAnsi="Times New Roman" w:cs="Times New Roman"/>
          <w:sz w:val="24"/>
          <w:szCs w:val="24"/>
        </w:rPr>
      </w:pPr>
      <w:r w:rsidRPr="00C41267">
        <w:rPr>
          <w:rFonts w:ascii="Times New Roman" w:hAnsi="Times New Roman" w:cs="Times New Roman"/>
          <w:sz w:val="24"/>
          <w:szCs w:val="24"/>
        </w:rPr>
        <w:t xml:space="preserve">(За този модел не е направена връзка към инструмента </w:t>
      </w:r>
      <w:proofErr w:type="spellStart"/>
      <w:r w:rsidRPr="00C41267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C41267">
        <w:rPr>
          <w:rFonts w:ascii="Times New Roman" w:hAnsi="Times New Roman" w:cs="Times New Roman"/>
          <w:sz w:val="24"/>
          <w:szCs w:val="24"/>
        </w:rPr>
        <w:t xml:space="preserve">. Моделът използва характеристиките на продукта, а инструментът </w:t>
      </w:r>
      <w:proofErr w:type="spellStart"/>
      <w:r w:rsidRPr="00C41267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C41267">
        <w:rPr>
          <w:rFonts w:ascii="Times New Roman" w:hAnsi="Times New Roman" w:cs="Times New Roman"/>
          <w:sz w:val="24"/>
          <w:szCs w:val="24"/>
        </w:rPr>
        <w:t xml:space="preserve"> може да се използва само за модели с добавки.)</w:t>
      </w:r>
    </w:p>
    <w:p w:rsidR="00785A67" w:rsidRDefault="00996FBD" w:rsidP="00785A6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</w:pPr>
      <w:proofErr w:type="spellStart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Analysis</w:t>
      </w:r>
      <w:proofErr w:type="spellEnd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 xml:space="preserve"> of </w:t>
      </w:r>
      <w:proofErr w:type="spellStart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variable</w:t>
      </w:r>
      <w:proofErr w:type="spellEnd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 xml:space="preserve"> </w:t>
      </w:r>
      <w:proofErr w:type="spellStart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contributions</w:t>
      </w:r>
      <w:proofErr w:type="spellEnd"/>
    </w:p>
    <w:p w:rsidR="00466017" w:rsidRPr="00785A67" w:rsidRDefault="00996FBD" w:rsidP="00785A6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eastAsia="bg-BG"/>
        </w:rPr>
      </w:pPr>
      <w:r w:rsidRPr="00996FB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following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table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gives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estimates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of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relative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contributions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of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environmental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variables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to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Maxent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model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To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determine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first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estimate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each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iteration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of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training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algorithm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increase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regularized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gain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added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to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contribution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of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corresponding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variable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or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subtracted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from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it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if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change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to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absolute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value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of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lambda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negative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For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second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estimate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for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each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environmental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variable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turn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values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of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that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variable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training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presence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and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background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data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are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randomly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permuted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model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reevaluated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permuted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data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and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resulting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drop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training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AUC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shown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table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normalized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to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percentages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with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variable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jackknife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,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variable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contributions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should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interpreted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with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caution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when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predictor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variables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are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correlated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.</w:t>
      </w:r>
    </w:p>
    <w:p w:rsidR="00C41267" w:rsidRDefault="00C41267" w:rsidP="004660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</w:p>
    <w:p w:rsidR="00C41267" w:rsidRPr="00785A67" w:rsidRDefault="00C41267" w:rsidP="0046601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5A67">
        <w:rPr>
          <w:rFonts w:ascii="Times New Roman" w:hAnsi="Times New Roman" w:cs="Times New Roman"/>
          <w:b/>
          <w:sz w:val="24"/>
          <w:szCs w:val="24"/>
        </w:rPr>
        <w:t>Анализ на променливите вноски</w:t>
      </w:r>
    </w:p>
    <w:p w:rsidR="00C41267" w:rsidRPr="00C41267" w:rsidRDefault="00C41267" w:rsidP="004660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 w:rsidRPr="00C41267">
        <w:rPr>
          <w:rFonts w:ascii="Times New Roman" w:hAnsi="Times New Roman" w:cs="Times New Roman"/>
          <w:sz w:val="24"/>
          <w:szCs w:val="24"/>
        </w:rPr>
        <w:br/>
        <w:t xml:space="preserve">Следващата таблица дава оценки за относителния принос на екологичните променливи към модела </w:t>
      </w:r>
      <w:proofErr w:type="spellStart"/>
      <w:r w:rsidRPr="00C41267">
        <w:rPr>
          <w:rFonts w:ascii="Times New Roman" w:hAnsi="Times New Roman" w:cs="Times New Roman"/>
          <w:sz w:val="24"/>
          <w:szCs w:val="24"/>
        </w:rPr>
        <w:t>Maxent</w:t>
      </w:r>
      <w:proofErr w:type="spellEnd"/>
      <w:r w:rsidRPr="00C41267">
        <w:rPr>
          <w:rFonts w:ascii="Times New Roman" w:hAnsi="Times New Roman" w:cs="Times New Roman"/>
          <w:sz w:val="24"/>
          <w:szCs w:val="24"/>
        </w:rPr>
        <w:t xml:space="preserve">. За да се определи първата оценка, във всяка итерация на тренировъчния алгоритъм нарастването на нормализираната печалба се прибавя към приноса на съответната променлива или се изважда от нея, ако промяната в абсолютната стойност на </w:t>
      </w:r>
      <w:proofErr w:type="spellStart"/>
      <w:r w:rsidRPr="00C41267">
        <w:rPr>
          <w:rFonts w:ascii="Times New Roman" w:hAnsi="Times New Roman" w:cs="Times New Roman"/>
          <w:sz w:val="24"/>
          <w:szCs w:val="24"/>
        </w:rPr>
        <w:t>ламбда</w:t>
      </w:r>
      <w:proofErr w:type="spellEnd"/>
      <w:r w:rsidRPr="00C41267">
        <w:rPr>
          <w:rFonts w:ascii="Times New Roman" w:hAnsi="Times New Roman" w:cs="Times New Roman"/>
          <w:sz w:val="24"/>
          <w:szCs w:val="24"/>
        </w:rPr>
        <w:t xml:space="preserve"> е отрицателна. За втората прогноза, за всяка променлива на околната среда на свой ред, стойностите на тази променлива за </w:t>
      </w:r>
      <w:r w:rsidRPr="00C41267">
        <w:rPr>
          <w:rFonts w:ascii="Times New Roman" w:hAnsi="Times New Roman" w:cs="Times New Roman"/>
          <w:sz w:val="24"/>
          <w:szCs w:val="24"/>
        </w:rPr>
        <w:lastRenderedPageBreak/>
        <w:t>присъствие на тренировка и за фоновите данни са случайно преместени. Моделът се преоценява на променените данни, а полученият спад на AUC на обучението е пока</w:t>
      </w:r>
      <w:r w:rsidR="00D83BB2">
        <w:rPr>
          <w:rFonts w:ascii="Times New Roman" w:hAnsi="Times New Roman" w:cs="Times New Roman"/>
          <w:sz w:val="24"/>
          <w:szCs w:val="24"/>
        </w:rPr>
        <w:t>зан в таблицата, нормализиран в</w:t>
      </w:r>
      <w:r w:rsidRPr="00C41267">
        <w:rPr>
          <w:rFonts w:ascii="Times New Roman" w:hAnsi="Times New Roman" w:cs="Times New Roman"/>
          <w:sz w:val="24"/>
          <w:szCs w:val="24"/>
        </w:rPr>
        <w:t xml:space="preserve"> проценти. Както и при променливите стойности на "</w:t>
      </w:r>
      <w:proofErr w:type="spellStart"/>
      <w:r w:rsidRPr="00C41267">
        <w:rPr>
          <w:rFonts w:ascii="Times New Roman" w:hAnsi="Times New Roman" w:cs="Times New Roman"/>
          <w:sz w:val="24"/>
          <w:szCs w:val="24"/>
        </w:rPr>
        <w:t>jackknife</w:t>
      </w:r>
      <w:proofErr w:type="spellEnd"/>
      <w:r w:rsidRPr="00C41267">
        <w:rPr>
          <w:rFonts w:ascii="Times New Roman" w:hAnsi="Times New Roman" w:cs="Times New Roman"/>
          <w:sz w:val="24"/>
          <w:szCs w:val="24"/>
        </w:rPr>
        <w:t xml:space="preserve">", променливите приноси трябва да се интерпретират внимателно, когато прогнозните променливи са </w:t>
      </w:r>
      <w:proofErr w:type="spellStart"/>
      <w:r w:rsidRPr="00C41267">
        <w:rPr>
          <w:rFonts w:ascii="Times New Roman" w:hAnsi="Times New Roman" w:cs="Times New Roman"/>
          <w:sz w:val="24"/>
          <w:szCs w:val="24"/>
        </w:rPr>
        <w:t>корелирани</w:t>
      </w:r>
      <w:proofErr w:type="spellEnd"/>
      <w:r w:rsidRPr="00C41267">
        <w:rPr>
          <w:rFonts w:ascii="Times New Roman" w:hAnsi="Times New Roman" w:cs="Times New Roman"/>
          <w:sz w:val="24"/>
          <w:szCs w:val="24"/>
        </w:rPr>
        <w:t>.</w:t>
      </w:r>
    </w:p>
    <w:p w:rsidR="00996FBD" w:rsidRPr="00996FBD" w:rsidRDefault="00996FBD" w:rsidP="004660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96FB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2217"/>
        <w:gridCol w:w="2632"/>
      </w:tblGrid>
      <w:tr w:rsidR="00996FB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Variable</w:t>
            </w:r>
            <w:proofErr w:type="spellEnd"/>
          </w:p>
          <w:p w:rsidR="00E20AE7" w:rsidRPr="00E20AE7" w:rsidRDefault="00E20AE7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E20AE7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роменлив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Percent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contribution</w:t>
            </w:r>
            <w:proofErr w:type="spellEnd"/>
          </w:p>
          <w:p w:rsidR="00E20AE7" w:rsidRPr="00E20AE7" w:rsidRDefault="00E20AE7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bg-BG"/>
              </w:rPr>
            </w:pPr>
            <w:r w:rsidRPr="00E20AE7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Процентно участие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Default="00996FBD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Permutation</w:t>
            </w:r>
            <w:proofErr w:type="spellEnd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99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importance</w:t>
            </w:r>
            <w:proofErr w:type="spellEnd"/>
          </w:p>
          <w:p w:rsidR="005826BB" w:rsidRPr="005826BB" w:rsidRDefault="005826BB" w:rsidP="0099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bg-BG"/>
              </w:rPr>
            </w:pPr>
            <w:r w:rsidRPr="005826BB">
              <w:rPr>
                <w:rStyle w:val="shorttext"/>
                <w:rFonts w:ascii="Times New Roman" w:hAnsi="Times New Roman" w:cs="Times New Roman"/>
                <w:color w:val="FF0000"/>
                <w:sz w:val="20"/>
                <w:szCs w:val="20"/>
              </w:rPr>
              <w:t>Значение на пермутацията</w:t>
            </w:r>
          </w:p>
        </w:tc>
      </w:tr>
      <w:tr w:rsidR="00996FB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test12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70.6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35.3</w:t>
            </w:r>
          </w:p>
        </w:tc>
      </w:tr>
      <w:tr w:rsidR="00996FB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test5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45.7</w:t>
            </w:r>
          </w:p>
        </w:tc>
      </w:tr>
      <w:tr w:rsidR="00996FB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test13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5.7</w:t>
            </w:r>
          </w:p>
        </w:tc>
      </w:tr>
      <w:tr w:rsidR="00996FB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test6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11.6</w:t>
            </w:r>
          </w:p>
        </w:tc>
      </w:tr>
      <w:tr w:rsidR="00996FB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proofErr w:type="spellStart"/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test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1.1</w:t>
            </w:r>
          </w:p>
        </w:tc>
      </w:tr>
      <w:tr w:rsidR="00996FBD" w:rsidRPr="00996FBD" w:rsidTr="00996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test14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96FBD" w:rsidRPr="00996FBD" w:rsidRDefault="00996FBD" w:rsidP="00996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99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0.5</w:t>
            </w:r>
          </w:p>
        </w:tc>
      </w:tr>
    </w:tbl>
    <w:p w:rsidR="00996FBD" w:rsidRDefault="00996FBD" w:rsidP="00996FBD"/>
    <w:p w:rsidR="00996FBD" w:rsidRPr="00785A67" w:rsidRDefault="00996FBD" w:rsidP="004876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eastAsia="bg-BG"/>
        </w:rPr>
      </w:pPr>
      <w:proofErr w:type="spellStart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Raw</w:t>
      </w:r>
      <w:proofErr w:type="spellEnd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 xml:space="preserve"> </w:t>
      </w:r>
      <w:proofErr w:type="spellStart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data</w:t>
      </w:r>
      <w:proofErr w:type="spellEnd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 xml:space="preserve"> </w:t>
      </w:r>
      <w:proofErr w:type="spellStart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outputs</w:t>
      </w:r>
      <w:proofErr w:type="spellEnd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 xml:space="preserve"> </w:t>
      </w:r>
      <w:proofErr w:type="spellStart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and</w:t>
      </w:r>
      <w:proofErr w:type="spellEnd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 xml:space="preserve"> </w:t>
      </w:r>
      <w:proofErr w:type="spellStart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control</w:t>
      </w:r>
      <w:proofErr w:type="spellEnd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 xml:space="preserve"> </w:t>
      </w:r>
      <w:proofErr w:type="spellStart"/>
      <w:r w:rsidRPr="00996F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parameters</w:t>
      </w:r>
      <w:proofErr w:type="spellEnd"/>
      <w:r w:rsidRPr="00996FB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data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used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above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analysis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contained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next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links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.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Please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see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Help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button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for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more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information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these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.</w:t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hyperlink r:id="rId13" w:history="1"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The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model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applied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to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the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training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environmental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layers</w:t>
        </w:r>
        <w:proofErr w:type="spellEnd"/>
      </w:hyperlink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hyperlink r:id="rId14" w:history="1"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The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coefficients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of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the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model</w:t>
        </w:r>
        <w:proofErr w:type="spellEnd"/>
      </w:hyperlink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hyperlink r:id="rId15" w:history="1"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The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omission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and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predicted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area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for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varying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cumulative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and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raw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thresholds</w:t>
        </w:r>
        <w:proofErr w:type="spellEnd"/>
      </w:hyperlink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hyperlink r:id="rId16" w:history="1"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The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prediction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strength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at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the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training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and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(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optionally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)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test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presence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sites</w:t>
        </w:r>
        <w:proofErr w:type="spellEnd"/>
      </w:hyperlink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hyperlink r:id="rId17" w:history="1"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Results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for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all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species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modeled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in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the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same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Maxent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run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,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with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summary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statistics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and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(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optionally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)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jackknife</w:t>
        </w:r>
        <w:proofErr w:type="spellEnd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85A67">
          <w:rPr>
            <w:rFonts w:ascii="Times New Roman" w:eastAsia="Times New Roman" w:hAnsi="Times New Roman" w:cs="Times New Roman"/>
            <w:i/>
            <w:color w:val="0066CC"/>
            <w:sz w:val="24"/>
            <w:szCs w:val="24"/>
            <w:u w:val="single"/>
            <w:lang w:eastAsia="bg-BG"/>
          </w:rPr>
          <w:t>results</w:t>
        </w:r>
        <w:proofErr w:type="spellEnd"/>
      </w:hyperlink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r w:rsidRPr="00996FB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Regularized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training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gain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1.694,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training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AUC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0.936,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unregularized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training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gain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1.892.</w:t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Algorithm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terminated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after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500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iterations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(3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seconds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).</w:t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follow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settings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were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used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during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run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:</w:t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bg-BG"/>
        </w:rPr>
        <w:t xml:space="preserve"> </w:t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155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presence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records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used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for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training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.</w:t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  <w:t xml:space="preserve">10155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points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used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to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determine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Maxent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distribution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(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background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points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and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presence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points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).</w:t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Environmental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layers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used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(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all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continuous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):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test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test12 test13 test14 test5 test6</w:t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Regularization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values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: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linear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/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quadratic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/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product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: 0.050,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categorical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: 0.250,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threshold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: 1.000,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hinge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: 0.500</w:t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Feature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types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used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: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hinge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product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linear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quadratic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outputdirectory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: /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media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/viktor2/external-store1/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climatic-analysis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/output5</w:t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samplesfile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: /home/viktor2/Work/a-tumida-sdd/maxent-input/A-tumida-occurrences-World+Italy.maxent</w:t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environmentallayers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: /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media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/viktor2/external-store1/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data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/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bioclim-asc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Command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line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used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: </w:t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br/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Command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line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to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repeat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this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species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model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: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java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density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.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MaxEnt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nowarnings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noprefixes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-E "" -E 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aet</w:t>
      </w:r>
      <w:proofErr w:type="spellEnd"/>
      <w:r w:rsidR="005F68C9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bg-BG"/>
        </w:rPr>
        <w:t>h</w:t>
      </w:r>
      <w:proofErr w:type="spellStart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ina_tumida</w:t>
      </w:r>
      <w:proofErr w:type="spellEnd"/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 xml:space="preserve"> outputdirectory=/media/viktor2/external-store1/climatic-analysis/output5 samplesfile=/home/viktor2/Work/a-tumida-sdd/ma</w:t>
      </w:r>
      <w:r w:rsidR="00466017"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xent-input/A-tumida-occurrences</w:t>
      </w:r>
      <w:r w:rsidRPr="00785A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g-BG"/>
        </w:rPr>
        <w:t>World+Italy.maxent environmentallayers=/media/viktor2/external-store1/data/bioclim-asc -N test10 -N test11 -N test15 -N test16 -N test17 -N test18 -N test19 -N test2 -N test3 -N test4 -N test7 -N test8 -N test9</w:t>
      </w:r>
    </w:p>
    <w:p w:rsidR="00C9595F" w:rsidRDefault="00C9595F" w:rsidP="00996FB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</w:p>
    <w:p w:rsidR="00C9595F" w:rsidRPr="00C9595F" w:rsidRDefault="00C9595F" w:rsidP="00996FB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</w:p>
    <w:p w:rsidR="00996FBD" w:rsidRDefault="00C9595F" w:rsidP="00996F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595F">
        <w:rPr>
          <w:rFonts w:ascii="Times New Roman" w:hAnsi="Times New Roman" w:cs="Times New Roman"/>
          <w:b/>
          <w:sz w:val="24"/>
          <w:szCs w:val="24"/>
        </w:rPr>
        <w:t>Изходни данни за сурови данни и контролни параметри</w:t>
      </w:r>
      <w:r w:rsidRPr="00C9595F">
        <w:rPr>
          <w:rFonts w:ascii="Times New Roman" w:hAnsi="Times New Roman" w:cs="Times New Roman"/>
          <w:b/>
          <w:sz w:val="24"/>
          <w:szCs w:val="24"/>
        </w:rPr>
        <w:br/>
      </w:r>
      <w:r w:rsidRPr="00C9595F">
        <w:rPr>
          <w:rFonts w:ascii="Times New Roman" w:hAnsi="Times New Roman" w:cs="Times New Roman"/>
          <w:sz w:val="24"/>
          <w:szCs w:val="24"/>
        </w:rPr>
        <w:br/>
        <w:t>Данните, използвани в горния анализ, се съдържат в следващите връзки. Моля, вижте бутона Помощ за повече информация за тях.</w:t>
      </w:r>
      <w:r w:rsidRPr="00C9595F">
        <w:rPr>
          <w:rFonts w:ascii="Times New Roman" w:hAnsi="Times New Roman" w:cs="Times New Roman"/>
          <w:sz w:val="24"/>
          <w:szCs w:val="24"/>
        </w:rPr>
        <w:br/>
      </w:r>
      <w:r w:rsidRPr="00D83BB2">
        <w:rPr>
          <w:rFonts w:ascii="Times New Roman" w:hAnsi="Times New Roman" w:cs="Times New Roman"/>
          <w:i/>
          <w:color w:val="00B050"/>
          <w:sz w:val="24"/>
          <w:szCs w:val="24"/>
        </w:rPr>
        <w:t>Моделът, приложен към тренировъчните слоеве на околната среда</w:t>
      </w:r>
      <w:r w:rsidRPr="00D83BB2">
        <w:rPr>
          <w:rFonts w:ascii="Times New Roman" w:hAnsi="Times New Roman" w:cs="Times New Roman"/>
          <w:i/>
          <w:color w:val="00B050"/>
          <w:sz w:val="24"/>
          <w:szCs w:val="24"/>
        </w:rPr>
        <w:br/>
        <w:t>Коефициентите на модела</w:t>
      </w:r>
      <w:r w:rsidRPr="00D83BB2">
        <w:rPr>
          <w:rFonts w:ascii="Times New Roman" w:hAnsi="Times New Roman" w:cs="Times New Roman"/>
          <w:i/>
          <w:color w:val="00B050"/>
          <w:sz w:val="24"/>
          <w:szCs w:val="24"/>
        </w:rPr>
        <w:br/>
        <w:t>Пропускът и прогнозираната площ за различни кумулативни и сурови прагове</w:t>
      </w:r>
      <w:r w:rsidRPr="00D83BB2">
        <w:rPr>
          <w:rFonts w:ascii="Times New Roman" w:hAnsi="Times New Roman" w:cs="Times New Roman"/>
          <w:i/>
          <w:color w:val="00B050"/>
          <w:sz w:val="24"/>
          <w:szCs w:val="24"/>
        </w:rPr>
        <w:br/>
        <w:t>Силата на прогнозиране в местата за обучение и (незадължително) тест присъствие</w:t>
      </w:r>
      <w:r w:rsidRPr="00D83BB2">
        <w:rPr>
          <w:rFonts w:ascii="Times New Roman" w:hAnsi="Times New Roman" w:cs="Times New Roman"/>
          <w:i/>
          <w:color w:val="00B050"/>
          <w:sz w:val="24"/>
          <w:szCs w:val="24"/>
        </w:rPr>
        <w:br/>
        <w:t xml:space="preserve">Резултати за всички видове, моделирани в една и съща </w:t>
      </w:r>
      <w:proofErr w:type="spellStart"/>
      <w:r w:rsidRPr="00D83BB2">
        <w:rPr>
          <w:rFonts w:ascii="Times New Roman" w:hAnsi="Times New Roman" w:cs="Times New Roman"/>
          <w:i/>
          <w:color w:val="00B050"/>
          <w:sz w:val="24"/>
          <w:szCs w:val="24"/>
        </w:rPr>
        <w:t>Maxent</w:t>
      </w:r>
      <w:proofErr w:type="spellEnd"/>
      <w:r w:rsidRPr="00D83BB2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</w:t>
      </w:r>
      <w:proofErr w:type="spellStart"/>
      <w:r w:rsidRPr="00D83BB2">
        <w:rPr>
          <w:rFonts w:ascii="Times New Roman" w:hAnsi="Times New Roman" w:cs="Times New Roman"/>
          <w:i/>
          <w:color w:val="00B050"/>
          <w:sz w:val="24"/>
          <w:szCs w:val="24"/>
        </w:rPr>
        <w:t>run</w:t>
      </w:r>
      <w:proofErr w:type="spellEnd"/>
      <w:r w:rsidRPr="00D83BB2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, с обобщена статистика и (незадължително) резултати на </w:t>
      </w:r>
      <w:proofErr w:type="spellStart"/>
      <w:r w:rsidRPr="00D83BB2">
        <w:rPr>
          <w:rFonts w:ascii="Times New Roman" w:hAnsi="Times New Roman" w:cs="Times New Roman"/>
          <w:i/>
          <w:color w:val="00B050"/>
          <w:sz w:val="24"/>
          <w:szCs w:val="24"/>
        </w:rPr>
        <w:t>jackknife</w:t>
      </w:r>
      <w:proofErr w:type="spellEnd"/>
      <w:r w:rsidRPr="00D83BB2">
        <w:rPr>
          <w:rFonts w:ascii="Times New Roman" w:hAnsi="Times New Roman" w:cs="Times New Roman"/>
          <w:sz w:val="24"/>
          <w:szCs w:val="24"/>
        </w:rPr>
        <w:br/>
      </w:r>
      <w:r w:rsidRPr="00C9595F">
        <w:rPr>
          <w:rFonts w:ascii="Times New Roman" w:hAnsi="Times New Roman" w:cs="Times New Roman"/>
          <w:sz w:val="24"/>
          <w:szCs w:val="24"/>
        </w:rPr>
        <w:br/>
      </w:r>
      <w:r w:rsidRPr="00C9595F">
        <w:rPr>
          <w:rFonts w:ascii="Times New Roman" w:hAnsi="Times New Roman" w:cs="Times New Roman"/>
          <w:sz w:val="24"/>
          <w:szCs w:val="24"/>
        </w:rPr>
        <w:br/>
        <w:t>Регулируемата печалба от обучението е 1,694, AUC на тренировката е 0,936, неконсолидираната печалба от обучението е 1,892.</w:t>
      </w:r>
      <w:r w:rsidRPr="00C9595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Алгоритъмът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се прекратява след 500 повторения (3 секунди).</w:t>
      </w:r>
      <w:r w:rsidRPr="00C9595F">
        <w:rPr>
          <w:rFonts w:ascii="Times New Roman" w:hAnsi="Times New Roman" w:cs="Times New Roman"/>
          <w:sz w:val="24"/>
          <w:szCs w:val="24"/>
        </w:rPr>
        <w:br/>
      </w:r>
      <w:r w:rsidRPr="00C9595F">
        <w:rPr>
          <w:rFonts w:ascii="Times New Roman" w:hAnsi="Times New Roman" w:cs="Times New Roman"/>
          <w:sz w:val="24"/>
          <w:szCs w:val="24"/>
        </w:rPr>
        <w:br/>
        <w:t>Следните настройки бяха използвани по време на изпълнение: 155 записи за присъствие, използвани за обучение.</w:t>
      </w:r>
      <w:r w:rsidRPr="00C9595F">
        <w:rPr>
          <w:rFonts w:ascii="Times New Roman" w:hAnsi="Times New Roman" w:cs="Times New Roman"/>
          <w:sz w:val="24"/>
          <w:szCs w:val="24"/>
        </w:rPr>
        <w:br/>
        <w:t xml:space="preserve">10155 точки, използвани за определяне на разпределението на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Maxent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(фонови точки и точки на присъствие).</w:t>
      </w:r>
      <w:r w:rsidRPr="00C9595F">
        <w:rPr>
          <w:rFonts w:ascii="Times New Roman" w:hAnsi="Times New Roman" w:cs="Times New Roman"/>
          <w:sz w:val="24"/>
          <w:szCs w:val="24"/>
        </w:rPr>
        <w:br/>
        <w:t>Използвани екологични слоеве (всички непрекъснати): тест тест12 тест13 тест14 тест5 тест6</w:t>
      </w:r>
      <w:r w:rsidRPr="00C9595F">
        <w:rPr>
          <w:rFonts w:ascii="Times New Roman" w:hAnsi="Times New Roman" w:cs="Times New Roman"/>
          <w:sz w:val="24"/>
          <w:szCs w:val="24"/>
        </w:rPr>
        <w:br/>
        <w:t>Регулационни стойности: линейно / квадратно / продукт: 0.050, категорично: 0.250, праг: 1.000, панта: 0.500</w:t>
      </w:r>
      <w:r w:rsidRPr="00C9595F">
        <w:rPr>
          <w:rFonts w:ascii="Times New Roman" w:hAnsi="Times New Roman" w:cs="Times New Roman"/>
          <w:sz w:val="24"/>
          <w:szCs w:val="24"/>
        </w:rPr>
        <w:br/>
        <w:t xml:space="preserve">Използвани типове елементи: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пантов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продукт линеен квадратен изходна директория: /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/ viktor2 / външно хранилище1 / климатичен анализ / изход5</w:t>
      </w:r>
      <w:r w:rsidRPr="00C9595F">
        <w:rPr>
          <w:rFonts w:ascii="Times New Roman" w:hAnsi="Times New Roman" w:cs="Times New Roman"/>
          <w:sz w:val="24"/>
          <w:szCs w:val="24"/>
        </w:rPr>
        <w:br/>
      </w:r>
      <w:r w:rsidRPr="00C9595F">
        <w:rPr>
          <w:rStyle w:val="shorttext"/>
          <w:rFonts w:ascii="Times New Roman" w:hAnsi="Times New Roman" w:cs="Times New Roman"/>
          <w:sz w:val="24"/>
          <w:szCs w:val="24"/>
        </w:rPr>
        <w:t>файл</w:t>
      </w:r>
      <w:r>
        <w:rPr>
          <w:rStyle w:val="shorttext"/>
          <w:rFonts w:ascii="Times New Roman" w:hAnsi="Times New Roman" w:cs="Times New Roman"/>
          <w:sz w:val="24"/>
          <w:szCs w:val="24"/>
        </w:rPr>
        <w:t xml:space="preserve"> образец</w:t>
      </w:r>
      <w:r w:rsidRPr="00C9595F">
        <w:rPr>
          <w:rFonts w:ascii="Times New Roman" w:hAnsi="Times New Roman" w:cs="Times New Roman"/>
          <w:sz w:val="24"/>
          <w:szCs w:val="24"/>
        </w:rPr>
        <w:t xml:space="preserve">: /home/viktor2/Work/a-tumida-sdd/maxent-input/A-tumida-accurrences-World+Italy.maxent екологични слоеве: /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/ viktor2 / external-store1 /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bioclim-asc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br/>
        <w:t>Използвана командна линия:</w:t>
      </w:r>
      <w:r w:rsidRPr="00C9595F">
        <w:rPr>
          <w:rFonts w:ascii="Times New Roman" w:hAnsi="Times New Roman" w:cs="Times New Roman"/>
          <w:sz w:val="24"/>
          <w:szCs w:val="24"/>
        </w:rPr>
        <w:br/>
      </w:r>
      <w:r w:rsidRPr="00C9595F">
        <w:rPr>
          <w:rFonts w:ascii="Times New Roman" w:hAnsi="Times New Roman" w:cs="Times New Roman"/>
          <w:sz w:val="24"/>
          <w:szCs w:val="24"/>
        </w:rPr>
        <w:br/>
        <w:t xml:space="preserve">Командния ред за повторение на този вид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вид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MaxEntNewsreports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-E "" -E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aet</w:t>
      </w:r>
      <w:proofErr w:type="spellEnd"/>
      <w:r w:rsidR="005F68C9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ina_tumida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outputdirectory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= /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/ viktor2 / external-store1 /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climatic-analysis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/ output5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samplesfile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= /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/ viktor2 /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sdd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maxent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A-tumida-occurrencesWorld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Italy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maxent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environmentallayers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= /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/ viktor2 / external-store1 /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9595F">
        <w:rPr>
          <w:rFonts w:ascii="Times New Roman" w:hAnsi="Times New Roman" w:cs="Times New Roman"/>
          <w:sz w:val="24"/>
          <w:szCs w:val="24"/>
        </w:rPr>
        <w:t>bioclim-asc</w:t>
      </w:r>
      <w:proofErr w:type="spellEnd"/>
      <w:r w:rsidRPr="00C9595F">
        <w:rPr>
          <w:rFonts w:ascii="Times New Roman" w:hAnsi="Times New Roman" w:cs="Times New Roman"/>
          <w:sz w:val="24"/>
          <w:szCs w:val="24"/>
        </w:rPr>
        <w:t xml:space="preserve"> -N тест10 -N тест11 -N тест15 -N тест16 -N test17 -N test18 - N тест19 -N тест2 -N тест3 -N тест4 -N тест7 -N тест8 -N тест9</w:t>
      </w:r>
    </w:p>
    <w:p w:rsidR="00EA3F68" w:rsidRDefault="00EA3F68" w:rsidP="00996F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3F68" w:rsidRDefault="00EA3F68" w:rsidP="00996FB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OIE, 2016.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Small hive beetle </w:t>
      </w:r>
      <w:r w:rsidRPr="00EA3F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27C0F">
        <w:rPr>
          <w:rFonts w:ascii="Times New Roman" w:hAnsi="Times New Roman" w:cs="Times New Roman"/>
          <w:i/>
          <w:sz w:val="24"/>
          <w:szCs w:val="24"/>
          <w:lang w:val="en-US"/>
        </w:rPr>
        <w:t>Aethina</w:t>
      </w:r>
      <w:proofErr w:type="spellEnd"/>
      <w:r w:rsidRPr="00027C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27C0F">
        <w:rPr>
          <w:rFonts w:ascii="Times New Roman" w:hAnsi="Times New Roman" w:cs="Times New Roman"/>
          <w:i/>
          <w:sz w:val="24"/>
          <w:szCs w:val="24"/>
          <w:lang w:val="en-US"/>
        </w:rPr>
        <w:t>tumida</w:t>
      </w:r>
      <w:proofErr w:type="spellEnd"/>
      <w:r w:rsidRPr="00EA3F68">
        <w:rPr>
          <w:rFonts w:ascii="Times New Roman" w:hAnsi="Times New Roman" w:cs="Times New Roman"/>
          <w:sz w:val="24"/>
          <w:szCs w:val="24"/>
          <w:lang w:val="en-US"/>
        </w:rPr>
        <w:t>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Brazil</w:t>
      </w:r>
      <w:r w:rsidR="00027C0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027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27C0F" w:rsidRPr="00027C0F">
        <w:rPr>
          <w:rFonts w:ascii="Times New Roman" w:hAnsi="Times New Roman" w:cs="Times New Roman"/>
          <w:sz w:val="24"/>
          <w:szCs w:val="24"/>
          <w:lang w:val="en-US"/>
        </w:rPr>
        <w:t>First occurrence of a listed disease in the country.</w:t>
      </w:r>
      <w:proofErr w:type="gramEnd"/>
      <w:r w:rsidR="00027C0F" w:rsidRPr="00027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27C0F" w:rsidRPr="00027C0F">
        <w:rPr>
          <w:rFonts w:ascii="Times New Roman" w:hAnsi="Times New Roman" w:cs="Times New Roman"/>
          <w:sz w:val="24"/>
          <w:szCs w:val="24"/>
          <w:lang w:val="en-US"/>
        </w:rPr>
        <w:t xml:space="preserve">Causal agent, </w:t>
      </w:r>
      <w:proofErr w:type="spellStart"/>
      <w:r w:rsidR="00027C0F" w:rsidRPr="00027C0F">
        <w:rPr>
          <w:rFonts w:ascii="Times New Roman" w:hAnsi="Times New Roman" w:cs="Times New Roman"/>
          <w:i/>
          <w:sz w:val="24"/>
          <w:szCs w:val="24"/>
          <w:lang w:val="en-US"/>
        </w:rPr>
        <w:t>Aethina</w:t>
      </w:r>
      <w:proofErr w:type="spellEnd"/>
      <w:r w:rsidR="00027C0F" w:rsidRPr="00027C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27C0F" w:rsidRPr="00027C0F">
        <w:rPr>
          <w:rFonts w:ascii="Times New Roman" w:hAnsi="Times New Roman" w:cs="Times New Roman"/>
          <w:i/>
          <w:sz w:val="24"/>
          <w:szCs w:val="24"/>
          <w:lang w:val="en-US"/>
        </w:rPr>
        <w:t>tumida</w:t>
      </w:r>
      <w:proofErr w:type="spellEnd"/>
      <w:r w:rsidR="00027C0F" w:rsidRPr="00027C0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027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8" w:history="1">
        <w:r w:rsidRPr="000D651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www.oie.int/wahis_2/public/wahid.php/Reviewreport/Review?reportid=19529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3F68" w:rsidRPr="00EA3F68" w:rsidRDefault="00EA3F68" w:rsidP="00996FB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A3F68" w:rsidRPr="00EA3F68" w:rsidSect="00A67454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83E2C"/>
    <w:multiLevelType w:val="hybridMultilevel"/>
    <w:tmpl w:val="653C1604"/>
    <w:lvl w:ilvl="0" w:tplc="7C9E2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BD"/>
    <w:rsid w:val="00027C0F"/>
    <w:rsid w:val="00034856"/>
    <w:rsid w:val="000A50CB"/>
    <w:rsid w:val="000E775D"/>
    <w:rsid w:val="0016093B"/>
    <w:rsid w:val="00273CAA"/>
    <w:rsid w:val="002B2A93"/>
    <w:rsid w:val="002D191B"/>
    <w:rsid w:val="003377F4"/>
    <w:rsid w:val="003E310C"/>
    <w:rsid w:val="00400FBE"/>
    <w:rsid w:val="00410470"/>
    <w:rsid w:val="00457B50"/>
    <w:rsid w:val="00466017"/>
    <w:rsid w:val="00487698"/>
    <w:rsid w:val="004D21B5"/>
    <w:rsid w:val="005826BB"/>
    <w:rsid w:val="005978A8"/>
    <w:rsid w:val="005F68C9"/>
    <w:rsid w:val="00785A67"/>
    <w:rsid w:val="00996FBD"/>
    <w:rsid w:val="00A67454"/>
    <w:rsid w:val="00A916D4"/>
    <w:rsid w:val="00B21123"/>
    <w:rsid w:val="00B4386A"/>
    <w:rsid w:val="00BC6200"/>
    <w:rsid w:val="00C41267"/>
    <w:rsid w:val="00C477B9"/>
    <w:rsid w:val="00C9595F"/>
    <w:rsid w:val="00D83BB2"/>
    <w:rsid w:val="00DD3C30"/>
    <w:rsid w:val="00E07EE9"/>
    <w:rsid w:val="00E20AE7"/>
    <w:rsid w:val="00E80990"/>
    <w:rsid w:val="00EA3F68"/>
    <w:rsid w:val="00F2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96FBD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477B9"/>
  </w:style>
  <w:style w:type="character" w:styleId="a5">
    <w:name w:val="Hyperlink"/>
    <w:basedOn w:val="a0"/>
    <w:uiPriority w:val="99"/>
    <w:unhideWhenUsed/>
    <w:rsid w:val="00A67454"/>
    <w:rPr>
      <w:color w:val="0000FF" w:themeColor="hyperlink"/>
      <w:u w:val="single"/>
    </w:rPr>
  </w:style>
  <w:style w:type="character" w:customStyle="1" w:styleId="notranslate">
    <w:name w:val="notranslate"/>
    <w:basedOn w:val="a0"/>
    <w:rsid w:val="00F22D29"/>
  </w:style>
  <w:style w:type="character" w:styleId="a6">
    <w:name w:val="Emphasis"/>
    <w:basedOn w:val="a0"/>
    <w:uiPriority w:val="20"/>
    <w:qFormat/>
    <w:rsid w:val="00F22D29"/>
    <w:rPr>
      <w:i/>
      <w:iCs/>
    </w:rPr>
  </w:style>
  <w:style w:type="character" w:styleId="a7">
    <w:name w:val="Strong"/>
    <w:basedOn w:val="a0"/>
    <w:uiPriority w:val="22"/>
    <w:qFormat/>
    <w:rsid w:val="00F22D29"/>
    <w:rPr>
      <w:b/>
      <w:bCs/>
    </w:rPr>
  </w:style>
  <w:style w:type="paragraph" w:styleId="a8">
    <w:name w:val="List Paragraph"/>
    <w:basedOn w:val="a"/>
    <w:uiPriority w:val="34"/>
    <w:qFormat/>
    <w:rsid w:val="004D21B5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EA3F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96FBD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477B9"/>
  </w:style>
  <w:style w:type="character" w:styleId="a5">
    <w:name w:val="Hyperlink"/>
    <w:basedOn w:val="a0"/>
    <w:uiPriority w:val="99"/>
    <w:unhideWhenUsed/>
    <w:rsid w:val="00A67454"/>
    <w:rPr>
      <w:color w:val="0000FF" w:themeColor="hyperlink"/>
      <w:u w:val="single"/>
    </w:rPr>
  </w:style>
  <w:style w:type="character" w:customStyle="1" w:styleId="notranslate">
    <w:name w:val="notranslate"/>
    <w:basedOn w:val="a0"/>
    <w:rsid w:val="00F22D29"/>
  </w:style>
  <w:style w:type="character" w:styleId="a6">
    <w:name w:val="Emphasis"/>
    <w:basedOn w:val="a0"/>
    <w:uiPriority w:val="20"/>
    <w:qFormat/>
    <w:rsid w:val="00F22D29"/>
    <w:rPr>
      <w:i/>
      <w:iCs/>
    </w:rPr>
  </w:style>
  <w:style w:type="character" w:styleId="a7">
    <w:name w:val="Strong"/>
    <w:basedOn w:val="a0"/>
    <w:uiPriority w:val="22"/>
    <w:qFormat/>
    <w:rsid w:val="00F22D29"/>
    <w:rPr>
      <w:b/>
      <w:bCs/>
    </w:rPr>
  </w:style>
  <w:style w:type="paragraph" w:styleId="a8">
    <w:name w:val="List Paragraph"/>
    <w:basedOn w:val="a"/>
    <w:uiPriority w:val="34"/>
    <w:qFormat/>
    <w:rsid w:val="004D21B5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EA3F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bif.org" TargetMode="External"/><Relationship Id="rId13" Type="http://schemas.openxmlformats.org/officeDocument/2006/relationships/hyperlink" Target="file:///C:\Users\Stela\Desktop\aetina_tumida.asc" TargetMode="External"/><Relationship Id="rId18" Type="http://schemas.openxmlformats.org/officeDocument/2006/relationships/hyperlink" Target="http://www.oie.int/wahis_2/public/wahid.php/Reviewreport/Review?reportid=1952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atlong.net" TargetMode="External"/><Relationship Id="rId12" Type="http://schemas.openxmlformats.org/officeDocument/2006/relationships/image" Target="media/image3.png"/><Relationship Id="rId17" Type="http://schemas.openxmlformats.org/officeDocument/2006/relationships/hyperlink" Target="file:///C:\Users\Stela\Desktop\maxentResults.csv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Stela\Desktop\aetina_tumida_samplePredictions.cs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ie.in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file:///C:\Users\Stela\Desktop\aetina_tumida_omission.csv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orldclim.org" TargetMode="External"/><Relationship Id="rId14" Type="http://schemas.openxmlformats.org/officeDocument/2006/relationships/hyperlink" Target="file:///C:\Users\Stela\Desktop\aetina_tumida.lambdas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Stela</dc:creator>
  <cp:lastModifiedBy>Pcheli</cp:lastModifiedBy>
  <cp:revision>29</cp:revision>
  <dcterms:created xsi:type="dcterms:W3CDTF">2018-09-25T14:22:00Z</dcterms:created>
  <dcterms:modified xsi:type="dcterms:W3CDTF">2018-09-26T11:50:00Z</dcterms:modified>
</cp:coreProperties>
</file>