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52921" w:rsidRPr="007D394E" w:rsidRDefault="00E52921" w:rsidP="009420D1">
      <w:pPr>
        <w:rPr>
          <w:rFonts w:ascii="Calibri" w:hAnsi="Calibri" w:cs="Calibri"/>
          <w:sz w:val="28"/>
          <w:szCs w:val="28"/>
        </w:rPr>
      </w:pPr>
      <w:r w:rsidRPr="00886566">
        <w:rPr>
          <w:rFonts w:ascii="Calibri" w:hAnsi="Calibri" w:cs="Calibri"/>
          <w:b/>
          <w:bCs/>
          <w:sz w:val="32"/>
          <w:szCs w:val="32"/>
        </w:rPr>
        <w:t>Question 1</w:t>
      </w:r>
      <w:r w:rsidRPr="00886566">
        <w:rPr>
          <w:rFonts w:ascii="Calibri" w:hAnsi="Calibri" w:cs="Calibri"/>
          <w:b/>
          <w:bCs/>
        </w:rPr>
        <w:t>:</w:t>
      </w:r>
      <w:r w:rsidRPr="00886566">
        <w:rPr>
          <w:rFonts w:ascii="Calibri" w:hAnsi="Calibri" w:cs="Calibri"/>
        </w:rPr>
        <w:t xml:space="preserve"> </w:t>
      </w:r>
      <w:r w:rsidRPr="007D394E">
        <w:rPr>
          <w:rFonts w:ascii="Calibri" w:hAnsi="Calibri" w:cs="Calibri"/>
          <w:sz w:val="28"/>
          <w:szCs w:val="28"/>
        </w:rPr>
        <w:t>What factors predispose a TED patient for reoccurrence of disease</w:t>
      </w:r>
    </w:p>
    <w:p w:rsidR="00EA3240" w:rsidRPr="00886566" w:rsidRDefault="00E52921" w:rsidP="009420D1">
      <w:pPr>
        <w:rPr>
          <w:rFonts w:ascii="Calibri" w:hAnsi="Calibri" w:cs="Calibri"/>
        </w:rPr>
      </w:pPr>
      <w:r w:rsidRPr="00886566">
        <w:rPr>
          <w:rFonts w:ascii="Calibri" w:hAnsi="Calibri" w:cs="Calibri"/>
          <w:b/>
          <w:bCs/>
          <w:sz w:val="32"/>
          <w:szCs w:val="32"/>
        </w:rPr>
        <w:t>Response 1</w:t>
      </w:r>
      <w:r w:rsidRPr="00886566">
        <w:rPr>
          <w:rFonts w:ascii="Calibri" w:hAnsi="Calibri" w:cs="Calibri"/>
          <w:b/>
          <w:bCs/>
        </w:rPr>
        <w:t>:</w:t>
      </w:r>
      <w:r w:rsidRPr="00886566">
        <w:rPr>
          <w:rFonts w:ascii="Calibri" w:hAnsi="Calibri" w:cs="Calibri"/>
        </w:rPr>
        <w:t xml:space="preserve"> </w:t>
      </w:r>
    </w:p>
    <w:p w:rsidR="00E52921" w:rsidRPr="00886566" w:rsidRDefault="00E52921" w:rsidP="009420D1">
      <w:pPr>
        <w:rPr>
          <w:rFonts w:ascii="Calibri" w:hAnsi="Calibri" w:cs="Calibri"/>
          <w:b/>
          <w:bCs/>
          <w:sz w:val="32"/>
          <w:szCs w:val="32"/>
        </w:rPr>
      </w:pPr>
      <w:r w:rsidRPr="00886566">
        <w:rPr>
          <w:rFonts w:ascii="Calibri" w:hAnsi="Calibri" w:cs="Calibri"/>
          <w:b/>
          <w:bCs/>
          <w:sz w:val="32"/>
          <w:szCs w:val="32"/>
        </w:rPr>
        <w:t>Factors Predisposing TED Patients to Disease Recurrence</w:t>
      </w:r>
      <w:r w:rsidR="00EA3240" w:rsidRPr="00886566">
        <w:rPr>
          <w:rFonts w:ascii="Calibri" w:hAnsi="Calibri" w:cs="Calibri"/>
          <w:sz w:val="32"/>
          <w:szCs w:val="32"/>
        </w:rPr>
        <w:t xml:space="preserve"> </w:t>
      </w:r>
      <w:r w:rsidR="00EA3240" w:rsidRPr="00886566">
        <w:rPr>
          <w:rFonts w:ascii="Calibri" w:hAnsi="Calibri" w:cs="Calibri"/>
          <w:b/>
          <w:bCs/>
          <w:sz w:val="32"/>
          <w:szCs w:val="32"/>
        </w:rPr>
        <w:t>-</w:t>
      </w:r>
    </w:p>
    <w:p w:rsidR="00EA3240" w:rsidRPr="00886566" w:rsidRDefault="00EA3240" w:rsidP="00EA3240">
      <w:pPr>
        <w:pStyle w:val="Heading3"/>
        <w:rPr>
          <w:rFonts w:ascii="Calibri" w:hAnsi="Calibri" w:cs="Calibri"/>
          <w:b/>
          <w:bCs/>
          <w:color w:val="000000"/>
        </w:rPr>
      </w:pPr>
      <w:r w:rsidRPr="00886566">
        <w:rPr>
          <w:rFonts w:ascii="Calibri" w:hAnsi="Calibri" w:cs="Calibri"/>
          <w:b/>
          <w:bCs/>
          <w:color w:val="000000"/>
        </w:rPr>
        <w:t>Risk Factors for TED Recurrence</w:t>
      </w:r>
    </w:p>
    <w:p w:rsidR="00EA3240" w:rsidRPr="00886566" w:rsidRDefault="00EA3240" w:rsidP="00EA3240">
      <w:pPr>
        <w:numPr>
          <w:ilvl w:val="0"/>
          <w:numId w:val="3"/>
        </w:numPr>
        <w:spacing w:before="100" w:beforeAutospacing="1" w:after="100" w:afterAutospacing="1" w:line="240" w:lineRule="auto"/>
        <w:rPr>
          <w:rFonts w:ascii="Calibri" w:hAnsi="Calibri" w:cs="Calibri"/>
          <w:color w:val="000000"/>
          <w:sz w:val="27"/>
          <w:szCs w:val="27"/>
        </w:rPr>
      </w:pPr>
      <w:r w:rsidRPr="00886566">
        <w:rPr>
          <w:rFonts w:ascii="Calibri" w:hAnsi="Calibri" w:cs="Calibri"/>
          <w:color w:val="000000"/>
          <w:sz w:val="27"/>
          <w:szCs w:val="27"/>
        </w:rPr>
        <w:t>Men, older patients, smokers, and those with rapid onset of orbitopathy are more likely to have severe TED requiring surgical intervention [${1}].</w:t>
      </w:r>
    </w:p>
    <w:p w:rsidR="00EA3240" w:rsidRPr="00886566" w:rsidRDefault="00EA3240" w:rsidP="00EA3240">
      <w:pPr>
        <w:numPr>
          <w:ilvl w:val="0"/>
          <w:numId w:val="3"/>
        </w:numPr>
        <w:spacing w:before="100" w:beforeAutospacing="1" w:after="100" w:afterAutospacing="1" w:line="240" w:lineRule="auto"/>
        <w:rPr>
          <w:rFonts w:ascii="Calibri" w:hAnsi="Calibri" w:cs="Calibri"/>
          <w:color w:val="000000"/>
          <w:sz w:val="27"/>
          <w:szCs w:val="27"/>
        </w:rPr>
      </w:pPr>
      <w:r w:rsidRPr="00886566">
        <w:rPr>
          <w:rFonts w:ascii="Calibri" w:hAnsi="Calibri" w:cs="Calibri"/>
          <w:color w:val="000000"/>
          <w:sz w:val="27"/>
          <w:szCs w:val="27"/>
        </w:rPr>
        <w:t>Smoking is the strongest modifiable risk factor for TED development and progression, associated with poorer treatment outcomes and increased risk of reactivation [${1}].</w:t>
      </w:r>
    </w:p>
    <w:p w:rsidR="00E52921" w:rsidRPr="00886566" w:rsidRDefault="00EA3240" w:rsidP="009420D1">
      <w:pPr>
        <w:numPr>
          <w:ilvl w:val="0"/>
          <w:numId w:val="3"/>
        </w:numPr>
        <w:spacing w:before="100" w:beforeAutospacing="1" w:after="100" w:afterAutospacing="1" w:line="240" w:lineRule="auto"/>
        <w:rPr>
          <w:rFonts w:ascii="Calibri" w:hAnsi="Calibri" w:cs="Calibri"/>
          <w:color w:val="000000"/>
          <w:sz w:val="27"/>
          <w:szCs w:val="27"/>
        </w:rPr>
      </w:pPr>
      <w:r w:rsidRPr="00886566">
        <w:rPr>
          <w:rFonts w:ascii="Calibri" w:hAnsi="Calibri" w:cs="Calibri"/>
          <w:color w:val="000000"/>
          <w:sz w:val="27"/>
          <w:szCs w:val="27"/>
        </w:rPr>
        <w:t>Radioactive iodine (RAI) therapy, while effective for hyperthyroidism, can increase the risk of de novo TED development and worsening of ophthalmopathy, especially in smokers [${1}].</w:t>
      </w:r>
    </w:p>
    <w:p w:rsidR="00EA3240" w:rsidRPr="00886566" w:rsidRDefault="00EA3240" w:rsidP="00EA3240">
      <w:pPr>
        <w:pStyle w:val="Heading3"/>
        <w:rPr>
          <w:rFonts w:ascii="Calibri" w:hAnsi="Calibri" w:cs="Calibri"/>
          <w:b/>
          <w:bCs/>
          <w:color w:val="000000"/>
        </w:rPr>
      </w:pPr>
      <w:r w:rsidRPr="00886566">
        <w:rPr>
          <w:rFonts w:ascii="Calibri" w:hAnsi="Calibri" w:cs="Calibri"/>
          <w:b/>
          <w:bCs/>
          <w:color w:val="000000"/>
        </w:rPr>
        <w:t>Impact of Smoking and RAI on TED Recurrence</w:t>
      </w:r>
    </w:p>
    <w:p w:rsidR="00EA3240" w:rsidRPr="00886566" w:rsidRDefault="00EA3240" w:rsidP="00EA3240">
      <w:pPr>
        <w:numPr>
          <w:ilvl w:val="0"/>
          <w:numId w:val="4"/>
        </w:numPr>
        <w:spacing w:before="100" w:beforeAutospacing="1" w:after="100" w:afterAutospacing="1" w:line="240" w:lineRule="auto"/>
        <w:rPr>
          <w:rFonts w:ascii="Calibri" w:hAnsi="Calibri" w:cs="Calibri"/>
          <w:color w:val="000000"/>
          <w:sz w:val="27"/>
          <w:szCs w:val="27"/>
        </w:rPr>
      </w:pPr>
      <w:r w:rsidRPr="00886566">
        <w:rPr>
          <w:rFonts w:ascii="Calibri" w:hAnsi="Calibri" w:cs="Calibri"/>
          <w:color w:val="000000"/>
          <w:sz w:val="27"/>
          <w:szCs w:val="27"/>
        </w:rPr>
        <w:t>Smoking is strongly associated with disease progression, poorer treatment outcomes, and increased risk of future reactivation in TED patients [${1}].</w:t>
      </w:r>
    </w:p>
    <w:p w:rsidR="00EA3240" w:rsidRPr="00886566" w:rsidRDefault="00EA3240" w:rsidP="00EA3240">
      <w:pPr>
        <w:numPr>
          <w:ilvl w:val="0"/>
          <w:numId w:val="4"/>
        </w:numPr>
        <w:spacing w:before="100" w:beforeAutospacing="1" w:after="100" w:afterAutospacing="1" w:line="240" w:lineRule="auto"/>
        <w:rPr>
          <w:rFonts w:ascii="Calibri" w:hAnsi="Calibri" w:cs="Calibri"/>
          <w:color w:val="000000"/>
          <w:sz w:val="27"/>
          <w:szCs w:val="27"/>
        </w:rPr>
      </w:pPr>
      <w:r w:rsidRPr="00886566">
        <w:rPr>
          <w:rFonts w:ascii="Calibri" w:hAnsi="Calibri" w:cs="Calibri"/>
          <w:color w:val="000000"/>
          <w:sz w:val="27"/>
          <w:szCs w:val="27"/>
        </w:rPr>
        <w:t>RAI therapy has been shown to increase the risk of developing de novo TED and worsening ophthalmopathy, particularly in certain patients, such as smokers [${1}].</w:t>
      </w:r>
    </w:p>
    <w:p w:rsidR="00EA3240" w:rsidRPr="00886566" w:rsidRDefault="00EA3240" w:rsidP="00EA3240">
      <w:pPr>
        <w:pStyle w:val="Heading3"/>
        <w:rPr>
          <w:rFonts w:ascii="Calibri" w:hAnsi="Calibri" w:cs="Calibri"/>
          <w:b/>
          <w:bCs/>
          <w:color w:val="000000"/>
          <w:sz w:val="27"/>
          <w:szCs w:val="27"/>
        </w:rPr>
      </w:pPr>
      <w:r w:rsidRPr="00886566">
        <w:rPr>
          <w:rFonts w:ascii="Calibri" w:hAnsi="Calibri" w:cs="Calibri"/>
          <w:b/>
          <w:bCs/>
          <w:color w:val="000000"/>
        </w:rPr>
        <w:t>Role of Smoking and RAI in TED Pathogenesis</w:t>
      </w:r>
    </w:p>
    <w:p w:rsidR="00EA3240" w:rsidRPr="00886566" w:rsidRDefault="00EA3240" w:rsidP="00EA3240">
      <w:pPr>
        <w:numPr>
          <w:ilvl w:val="0"/>
          <w:numId w:val="5"/>
        </w:numPr>
        <w:spacing w:before="100" w:beforeAutospacing="1" w:after="100" w:afterAutospacing="1" w:line="240" w:lineRule="auto"/>
        <w:rPr>
          <w:rFonts w:ascii="Calibri" w:hAnsi="Calibri" w:cs="Calibri"/>
          <w:color w:val="000000"/>
          <w:sz w:val="27"/>
          <w:szCs w:val="27"/>
        </w:rPr>
      </w:pPr>
      <w:r w:rsidRPr="00886566">
        <w:rPr>
          <w:rFonts w:ascii="Calibri" w:hAnsi="Calibri" w:cs="Calibri"/>
          <w:color w:val="000000"/>
          <w:sz w:val="27"/>
          <w:szCs w:val="27"/>
        </w:rPr>
        <w:t xml:space="preserve">Smoking is a significant risk factor for TED development and progression, with a greater association with the </w:t>
      </w:r>
      <w:proofErr w:type="gramStart"/>
      <w:r w:rsidRPr="00886566">
        <w:rPr>
          <w:rFonts w:ascii="Calibri" w:hAnsi="Calibri" w:cs="Calibri"/>
          <w:color w:val="000000"/>
          <w:sz w:val="27"/>
          <w:szCs w:val="27"/>
        </w:rPr>
        <w:t>amount</w:t>
      </w:r>
      <w:proofErr w:type="gramEnd"/>
      <w:r w:rsidRPr="00886566">
        <w:rPr>
          <w:rFonts w:ascii="Calibri" w:hAnsi="Calibri" w:cs="Calibri"/>
          <w:color w:val="000000"/>
          <w:sz w:val="27"/>
          <w:szCs w:val="27"/>
        </w:rPr>
        <w:t xml:space="preserve"> of cigarettes smoked post-Graves' disease diagnosis [${3}].</w:t>
      </w:r>
    </w:p>
    <w:p w:rsidR="00EA3240" w:rsidRPr="00886566" w:rsidRDefault="00EA3240" w:rsidP="00EA3240">
      <w:pPr>
        <w:numPr>
          <w:ilvl w:val="0"/>
          <w:numId w:val="5"/>
        </w:numPr>
        <w:spacing w:before="100" w:beforeAutospacing="1" w:after="100" w:afterAutospacing="1" w:line="240" w:lineRule="auto"/>
        <w:rPr>
          <w:rFonts w:ascii="Calibri" w:hAnsi="Calibri" w:cs="Calibri"/>
          <w:color w:val="000000"/>
          <w:sz w:val="27"/>
          <w:szCs w:val="27"/>
        </w:rPr>
      </w:pPr>
      <w:r w:rsidRPr="00886566">
        <w:rPr>
          <w:rFonts w:ascii="Calibri" w:hAnsi="Calibri" w:cs="Calibri"/>
          <w:color w:val="000000"/>
          <w:sz w:val="27"/>
          <w:szCs w:val="27"/>
        </w:rPr>
        <w:t>RAI therapy is a known risk factor for both the development and progression of TED, with glucocorticoid usage potentially mitigating the associated risks [${3}].</w:t>
      </w:r>
    </w:p>
    <w:p w:rsidR="00DC7E4D" w:rsidRPr="00DC7E4D" w:rsidRDefault="00DC7E4D" w:rsidP="00DC7E4D">
      <w:pPr>
        <w:rPr>
          <w:rFonts w:ascii="Calibri" w:hAnsi="Calibri" w:cs="Calibri"/>
        </w:rPr>
      </w:pPr>
      <w:r w:rsidRPr="00DC7E4D">
        <w:rPr>
          <w:rFonts w:ascii="Calibri" w:hAnsi="Calibri" w:cs="Calibri"/>
        </w:rPr>
        <w:t>-------------------------------------------------------------------------------------------------------------------------------</w:t>
      </w:r>
    </w:p>
    <w:p w:rsidR="007D394E" w:rsidRDefault="00CD2977" w:rsidP="00F65817">
      <w:pPr>
        <w:rPr>
          <w:rFonts w:ascii="Calibri" w:hAnsi="Calibri" w:cs="Calibri"/>
        </w:rPr>
      </w:pPr>
      <w:r w:rsidRPr="00886566">
        <w:rPr>
          <w:rFonts w:ascii="Calibri" w:hAnsi="Calibri" w:cs="Calibri"/>
          <w:b/>
          <w:bCs/>
          <w:sz w:val="32"/>
          <w:szCs w:val="32"/>
        </w:rPr>
        <w:t>User Comment:</w:t>
      </w:r>
      <w:r w:rsidRPr="00886566">
        <w:rPr>
          <w:rFonts w:ascii="Calibri" w:hAnsi="Calibri" w:cs="Calibri"/>
        </w:rPr>
        <w:t xml:space="preserve"> The answer provides some relevancy. Needs more information about Recurrence of TED. Should be using reference on 'Recurrent Thyroid Eye Disease'.</w:t>
      </w:r>
    </w:p>
    <w:p w:rsidR="00F65817" w:rsidRPr="00886566" w:rsidRDefault="00CD2977" w:rsidP="00F65817">
      <w:pPr>
        <w:rPr>
          <w:rFonts w:ascii="Calibri" w:hAnsi="Calibri" w:cs="Calibri"/>
        </w:rPr>
      </w:pPr>
      <w:r w:rsidRPr="00886566">
        <w:rPr>
          <w:rFonts w:ascii="Calibri" w:hAnsi="Calibri" w:cs="Calibri"/>
        </w:rPr>
        <w:t>​</w:t>
      </w:r>
      <w:r w:rsidRPr="00886566">
        <w:rPr>
          <w:rFonts w:ascii="Calibri" w:hAnsi="Calibri" w:cs="Calibri"/>
          <w:b/>
          <w:bCs/>
          <w:sz w:val="32"/>
          <w:szCs w:val="32"/>
        </w:rPr>
        <w:t>Details Required:</w:t>
      </w:r>
      <w:r w:rsidRPr="00886566">
        <w:rPr>
          <w:rFonts w:ascii="Calibri" w:hAnsi="Calibri" w:cs="Calibri"/>
          <w:sz w:val="32"/>
          <w:szCs w:val="32"/>
        </w:rPr>
        <w:t xml:space="preserve"> </w:t>
      </w:r>
      <w:r w:rsidR="00F65817" w:rsidRPr="00886566">
        <w:rPr>
          <w:rFonts w:ascii="Calibri" w:hAnsi="Calibri" w:cs="Calibri"/>
        </w:rPr>
        <w:t>Need specific document and the content being referred here for Recurrent Thyroid Eye Disease</w:t>
      </w:r>
    </w:p>
    <w:p w:rsidR="00E52921" w:rsidRPr="00886566" w:rsidRDefault="00E52921" w:rsidP="009420D1">
      <w:pPr>
        <w:rPr>
          <w:rFonts w:ascii="Calibri" w:hAnsi="Calibri" w:cs="Calibri"/>
          <w:b/>
          <w:bCs/>
        </w:rPr>
      </w:pPr>
    </w:p>
    <w:p w:rsidR="00170DFC" w:rsidRPr="00886566" w:rsidRDefault="00EA3240" w:rsidP="009420D1">
      <w:pPr>
        <w:rPr>
          <w:rFonts w:ascii="Calibri" w:hAnsi="Calibri" w:cs="Calibri"/>
          <w:b/>
          <w:bCs/>
        </w:rPr>
      </w:pPr>
      <w:r w:rsidRPr="00886566">
        <w:rPr>
          <w:rFonts w:ascii="Calibri" w:hAnsi="Calibri" w:cs="Calibri"/>
          <w:b/>
          <w:bCs/>
          <w:noProof/>
        </w:rPr>
        <mc:AlternateContent>
          <mc:Choice Requires="wps">
            <w:drawing>
              <wp:anchor distT="0" distB="0" distL="114300" distR="114300" simplePos="0" relativeHeight="251659264" behindDoc="0" locked="0" layoutInCell="1" allowOverlap="1" wp14:anchorId="11E8A442" wp14:editId="3BD96325">
                <wp:simplePos x="0" y="0"/>
                <wp:positionH relativeFrom="column">
                  <wp:posOffset>-279400</wp:posOffset>
                </wp:positionH>
                <wp:positionV relativeFrom="paragraph">
                  <wp:posOffset>100965</wp:posOffset>
                </wp:positionV>
                <wp:extent cx="6756400" cy="6350"/>
                <wp:effectExtent l="0" t="0" r="25400" b="31750"/>
                <wp:wrapNone/>
                <wp:docPr id="363651559" name="Straight Connector 1"/>
                <wp:cNvGraphicFramePr/>
                <a:graphic xmlns:a="http://schemas.openxmlformats.org/drawingml/2006/main">
                  <a:graphicData uri="http://schemas.microsoft.com/office/word/2010/wordprocessingShape">
                    <wps:wsp>
                      <wps:cNvCnPr/>
                      <wps:spPr>
                        <a:xfrm flipV="1">
                          <a:off x="0" y="0"/>
                          <a:ext cx="6756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39020A"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pt,7.95pt" to="510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" strokecolor="#156082 [3204]" strokeweight=".5pt">
                <v:stroke joinstyle="miter"/>
              </v:line>
            </w:pict>
          </mc:Fallback>
        </mc:AlternateContent>
      </w:r>
    </w:p>
    <w:p w:rsidR="00170DFC" w:rsidRPr="00886566" w:rsidRDefault="00170DFC" w:rsidP="009420D1">
      <w:pPr>
        <w:rPr>
          <w:rFonts w:ascii="Calibri" w:hAnsi="Calibri" w:cs="Calibri"/>
          <w:b/>
          <w:bCs/>
        </w:rPr>
      </w:pPr>
    </w:p>
    <w:p w:rsidR="00E52921" w:rsidRPr="007D394E" w:rsidRDefault="00E52921" w:rsidP="009420D1">
      <w:pPr>
        <w:rPr>
          <w:rFonts w:ascii="Calibri" w:hAnsi="Calibri" w:cs="Calibri"/>
          <w:sz w:val="28"/>
          <w:szCs w:val="28"/>
        </w:rPr>
      </w:pPr>
      <w:r w:rsidRPr="00886566">
        <w:rPr>
          <w:rFonts w:ascii="Calibri" w:hAnsi="Calibri" w:cs="Calibri"/>
          <w:b/>
          <w:bCs/>
          <w:sz w:val="32"/>
          <w:szCs w:val="32"/>
        </w:rPr>
        <w:t>Question 2:</w:t>
      </w:r>
      <w:r w:rsidRPr="00886566">
        <w:rPr>
          <w:rFonts w:ascii="Calibri" w:hAnsi="Calibri" w:cs="Calibri"/>
        </w:rPr>
        <w:t xml:space="preserve"> </w:t>
      </w:r>
      <w:r w:rsidRPr="007D394E">
        <w:rPr>
          <w:rFonts w:ascii="Calibri" w:hAnsi="Calibri" w:cs="Calibri"/>
          <w:sz w:val="28"/>
          <w:szCs w:val="28"/>
        </w:rPr>
        <w:t>What are the complications caused by glucocorticoids in TED</w:t>
      </w:r>
    </w:p>
    <w:p w:rsidR="00E52921" w:rsidRPr="00886566" w:rsidRDefault="00E52921" w:rsidP="00EA3240">
      <w:pPr>
        <w:rPr>
          <w:rFonts w:ascii="Calibri" w:hAnsi="Calibri" w:cs="Calibri"/>
        </w:rPr>
      </w:pPr>
      <w:r w:rsidRPr="00886566">
        <w:rPr>
          <w:rFonts w:ascii="Calibri" w:hAnsi="Calibri" w:cs="Calibri"/>
          <w:b/>
          <w:bCs/>
          <w:sz w:val="32"/>
          <w:szCs w:val="32"/>
        </w:rPr>
        <w:t>Response 2</w:t>
      </w:r>
      <w:r w:rsidRPr="00886566">
        <w:rPr>
          <w:rFonts w:ascii="Calibri" w:hAnsi="Calibri" w:cs="Calibri"/>
          <w:b/>
          <w:bCs/>
        </w:rPr>
        <w:t>:</w:t>
      </w:r>
    </w:p>
    <w:p w:rsidR="00EA3240" w:rsidRPr="00886566" w:rsidRDefault="00EA3240" w:rsidP="00EA3240">
      <w:pPr>
        <w:pStyle w:val="Heading2"/>
        <w:rPr>
          <w:rFonts w:ascii="Calibri" w:hAnsi="Calibri" w:cs="Calibri"/>
          <w:b/>
          <w:bCs/>
          <w:color w:val="000000"/>
        </w:rPr>
      </w:pPr>
      <w:r w:rsidRPr="00886566">
        <w:rPr>
          <w:rFonts w:ascii="Calibri" w:hAnsi="Calibri" w:cs="Calibri"/>
          <w:b/>
          <w:bCs/>
          <w:color w:val="000000"/>
        </w:rPr>
        <w:t>Complications Caused by Glucocorticoids in Thyroid Eye Disease (TED)</w:t>
      </w:r>
    </w:p>
    <w:p w:rsidR="00EA3240" w:rsidRPr="00886566" w:rsidRDefault="00EA3240" w:rsidP="00EA3240">
      <w:pPr>
        <w:pStyle w:val="NormalWeb"/>
        <w:rPr>
          <w:rFonts w:ascii="Calibri" w:hAnsi="Calibri" w:cs="Calibri"/>
          <w:color w:val="000000"/>
          <w:sz w:val="27"/>
          <w:szCs w:val="27"/>
        </w:rPr>
      </w:pPr>
      <w:r w:rsidRPr="00886566">
        <w:rPr>
          <w:rFonts w:ascii="Calibri" w:hAnsi="Calibri" w:cs="Calibri"/>
          <w:color w:val="000000"/>
          <w:sz w:val="27"/>
          <w:szCs w:val="27"/>
        </w:rPr>
        <w:t>Glucocorticoids are commonly used in the management of Thyroid Eye Disease (TED) to reduce inflammation and symptoms associated with the condition [${8}].</w:t>
      </w:r>
    </w:p>
    <w:p w:rsidR="00EA3240" w:rsidRPr="00886566" w:rsidRDefault="00EA3240" w:rsidP="00EA3240">
      <w:pPr>
        <w:pStyle w:val="Heading3"/>
        <w:rPr>
          <w:rFonts w:ascii="Calibri" w:hAnsi="Calibri" w:cs="Calibri"/>
          <w:b/>
          <w:bCs/>
          <w:color w:val="000000"/>
          <w:sz w:val="27"/>
          <w:szCs w:val="27"/>
        </w:rPr>
      </w:pPr>
      <w:r w:rsidRPr="00886566">
        <w:rPr>
          <w:rFonts w:ascii="Calibri" w:hAnsi="Calibri" w:cs="Calibri"/>
          <w:b/>
          <w:bCs/>
          <w:color w:val="000000"/>
        </w:rPr>
        <w:t>Impact on Disease Course</w:t>
      </w:r>
    </w:p>
    <w:p w:rsidR="00EA3240" w:rsidRPr="00886566" w:rsidRDefault="00EA3240" w:rsidP="00EA3240">
      <w:pPr>
        <w:numPr>
          <w:ilvl w:val="0"/>
          <w:numId w:val="6"/>
        </w:numPr>
        <w:spacing w:before="100" w:beforeAutospacing="1" w:after="100" w:afterAutospacing="1" w:line="240" w:lineRule="auto"/>
        <w:rPr>
          <w:rFonts w:ascii="Calibri" w:hAnsi="Calibri" w:cs="Calibri"/>
          <w:color w:val="000000"/>
          <w:sz w:val="27"/>
          <w:szCs w:val="27"/>
        </w:rPr>
      </w:pPr>
      <w:r w:rsidRPr="00886566">
        <w:rPr>
          <w:rFonts w:ascii="Calibri" w:hAnsi="Calibri" w:cs="Calibri"/>
          <w:color w:val="000000"/>
          <w:sz w:val="27"/>
          <w:szCs w:val="27"/>
        </w:rPr>
        <w:t>High-dose glucocorticoids have been evaluated in numerous trials for TED but have not shown success in modifying the disease endpoints or preventing long-term sequelae [${2}].</w:t>
      </w:r>
    </w:p>
    <w:p w:rsidR="00EA3240" w:rsidRPr="00886566" w:rsidRDefault="00EA3240" w:rsidP="00EA3240">
      <w:pPr>
        <w:numPr>
          <w:ilvl w:val="0"/>
          <w:numId w:val="6"/>
        </w:numPr>
        <w:spacing w:before="100" w:beforeAutospacing="1" w:after="100" w:afterAutospacing="1" w:line="240" w:lineRule="auto"/>
        <w:rPr>
          <w:rFonts w:ascii="Calibri" w:hAnsi="Calibri" w:cs="Calibri"/>
          <w:color w:val="000000"/>
          <w:sz w:val="27"/>
          <w:szCs w:val="27"/>
        </w:rPr>
      </w:pPr>
      <w:r w:rsidRPr="00886566">
        <w:rPr>
          <w:rFonts w:ascii="Calibri" w:hAnsi="Calibri" w:cs="Calibri"/>
          <w:color w:val="000000"/>
          <w:sz w:val="27"/>
          <w:szCs w:val="27"/>
        </w:rPr>
        <w:t>Glucocorticoids are typically administered during the active phase of moderate to severe TED to lessen inflammation-related signs and symptoms [${8}].</w:t>
      </w:r>
    </w:p>
    <w:p w:rsidR="00EA3240" w:rsidRPr="00E14EF3" w:rsidRDefault="00EA3240" w:rsidP="00EA3240">
      <w:pPr>
        <w:pStyle w:val="Heading3"/>
        <w:rPr>
          <w:rFonts w:ascii="Calibri" w:hAnsi="Calibri" w:cs="Calibri"/>
          <w:b/>
          <w:bCs/>
          <w:color w:val="000000"/>
          <w:sz w:val="27"/>
          <w:szCs w:val="27"/>
          <w:highlight w:val="yellow"/>
        </w:rPr>
      </w:pPr>
      <w:r w:rsidRPr="00E14EF3">
        <w:rPr>
          <w:rFonts w:ascii="Calibri" w:hAnsi="Calibri" w:cs="Calibri"/>
          <w:b/>
          <w:bCs/>
          <w:color w:val="000000"/>
          <w:highlight w:val="yellow"/>
        </w:rPr>
        <w:t>Quality of Life and Socioeconomic Impact</w:t>
      </w:r>
    </w:p>
    <w:p w:rsidR="00EA3240" w:rsidRPr="00E14EF3" w:rsidRDefault="00EA3240" w:rsidP="00EA3240">
      <w:pPr>
        <w:numPr>
          <w:ilvl w:val="0"/>
          <w:numId w:val="7"/>
        </w:numPr>
        <w:spacing w:before="100" w:beforeAutospacing="1" w:after="100" w:afterAutospacing="1" w:line="240" w:lineRule="auto"/>
        <w:rPr>
          <w:rFonts w:ascii="Calibri" w:hAnsi="Calibri" w:cs="Calibri"/>
          <w:color w:val="000000"/>
          <w:sz w:val="27"/>
          <w:szCs w:val="27"/>
          <w:highlight w:val="yellow"/>
        </w:rPr>
      </w:pPr>
      <w:r w:rsidRPr="00E14EF3">
        <w:rPr>
          <w:rFonts w:ascii="Calibri" w:hAnsi="Calibri" w:cs="Calibri"/>
          <w:color w:val="000000"/>
          <w:sz w:val="27"/>
          <w:szCs w:val="27"/>
          <w:highlight w:val="yellow"/>
        </w:rPr>
        <w:t>TED can severely impact quality of life and socioeconomic status, with proptosis and diplopia significantly affecting daily activities and self-confidence [${2}].</w:t>
      </w:r>
    </w:p>
    <w:p w:rsidR="00EA3240" w:rsidRPr="00E14EF3" w:rsidRDefault="00EA3240" w:rsidP="00EA3240">
      <w:pPr>
        <w:numPr>
          <w:ilvl w:val="0"/>
          <w:numId w:val="7"/>
        </w:numPr>
        <w:spacing w:before="100" w:beforeAutospacing="1" w:after="100" w:afterAutospacing="1" w:line="240" w:lineRule="auto"/>
        <w:rPr>
          <w:rFonts w:ascii="Calibri" w:hAnsi="Calibri" w:cs="Calibri"/>
          <w:color w:val="000000"/>
          <w:sz w:val="27"/>
          <w:szCs w:val="27"/>
          <w:highlight w:val="yellow"/>
        </w:rPr>
      </w:pPr>
      <w:r w:rsidRPr="00E14EF3">
        <w:rPr>
          <w:rFonts w:ascii="Calibri" w:hAnsi="Calibri" w:cs="Calibri"/>
          <w:color w:val="000000"/>
          <w:sz w:val="27"/>
          <w:szCs w:val="27"/>
          <w:highlight w:val="yellow"/>
        </w:rPr>
        <w:t>Patients with TED may experience limitations in driving, working, watching television, reading, and social interactions due to the physical changes caused by the disease [${2}].</w:t>
      </w:r>
    </w:p>
    <w:p w:rsidR="00EA3240" w:rsidRPr="00E14EF3" w:rsidRDefault="00EA3240" w:rsidP="00EA3240">
      <w:pPr>
        <w:numPr>
          <w:ilvl w:val="0"/>
          <w:numId w:val="7"/>
        </w:numPr>
        <w:spacing w:before="100" w:beforeAutospacing="1" w:after="100" w:afterAutospacing="1" w:line="240" w:lineRule="auto"/>
        <w:rPr>
          <w:rFonts w:ascii="Calibri" w:hAnsi="Calibri" w:cs="Calibri"/>
          <w:color w:val="000000"/>
          <w:sz w:val="27"/>
          <w:szCs w:val="27"/>
          <w:highlight w:val="yellow"/>
        </w:rPr>
      </w:pPr>
      <w:r w:rsidRPr="00E14EF3">
        <w:rPr>
          <w:rFonts w:ascii="Calibri" w:hAnsi="Calibri" w:cs="Calibri"/>
          <w:color w:val="000000"/>
          <w:sz w:val="27"/>
          <w:szCs w:val="27"/>
          <w:highlight w:val="yellow"/>
        </w:rPr>
        <w:t>These drastic quality-of-life changes have been associated with higher rates of suicide in the TED patient population [${2}].</w:t>
      </w:r>
    </w:p>
    <w:p w:rsidR="00EA3240" w:rsidRPr="00886566" w:rsidRDefault="00EA3240" w:rsidP="00EA3240">
      <w:pPr>
        <w:pStyle w:val="NormalWeb"/>
        <w:rPr>
          <w:rFonts w:ascii="Calibri" w:hAnsi="Calibri" w:cs="Calibri"/>
          <w:color w:val="000000"/>
          <w:sz w:val="27"/>
          <w:szCs w:val="27"/>
        </w:rPr>
      </w:pPr>
      <w:r w:rsidRPr="00886566">
        <w:rPr>
          <w:rFonts w:ascii="Calibri" w:hAnsi="Calibri" w:cs="Calibri"/>
          <w:color w:val="000000"/>
          <w:sz w:val="27"/>
          <w:szCs w:val="27"/>
        </w:rPr>
        <w:t>Overall, glucocorticoids play a role in managing inflammation in TED but do not prevent long-term complications or modify the disease course significantly [${8}].</w:t>
      </w:r>
    </w:p>
    <w:p w:rsidR="007D394E" w:rsidRPr="00886566" w:rsidRDefault="007D394E" w:rsidP="007D394E">
      <w:pPr>
        <w:rPr>
          <w:rFonts w:ascii="Calibri" w:hAnsi="Calibri" w:cs="Calibri"/>
        </w:rPr>
      </w:pPr>
      <w:r w:rsidRPr="00886566">
        <w:rPr>
          <w:rFonts w:ascii="Calibri" w:hAnsi="Calibri" w:cs="Calibri"/>
        </w:rPr>
        <w:t>------------------------------------------------------------------------------------------------------------------</w:t>
      </w:r>
      <w:r>
        <w:rPr>
          <w:rFonts w:ascii="Calibri" w:hAnsi="Calibri" w:cs="Calibri"/>
        </w:rPr>
        <w:t>-------------</w:t>
      </w:r>
    </w:p>
    <w:p w:rsidR="00E14EF3" w:rsidRPr="00CD323E" w:rsidRDefault="00CD2977" w:rsidP="009420D1">
      <w:pPr>
        <w:rPr>
          <w:rFonts w:ascii="Calibri" w:hAnsi="Calibri" w:cs="Calibri"/>
          <w:vertAlign w:val="subscript"/>
        </w:rPr>
      </w:pPr>
      <w:r w:rsidRPr="00886566">
        <w:rPr>
          <w:rFonts w:ascii="Calibri" w:hAnsi="Calibri" w:cs="Calibri"/>
          <w:b/>
          <w:bCs/>
          <w:sz w:val="32"/>
          <w:szCs w:val="32"/>
        </w:rPr>
        <w:t>User Comment:</w:t>
      </w:r>
      <w:r w:rsidRPr="00886566">
        <w:rPr>
          <w:rFonts w:ascii="Calibri" w:hAnsi="Calibri" w:cs="Calibri"/>
        </w:rPr>
        <w:t xml:space="preserve"> </w:t>
      </w:r>
      <w:r w:rsidRPr="00CD323E">
        <w:rPr>
          <w:rFonts w:ascii="Calibri" w:hAnsi="Calibri" w:cs="Calibri"/>
          <w:vertAlign w:val="subscript"/>
        </w:rPr>
        <w:t>The response does not provide details of the complications caused by steroid use in TED. ​</w:t>
      </w:r>
    </w:p>
    <w:p w:rsidR="00F65817" w:rsidRDefault="00CD2977" w:rsidP="00F65817">
      <w:pPr>
        <w:rPr>
          <w:rFonts w:ascii="Calibri" w:hAnsi="Calibri" w:cs="Calibri"/>
        </w:rPr>
      </w:pPr>
      <w:r w:rsidRPr="00886566">
        <w:rPr>
          <w:rFonts w:ascii="Calibri" w:hAnsi="Calibri" w:cs="Calibri"/>
          <w:b/>
          <w:bCs/>
          <w:sz w:val="32"/>
          <w:szCs w:val="32"/>
        </w:rPr>
        <w:t>Details Required:</w:t>
      </w:r>
      <w:r w:rsidRPr="00886566">
        <w:rPr>
          <w:rFonts w:ascii="Calibri" w:hAnsi="Calibri" w:cs="Calibri"/>
        </w:rPr>
        <w:t xml:space="preserve"> </w:t>
      </w:r>
      <w:r w:rsidR="00F65817" w:rsidRPr="00886566">
        <w:rPr>
          <w:rFonts w:ascii="Calibri" w:hAnsi="Calibri" w:cs="Calibri"/>
        </w:rPr>
        <w:t>Reference needed about the effects of steroid on TED</w:t>
      </w:r>
    </w:p>
    <w:p w:rsidR="00E14EF3" w:rsidRPr="00886566" w:rsidRDefault="00E14EF3" w:rsidP="00F65817">
      <w:pPr>
        <w:rPr>
          <w:rFonts w:ascii="Calibri" w:hAnsi="Calibri" w:cs="Calibri"/>
        </w:rPr>
      </w:pPr>
      <w:r>
        <w:rPr>
          <w:rFonts w:ascii="Calibri" w:hAnsi="Calibri" w:cs="Calibri"/>
        </w:rPr>
        <w:t xml:space="preserve">Is the highlighted yellow part of the response </w:t>
      </w:r>
      <w:proofErr w:type="gramStart"/>
      <w:r>
        <w:rPr>
          <w:rFonts w:ascii="Calibri" w:hAnsi="Calibri" w:cs="Calibri"/>
        </w:rPr>
        <w:t>is</w:t>
      </w:r>
      <w:proofErr w:type="gramEnd"/>
      <w:r>
        <w:rPr>
          <w:rFonts w:ascii="Calibri" w:hAnsi="Calibri" w:cs="Calibri"/>
        </w:rPr>
        <w:t xml:space="preserve"> relevant or not?</w:t>
      </w:r>
    </w:p>
    <w:p w:rsidR="00170DFC" w:rsidRPr="00886566" w:rsidRDefault="00EA3240" w:rsidP="00EA3240">
      <w:pPr>
        <w:rPr>
          <w:rFonts w:ascii="Calibri" w:hAnsi="Calibri" w:cs="Calibri"/>
        </w:rPr>
      </w:pPr>
      <w:r w:rsidRPr="00886566">
        <w:rPr>
          <w:rFonts w:ascii="Calibri" w:hAnsi="Calibri" w:cs="Calibri"/>
          <w:b/>
          <w:bCs/>
          <w:noProof/>
        </w:rPr>
        <mc:AlternateContent>
          <mc:Choice Requires="wps">
            <w:drawing>
              <wp:anchor distT="0" distB="0" distL="114300" distR="114300" simplePos="0" relativeHeight="251661312" behindDoc="0" locked="0" layoutInCell="1" allowOverlap="1" wp14:anchorId="1FB3470A" wp14:editId="606FC713">
                <wp:simplePos x="0" y="0"/>
                <wp:positionH relativeFrom="column">
                  <wp:posOffset>-463550</wp:posOffset>
                </wp:positionH>
                <wp:positionV relativeFrom="paragraph">
                  <wp:posOffset>201295</wp:posOffset>
                </wp:positionV>
                <wp:extent cx="6756400" cy="6350"/>
                <wp:effectExtent l="0" t="0" r="25400" b="31750"/>
                <wp:wrapNone/>
                <wp:docPr id="1531098288" name="Straight Connector 1"/>
                <wp:cNvGraphicFramePr/>
                <a:graphic xmlns:a="http://schemas.openxmlformats.org/drawingml/2006/main">
                  <a:graphicData uri="http://schemas.microsoft.com/office/word/2010/wordprocessingShape">
                    <wps:wsp>
                      <wps:cNvCnPr/>
                      <wps:spPr>
                        <a:xfrm flipV="1">
                          <a:off x="0" y="0"/>
                          <a:ext cx="6756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CEA646"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pt,15.85pt" to="495.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" strokecolor="#156082 [3204]" strokeweight=".5pt">
                <v:stroke joinstyle="miter"/>
              </v:line>
            </w:pict>
          </mc:Fallback>
        </mc:AlternateContent>
      </w:r>
      <w:r w:rsidRPr="00886566">
        <w:rPr>
          <w:rFonts w:ascii="Calibri" w:hAnsi="Calibri" w:cs="Calibri"/>
          <w:b/>
          <w:bCs/>
        </w:rPr>
        <w:tab/>
      </w:r>
    </w:p>
    <w:p w:rsidR="00F65817" w:rsidRPr="00886566" w:rsidRDefault="00F65817" w:rsidP="009420D1">
      <w:pPr>
        <w:rPr>
          <w:rFonts w:ascii="Calibri" w:hAnsi="Calibri" w:cs="Calibri"/>
          <w:b/>
          <w:bCs/>
        </w:rPr>
      </w:pPr>
    </w:p>
    <w:p w:rsidR="00F65817" w:rsidRPr="00886566" w:rsidRDefault="00F65817" w:rsidP="009420D1">
      <w:pPr>
        <w:rPr>
          <w:rFonts w:ascii="Calibri" w:hAnsi="Calibri" w:cs="Calibri"/>
          <w:b/>
          <w:bCs/>
        </w:rPr>
      </w:pPr>
    </w:p>
    <w:p w:rsidR="00E52921" w:rsidRPr="007D394E" w:rsidRDefault="00E52921" w:rsidP="009420D1">
      <w:pPr>
        <w:rPr>
          <w:rFonts w:ascii="Calibri" w:hAnsi="Calibri" w:cs="Calibri"/>
          <w:sz w:val="28"/>
          <w:szCs w:val="28"/>
        </w:rPr>
      </w:pPr>
      <w:r w:rsidRPr="00886566">
        <w:rPr>
          <w:rFonts w:ascii="Calibri" w:hAnsi="Calibri" w:cs="Calibri"/>
          <w:b/>
          <w:bCs/>
          <w:sz w:val="32"/>
          <w:szCs w:val="32"/>
        </w:rPr>
        <w:t>Question 3:</w:t>
      </w:r>
      <w:r w:rsidRPr="00886566">
        <w:rPr>
          <w:rFonts w:ascii="Calibri" w:hAnsi="Calibri" w:cs="Calibri"/>
        </w:rPr>
        <w:t xml:space="preserve"> </w:t>
      </w:r>
      <w:r w:rsidRPr="007D394E">
        <w:rPr>
          <w:rFonts w:ascii="Calibri" w:hAnsi="Calibri" w:cs="Calibri"/>
          <w:sz w:val="28"/>
          <w:szCs w:val="28"/>
        </w:rPr>
        <w:t>What are the adverse events associated with TEPEZZA</w:t>
      </w:r>
    </w:p>
    <w:p w:rsidR="00EA3240" w:rsidRPr="00886566" w:rsidRDefault="00E52921" w:rsidP="00EA3240">
      <w:pPr>
        <w:rPr>
          <w:rFonts w:ascii="Calibri" w:hAnsi="Calibri" w:cs="Calibri"/>
        </w:rPr>
      </w:pPr>
      <w:r w:rsidRPr="00886566">
        <w:rPr>
          <w:rFonts w:ascii="Calibri" w:hAnsi="Calibri" w:cs="Calibri"/>
          <w:b/>
          <w:bCs/>
          <w:sz w:val="32"/>
          <w:szCs w:val="32"/>
        </w:rPr>
        <w:t>Response 3:</w:t>
      </w:r>
      <w:r w:rsidRPr="00886566">
        <w:rPr>
          <w:rFonts w:ascii="Calibri" w:hAnsi="Calibri" w:cs="Calibri"/>
        </w:rPr>
        <w:t xml:space="preserve"> </w:t>
      </w:r>
    </w:p>
    <w:p w:rsidR="00EA3240" w:rsidRPr="00886566" w:rsidRDefault="00EA3240" w:rsidP="00EA3240">
      <w:pPr>
        <w:pStyle w:val="Heading2"/>
        <w:rPr>
          <w:rFonts w:ascii="Calibri" w:hAnsi="Calibri" w:cs="Calibri"/>
          <w:b/>
          <w:bCs/>
          <w:color w:val="000000"/>
        </w:rPr>
      </w:pPr>
      <w:r w:rsidRPr="00886566">
        <w:rPr>
          <w:rFonts w:ascii="Calibri" w:hAnsi="Calibri" w:cs="Calibri"/>
          <w:b/>
          <w:bCs/>
          <w:color w:val="000000"/>
        </w:rPr>
        <w:t>Adverse Events Associated with TEPEZZA</w:t>
      </w:r>
    </w:p>
    <w:p w:rsidR="00EA3240" w:rsidRPr="00886566" w:rsidRDefault="00EA3240" w:rsidP="00EA3240">
      <w:pPr>
        <w:pStyle w:val="Heading3"/>
        <w:rPr>
          <w:rFonts w:ascii="Calibri" w:hAnsi="Calibri" w:cs="Calibri"/>
          <w:b/>
          <w:bCs/>
          <w:color w:val="000000"/>
        </w:rPr>
      </w:pPr>
      <w:r w:rsidRPr="00886566">
        <w:rPr>
          <w:rFonts w:ascii="Calibri" w:hAnsi="Calibri" w:cs="Calibri"/>
          <w:b/>
          <w:bCs/>
          <w:color w:val="000000"/>
        </w:rPr>
        <w:t>Adverse Events from Clinical Trials of Teprotumumab</w:t>
      </w:r>
    </w:p>
    <w:p w:rsidR="00EA3240" w:rsidRPr="00886566" w:rsidRDefault="00EA3240" w:rsidP="00EA3240">
      <w:pPr>
        <w:pStyle w:val="NormalWeb"/>
        <w:rPr>
          <w:rFonts w:ascii="Calibri" w:hAnsi="Calibri" w:cs="Calibri"/>
          <w:color w:val="000000"/>
          <w:sz w:val="27"/>
          <w:szCs w:val="27"/>
        </w:rPr>
      </w:pPr>
      <w:r w:rsidRPr="00886566">
        <w:rPr>
          <w:rFonts w:ascii="Calibri" w:hAnsi="Calibri" w:cs="Calibri"/>
          <w:color w:val="000000"/>
          <w:sz w:val="27"/>
          <w:szCs w:val="27"/>
        </w:rPr>
        <w:t>Adverse events associated with teprotumumab in clinical trials were primarily mild (grade 1 or 2), with the most common being muscle spasms (30%), alopecia (20%), hyperglycemia (10%), diarrhea (10%), and fatigue, headache, and hearing impairment (10%) [${1}].</w:t>
      </w:r>
    </w:p>
    <w:p w:rsidR="00EA3240" w:rsidRPr="00886566" w:rsidRDefault="00EA3240" w:rsidP="00EA3240">
      <w:pPr>
        <w:pStyle w:val="Heading3"/>
        <w:rPr>
          <w:rFonts w:ascii="Calibri" w:hAnsi="Calibri" w:cs="Calibri"/>
          <w:b/>
          <w:bCs/>
          <w:color w:val="000000"/>
          <w:sz w:val="27"/>
          <w:szCs w:val="27"/>
        </w:rPr>
      </w:pPr>
      <w:r w:rsidRPr="00886566">
        <w:rPr>
          <w:rFonts w:ascii="Calibri" w:hAnsi="Calibri" w:cs="Calibri"/>
          <w:b/>
          <w:bCs/>
          <w:color w:val="000000"/>
        </w:rPr>
        <w:t>Recommendations for Mitigation of Side Effects</w:t>
      </w:r>
    </w:p>
    <w:p w:rsidR="00EA3240" w:rsidRPr="00886566" w:rsidRDefault="00EA3240" w:rsidP="00EA3240">
      <w:pPr>
        <w:numPr>
          <w:ilvl w:val="0"/>
          <w:numId w:val="8"/>
        </w:numPr>
        <w:spacing w:before="100" w:beforeAutospacing="1" w:after="100" w:afterAutospacing="1" w:line="240" w:lineRule="auto"/>
        <w:rPr>
          <w:rFonts w:ascii="Calibri" w:hAnsi="Calibri" w:cs="Calibri"/>
          <w:color w:val="000000"/>
          <w:sz w:val="27"/>
          <w:szCs w:val="27"/>
        </w:rPr>
      </w:pPr>
      <w:r w:rsidRPr="00886566">
        <w:rPr>
          <w:rFonts w:ascii="Calibri" w:hAnsi="Calibri" w:cs="Calibri"/>
          <w:color w:val="000000"/>
          <w:sz w:val="27"/>
          <w:szCs w:val="27"/>
        </w:rPr>
        <w:t>Laboratory Panels: Baseline comprehensive metabolic panel, vitamin D, B12, and multivitamins including folic acid [${1}].</w:t>
      </w:r>
    </w:p>
    <w:p w:rsidR="00EA3240" w:rsidRPr="00886566" w:rsidRDefault="00EA3240" w:rsidP="00EA3240">
      <w:pPr>
        <w:numPr>
          <w:ilvl w:val="0"/>
          <w:numId w:val="8"/>
        </w:numPr>
        <w:spacing w:before="100" w:beforeAutospacing="1" w:after="100" w:afterAutospacing="1" w:line="240" w:lineRule="auto"/>
        <w:rPr>
          <w:rFonts w:ascii="Calibri" w:hAnsi="Calibri" w:cs="Calibri"/>
          <w:color w:val="000000"/>
          <w:sz w:val="27"/>
          <w:szCs w:val="27"/>
        </w:rPr>
      </w:pPr>
      <w:r w:rsidRPr="00886566">
        <w:rPr>
          <w:rFonts w:ascii="Calibri" w:hAnsi="Calibri" w:cs="Calibri"/>
          <w:color w:val="000000"/>
          <w:sz w:val="27"/>
          <w:szCs w:val="27"/>
        </w:rPr>
        <w:t>Supplement Considerations: Start magnesium supplements, vitamins D and B, and day to follow [${1}].</w:t>
      </w:r>
    </w:p>
    <w:p w:rsidR="00EA3240" w:rsidRPr="00886566" w:rsidRDefault="00EA3240" w:rsidP="00EA3240">
      <w:pPr>
        <w:numPr>
          <w:ilvl w:val="0"/>
          <w:numId w:val="8"/>
        </w:numPr>
        <w:spacing w:before="100" w:beforeAutospacing="1" w:after="100" w:afterAutospacing="1" w:line="240" w:lineRule="auto"/>
        <w:rPr>
          <w:rFonts w:ascii="Calibri" w:hAnsi="Calibri" w:cs="Calibri"/>
          <w:color w:val="000000"/>
          <w:sz w:val="27"/>
          <w:szCs w:val="27"/>
        </w:rPr>
      </w:pPr>
      <w:r w:rsidRPr="00886566">
        <w:rPr>
          <w:rFonts w:ascii="Calibri" w:hAnsi="Calibri" w:cs="Calibri"/>
          <w:color w:val="000000"/>
          <w:sz w:val="27"/>
          <w:szCs w:val="27"/>
        </w:rPr>
        <w:t>Other Considerations: Oral hydration before infusion, Epsom salt bath on the day of infusion and day to follow, IGF-1R ear drops, continuous glucose monitoring, diabetic diet, biotin supplement, artificial tears, and topical cyclosporine [${1}].</w:t>
      </w:r>
    </w:p>
    <w:p w:rsidR="00EA3240" w:rsidRPr="00886566" w:rsidRDefault="00EA3240" w:rsidP="00EA3240">
      <w:pPr>
        <w:pStyle w:val="Heading3"/>
        <w:rPr>
          <w:rFonts w:ascii="Calibri" w:hAnsi="Calibri" w:cs="Calibri"/>
          <w:b/>
          <w:bCs/>
          <w:color w:val="000000"/>
          <w:sz w:val="27"/>
          <w:szCs w:val="27"/>
        </w:rPr>
      </w:pPr>
      <w:r w:rsidRPr="00886566">
        <w:rPr>
          <w:rFonts w:ascii="Calibri" w:hAnsi="Calibri" w:cs="Calibri"/>
          <w:b/>
          <w:bCs/>
          <w:color w:val="000000"/>
        </w:rPr>
        <w:t>Infusion Details and Reactions</w:t>
      </w:r>
    </w:p>
    <w:p w:rsidR="00EA3240" w:rsidRPr="00886566" w:rsidRDefault="00EA3240" w:rsidP="00EA3240">
      <w:pPr>
        <w:pStyle w:val="NormalWeb"/>
        <w:rPr>
          <w:rFonts w:ascii="Calibri" w:hAnsi="Calibri" w:cs="Calibri"/>
          <w:color w:val="000000"/>
          <w:sz w:val="27"/>
          <w:szCs w:val="27"/>
        </w:rPr>
      </w:pPr>
      <w:r w:rsidRPr="00886566">
        <w:rPr>
          <w:rFonts w:ascii="Calibri" w:hAnsi="Calibri" w:cs="Calibri"/>
          <w:color w:val="000000"/>
          <w:sz w:val="27"/>
          <w:szCs w:val="27"/>
        </w:rPr>
        <w:t>Infusions of teprotumumab should be administered 3 weeks apart with varying dosages [${1}]. Infusion reactions tend to be mild or moderate and are managed with corticosteroids and/or antihistamines [${1}].</w:t>
      </w:r>
    </w:p>
    <w:p w:rsidR="00EA3240" w:rsidRPr="00886566" w:rsidRDefault="00EA3240" w:rsidP="00EA3240">
      <w:pPr>
        <w:pStyle w:val="Heading3"/>
        <w:rPr>
          <w:rFonts w:ascii="Calibri" w:hAnsi="Calibri" w:cs="Calibri"/>
          <w:b/>
          <w:bCs/>
          <w:color w:val="000000"/>
          <w:sz w:val="27"/>
          <w:szCs w:val="27"/>
        </w:rPr>
      </w:pPr>
      <w:r w:rsidRPr="00886566">
        <w:rPr>
          <w:rFonts w:ascii="Calibri" w:hAnsi="Calibri" w:cs="Calibri"/>
          <w:b/>
          <w:bCs/>
          <w:color w:val="000000"/>
        </w:rPr>
        <w:t>Authorization Process</w:t>
      </w:r>
    </w:p>
    <w:p w:rsidR="00E52921" w:rsidRPr="00886566" w:rsidRDefault="00EA3240" w:rsidP="00EA3240">
      <w:pPr>
        <w:pStyle w:val="NormalWeb"/>
        <w:rPr>
          <w:rFonts w:ascii="Calibri" w:hAnsi="Calibri" w:cs="Calibri"/>
          <w:color w:val="000000"/>
          <w:sz w:val="27"/>
          <w:szCs w:val="27"/>
        </w:rPr>
      </w:pPr>
      <w:r w:rsidRPr="00886566">
        <w:rPr>
          <w:rFonts w:ascii="Calibri" w:hAnsi="Calibri" w:cs="Calibri"/>
          <w:color w:val="000000"/>
          <w:sz w:val="27"/>
          <w:szCs w:val="27"/>
        </w:rPr>
        <w:t>Insurance authorization is often required before teprotumumab administration, necessitating a provider's description of the patient's condition to justify treatment [${1}].</w:t>
      </w:r>
    </w:p>
    <w:p w:rsidR="00EA3240" w:rsidRPr="00886566" w:rsidRDefault="00EA3240" w:rsidP="009420D1">
      <w:pPr>
        <w:rPr>
          <w:rFonts w:ascii="Calibri" w:hAnsi="Calibri" w:cs="Calibri"/>
        </w:rPr>
      </w:pPr>
      <w:r w:rsidRPr="00886566">
        <w:rPr>
          <w:rFonts w:ascii="Calibri" w:hAnsi="Calibri" w:cs="Calibri"/>
        </w:rPr>
        <w:t>------------------------------------------------------------------------------------------------------------------</w:t>
      </w:r>
      <w:r w:rsidR="007D394E">
        <w:rPr>
          <w:rFonts w:ascii="Calibri" w:hAnsi="Calibri" w:cs="Calibri"/>
        </w:rPr>
        <w:t>-------------</w:t>
      </w:r>
    </w:p>
    <w:p w:rsidR="00CD2977" w:rsidRPr="00886566" w:rsidRDefault="00CD2977" w:rsidP="009420D1">
      <w:pPr>
        <w:rPr>
          <w:rFonts w:ascii="Calibri" w:hAnsi="Calibri" w:cs="Calibri"/>
        </w:rPr>
      </w:pPr>
      <w:r w:rsidRPr="00886566">
        <w:rPr>
          <w:rFonts w:ascii="Calibri" w:hAnsi="Calibri" w:cs="Calibri"/>
          <w:b/>
          <w:bCs/>
          <w:sz w:val="32"/>
          <w:szCs w:val="32"/>
        </w:rPr>
        <w:t>User Comment:</w:t>
      </w:r>
      <w:r w:rsidRPr="00886566">
        <w:rPr>
          <w:rFonts w:ascii="Calibri" w:hAnsi="Calibri" w:cs="Calibri"/>
        </w:rPr>
        <w:t xml:space="preserve"> References should include phase3/4 publications to elaborate on the </w:t>
      </w:r>
      <w:proofErr w:type="gramStart"/>
      <w:r w:rsidRPr="00886566">
        <w:rPr>
          <w:rFonts w:ascii="Calibri" w:hAnsi="Calibri" w:cs="Calibri"/>
        </w:rPr>
        <w:t>AE's</w:t>
      </w:r>
      <w:proofErr w:type="gramEnd"/>
      <w:r w:rsidRPr="00886566">
        <w:rPr>
          <w:rFonts w:ascii="Calibri" w:hAnsi="Calibri" w:cs="Calibri"/>
        </w:rPr>
        <w:t xml:space="preserve"> from both acute and chronic studies.​</w:t>
      </w:r>
    </w:p>
    <w:p w:rsidR="00F65817" w:rsidRPr="00886566" w:rsidRDefault="00CD2977" w:rsidP="009420D1">
      <w:pPr>
        <w:rPr>
          <w:rFonts w:ascii="Calibri" w:hAnsi="Calibri" w:cs="Calibri"/>
        </w:rPr>
      </w:pPr>
      <w:r w:rsidRPr="00886566">
        <w:rPr>
          <w:rFonts w:ascii="Calibri" w:hAnsi="Calibri" w:cs="Calibri"/>
          <w:b/>
          <w:bCs/>
          <w:sz w:val="32"/>
          <w:szCs w:val="32"/>
        </w:rPr>
        <w:t>Details Required</w:t>
      </w:r>
      <w:r w:rsidRPr="00886566">
        <w:rPr>
          <w:rFonts w:ascii="Calibri" w:hAnsi="Calibri" w:cs="Calibri"/>
          <w:sz w:val="32"/>
          <w:szCs w:val="32"/>
        </w:rPr>
        <w:t>:</w:t>
      </w:r>
      <w:r w:rsidRPr="00886566">
        <w:rPr>
          <w:rFonts w:ascii="Calibri" w:hAnsi="Calibri" w:cs="Calibri"/>
        </w:rPr>
        <w:t xml:space="preserve"> </w:t>
      </w:r>
    </w:p>
    <w:p w:rsidR="00E52921" w:rsidRDefault="00F65817" w:rsidP="009420D1">
      <w:pPr>
        <w:numPr>
          <w:ilvl w:val="0"/>
          <w:numId w:val="2"/>
        </w:numPr>
        <w:rPr>
          <w:rFonts w:ascii="Calibri" w:hAnsi="Calibri" w:cs="Calibri"/>
        </w:rPr>
      </w:pPr>
      <w:r w:rsidRPr="00886566">
        <w:rPr>
          <w:rFonts w:ascii="Calibri" w:hAnsi="Calibri" w:cs="Calibri"/>
        </w:rPr>
        <w:t>Reference of additional info required to be displayed</w:t>
      </w:r>
    </w:p>
    <w:p w:rsidR="000D236D" w:rsidRPr="00886566" w:rsidRDefault="000D236D" w:rsidP="009420D1">
      <w:pPr>
        <w:numPr>
          <w:ilvl w:val="0"/>
          <w:numId w:val="2"/>
        </w:numPr>
        <w:rPr>
          <w:rFonts w:ascii="Calibri" w:hAnsi="Calibri" w:cs="Calibri"/>
        </w:rPr>
      </w:pPr>
      <w:r w:rsidRPr="00886566">
        <w:rPr>
          <w:rFonts w:ascii="Calibri" w:hAnsi="Calibri" w:cs="Calibri"/>
          <w:b/>
          <w:bCs/>
          <w:noProof/>
        </w:rPr>
        <mc:AlternateContent>
          <mc:Choice Requires="wps">
            <w:drawing>
              <wp:anchor distT="0" distB="0" distL="114300" distR="114300" simplePos="0" relativeHeight="251663360" behindDoc="0" locked="0" layoutInCell="1" allowOverlap="1" wp14:anchorId="66ACBA8D" wp14:editId="1B47022F">
                <wp:simplePos x="0" y="0"/>
                <wp:positionH relativeFrom="margin">
                  <wp:posOffset>-419100</wp:posOffset>
                </wp:positionH>
                <wp:positionV relativeFrom="paragraph">
                  <wp:posOffset>328930</wp:posOffset>
                </wp:positionV>
                <wp:extent cx="6756400" cy="6350"/>
                <wp:effectExtent l="0" t="0" r="25400" b="31750"/>
                <wp:wrapNone/>
                <wp:docPr id="595896142" name="Straight Connector 1"/>
                <wp:cNvGraphicFramePr/>
                <a:graphic xmlns:a="http://schemas.openxmlformats.org/drawingml/2006/main">
                  <a:graphicData uri="http://schemas.microsoft.com/office/word/2010/wordprocessingShape">
                    <wps:wsp>
                      <wps:cNvCnPr/>
                      <wps:spPr>
                        <a:xfrm flipV="1">
                          <a:off x="0" y="0"/>
                          <a:ext cx="6756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8D3760" id="Straight Connector 1" o:spid="_x0000_s1026"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pt,25.9pt" to="499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" strokecolor="#156082 [3204]" strokeweight=".5pt">
                <v:stroke joinstyle="miter"/>
                <w10:wrap anchorx="margin"/>
              </v:line>
            </w:pict>
          </mc:Fallback>
        </mc:AlternateContent>
      </w:r>
      <w:r>
        <w:rPr>
          <w:rFonts w:ascii="Calibri" w:hAnsi="Calibri" w:cs="Calibri"/>
        </w:rPr>
        <w:t xml:space="preserve">User should mention in query </w:t>
      </w:r>
    </w:p>
    <w:p w:rsidR="00170DFC" w:rsidRPr="000D236D" w:rsidRDefault="00170DFC" w:rsidP="009420D1">
      <w:pPr>
        <w:rPr>
          <w:rFonts w:ascii="Calibri" w:hAnsi="Calibri" w:cs="Calibri"/>
        </w:rPr>
      </w:pPr>
    </w:p>
    <w:p w:rsidR="00E52921" w:rsidRPr="007D394E" w:rsidRDefault="00E52921" w:rsidP="009420D1">
      <w:pPr>
        <w:rPr>
          <w:rFonts w:ascii="Calibri" w:hAnsi="Calibri" w:cs="Calibri"/>
          <w:sz w:val="28"/>
          <w:szCs w:val="28"/>
        </w:rPr>
      </w:pPr>
      <w:r w:rsidRPr="00886566">
        <w:rPr>
          <w:rFonts w:ascii="Calibri" w:hAnsi="Calibri" w:cs="Calibri"/>
          <w:b/>
          <w:bCs/>
          <w:sz w:val="32"/>
          <w:szCs w:val="32"/>
        </w:rPr>
        <w:t>Question 4:</w:t>
      </w:r>
      <w:r w:rsidRPr="00886566">
        <w:rPr>
          <w:rFonts w:ascii="Calibri" w:hAnsi="Calibri" w:cs="Calibri"/>
        </w:rPr>
        <w:t xml:space="preserve"> </w:t>
      </w:r>
      <w:r w:rsidRPr="007D394E">
        <w:rPr>
          <w:rFonts w:ascii="Calibri" w:hAnsi="Calibri" w:cs="Calibri"/>
          <w:sz w:val="28"/>
          <w:szCs w:val="28"/>
        </w:rPr>
        <w:t>How does TED prognosis vary among patients?</w:t>
      </w:r>
    </w:p>
    <w:p w:rsidR="00E52921" w:rsidRPr="00886566" w:rsidRDefault="00E52921" w:rsidP="00EA3240">
      <w:pPr>
        <w:rPr>
          <w:rFonts w:ascii="Calibri" w:hAnsi="Calibri" w:cs="Calibri"/>
        </w:rPr>
      </w:pPr>
      <w:r w:rsidRPr="00886566">
        <w:rPr>
          <w:rFonts w:ascii="Calibri" w:hAnsi="Calibri" w:cs="Calibri"/>
          <w:b/>
          <w:bCs/>
          <w:sz w:val="32"/>
          <w:szCs w:val="32"/>
        </w:rPr>
        <w:t>Response 4:</w:t>
      </w:r>
      <w:r w:rsidRPr="00886566">
        <w:rPr>
          <w:rFonts w:ascii="Calibri" w:hAnsi="Calibri" w:cs="Calibri"/>
        </w:rPr>
        <w:t xml:space="preserve"> </w:t>
      </w:r>
    </w:p>
    <w:p w:rsidR="00EA3240" w:rsidRPr="00886566" w:rsidRDefault="00EA3240" w:rsidP="00EA3240">
      <w:pPr>
        <w:pStyle w:val="Heading2"/>
        <w:rPr>
          <w:rFonts w:ascii="Calibri" w:hAnsi="Calibri" w:cs="Calibri"/>
          <w:b/>
          <w:bCs/>
          <w:color w:val="000000"/>
        </w:rPr>
      </w:pPr>
      <w:r w:rsidRPr="00886566">
        <w:rPr>
          <w:rFonts w:ascii="Calibri" w:hAnsi="Calibri" w:cs="Calibri"/>
          <w:b/>
          <w:bCs/>
          <w:color w:val="000000"/>
        </w:rPr>
        <w:t>Variability in TED Prognosis Among Patients</w:t>
      </w:r>
    </w:p>
    <w:p w:rsidR="00EA3240" w:rsidRPr="00886566" w:rsidRDefault="00EA3240" w:rsidP="00EA3240">
      <w:pPr>
        <w:pStyle w:val="NormalWeb"/>
        <w:rPr>
          <w:rFonts w:ascii="Calibri" w:hAnsi="Calibri" w:cs="Calibri"/>
          <w:color w:val="000000"/>
          <w:sz w:val="27"/>
          <w:szCs w:val="27"/>
        </w:rPr>
      </w:pPr>
      <w:r w:rsidRPr="00886566">
        <w:rPr>
          <w:rFonts w:ascii="Calibri" w:hAnsi="Calibri" w:cs="Calibri"/>
          <w:color w:val="000000"/>
          <w:sz w:val="27"/>
          <w:szCs w:val="27"/>
        </w:rPr>
        <w:t xml:space="preserve">Thyroid Eye Disease (TED) presents with a spectrum of clinical manifestations that can vary significantly among patients. Common symptoms of active TED include eye pain, excessive lacrimation, diplopia, photophobia, and blurry vision, with eyelid retraction being the most prevalent clinical finding in a cohort of patients in </w:t>
      </w:r>
      <w:r w:rsidRPr="00E14EF3">
        <w:rPr>
          <w:rFonts w:ascii="Calibri" w:hAnsi="Calibri" w:cs="Calibri"/>
          <w:color w:val="000000"/>
          <w:sz w:val="27"/>
          <w:szCs w:val="27"/>
          <w:highlight w:val="yellow"/>
        </w:rPr>
        <w:t>Minnesota</w:t>
      </w:r>
      <w:r w:rsidRPr="00886566">
        <w:rPr>
          <w:rFonts w:ascii="Calibri" w:hAnsi="Calibri" w:cs="Calibri"/>
          <w:color w:val="000000"/>
          <w:sz w:val="27"/>
          <w:szCs w:val="27"/>
        </w:rPr>
        <w:t xml:space="preserve"> [${1}].</w:t>
      </w:r>
    </w:p>
    <w:p w:rsidR="00EA3240" w:rsidRPr="00886566" w:rsidRDefault="00EA3240" w:rsidP="00EA3240">
      <w:pPr>
        <w:pStyle w:val="Heading3"/>
        <w:rPr>
          <w:rFonts w:ascii="Calibri" w:hAnsi="Calibri" w:cs="Calibri"/>
          <w:b/>
          <w:bCs/>
          <w:color w:val="000000"/>
          <w:sz w:val="27"/>
          <w:szCs w:val="27"/>
        </w:rPr>
      </w:pPr>
      <w:r w:rsidRPr="00886566">
        <w:rPr>
          <w:rFonts w:ascii="Calibri" w:hAnsi="Calibri" w:cs="Calibri"/>
          <w:b/>
          <w:bCs/>
          <w:color w:val="000000"/>
        </w:rPr>
        <w:t>Factors Contributing to Prognostic Variability</w:t>
      </w:r>
    </w:p>
    <w:p w:rsidR="00EA3240" w:rsidRPr="00886566" w:rsidRDefault="00EA3240" w:rsidP="00EA3240">
      <w:pPr>
        <w:numPr>
          <w:ilvl w:val="0"/>
          <w:numId w:val="9"/>
        </w:numPr>
        <w:spacing w:before="100" w:beforeAutospacing="1" w:after="100" w:afterAutospacing="1" w:line="240" w:lineRule="auto"/>
        <w:rPr>
          <w:rFonts w:ascii="Calibri" w:hAnsi="Calibri" w:cs="Calibri"/>
          <w:color w:val="000000"/>
          <w:sz w:val="27"/>
          <w:szCs w:val="27"/>
        </w:rPr>
      </w:pPr>
      <w:r w:rsidRPr="00886566">
        <w:rPr>
          <w:rFonts w:ascii="Calibri" w:hAnsi="Calibri" w:cs="Calibri"/>
          <w:color w:val="000000"/>
          <w:sz w:val="27"/>
          <w:szCs w:val="27"/>
        </w:rPr>
        <w:t>The onset, activity, and severity of TED can vary, leading to delays in accurate diagnosis, with an average time to diagnosis from symptom onset being 9 months [${2}].</w:t>
      </w:r>
    </w:p>
    <w:p w:rsidR="00EA3240" w:rsidRPr="00886566" w:rsidRDefault="00EA3240" w:rsidP="00EA3240">
      <w:pPr>
        <w:numPr>
          <w:ilvl w:val="0"/>
          <w:numId w:val="9"/>
        </w:numPr>
        <w:spacing w:before="100" w:beforeAutospacing="1" w:after="100" w:afterAutospacing="1" w:line="240" w:lineRule="auto"/>
        <w:rPr>
          <w:rFonts w:ascii="Calibri" w:hAnsi="Calibri" w:cs="Calibri"/>
          <w:color w:val="000000"/>
          <w:sz w:val="27"/>
          <w:szCs w:val="27"/>
        </w:rPr>
      </w:pPr>
      <w:r w:rsidRPr="00886566">
        <w:rPr>
          <w:rFonts w:ascii="Calibri" w:hAnsi="Calibri" w:cs="Calibri"/>
          <w:color w:val="000000"/>
          <w:sz w:val="27"/>
          <w:szCs w:val="27"/>
        </w:rPr>
        <w:t>Patients with TED may experience an acute inflammatory phase lasting 6 to 36 months, followed by a chronic phase characterized by fibrosis, which can result in permanent disfigurement and functional vision loss [${2}].</w:t>
      </w:r>
    </w:p>
    <w:p w:rsidR="00EA3240" w:rsidRPr="00886566" w:rsidRDefault="00EA3240" w:rsidP="00EA3240">
      <w:pPr>
        <w:numPr>
          <w:ilvl w:val="0"/>
          <w:numId w:val="9"/>
        </w:numPr>
        <w:spacing w:before="100" w:beforeAutospacing="1" w:after="100" w:afterAutospacing="1" w:line="240" w:lineRule="auto"/>
        <w:rPr>
          <w:rFonts w:ascii="Calibri" w:hAnsi="Calibri" w:cs="Calibri"/>
          <w:color w:val="000000"/>
          <w:sz w:val="27"/>
          <w:szCs w:val="27"/>
        </w:rPr>
      </w:pPr>
      <w:r w:rsidRPr="00886566">
        <w:rPr>
          <w:rFonts w:ascii="Calibri" w:hAnsi="Calibri" w:cs="Calibri"/>
          <w:color w:val="000000"/>
          <w:sz w:val="27"/>
          <w:szCs w:val="27"/>
        </w:rPr>
        <w:t>The disease course of TED can be unpredictable, with some patients experiencing mild, self-limited TED, while others may develop moderate/severe or sight-threatening disease [${2}].</w:t>
      </w:r>
    </w:p>
    <w:p w:rsidR="00EA3240" w:rsidRPr="00886566" w:rsidRDefault="00EA3240" w:rsidP="00EA3240">
      <w:pPr>
        <w:pStyle w:val="NormalWeb"/>
        <w:rPr>
          <w:rFonts w:ascii="Calibri" w:hAnsi="Calibri" w:cs="Calibri"/>
          <w:color w:val="000000"/>
          <w:sz w:val="27"/>
          <w:szCs w:val="27"/>
        </w:rPr>
      </w:pPr>
      <w:r w:rsidRPr="00886566">
        <w:rPr>
          <w:rFonts w:ascii="Calibri" w:hAnsi="Calibri" w:cs="Calibri"/>
          <w:color w:val="000000"/>
          <w:sz w:val="27"/>
          <w:szCs w:val="27"/>
        </w:rPr>
        <w:t>Overall, the heterogeneous presentation of TED, including the timing of onset, activity, and severity, contributes to the variability in prognosis among patients, with some requiring no therapy or only supportive measures, while others may need medical or surgical intervention [${3}].</w:t>
      </w:r>
    </w:p>
    <w:p w:rsidR="00EA3240" w:rsidRPr="00886566" w:rsidRDefault="00EA3240" w:rsidP="00EA3240">
      <w:pPr>
        <w:rPr>
          <w:rFonts w:ascii="Calibri" w:hAnsi="Calibri" w:cs="Calibri"/>
        </w:rPr>
      </w:pPr>
      <w:r w:rsidRPr="00886566">
        <w:rPr>
          <w:rFonts w:ascii="Calibri" w:hAnsi="Calibri" w:cs="Calibri"/>
        </w:rPr>
        <w:t>------------------------------------------------------------------------------------------------------------------</w:t>
      </w:r>
      <w:r w:rsidR="007D394E">
        <w:rPr>
          <w:rFonts w:ascii="Calibri" w:hAnsi="Calibri" w:cs="Calibri"/>
        </w:rPr>
        <w:t>-------------</w:t>
      </w:r>
    </w:p>
    <w:p w:rsidR="00CD2977" w:rsidRPr="00886566" w:rsidRDefault="00CD2977" w:rsidP="009420D1">
      <w:pPr>
        <w:rPr>
          <w:rFonts w:ascii="Calibri" w:hAnsi="Calibri" w:cs="Calibri"/>
        </w:rPr>
      </w:pPr>
      <w:r w:rsidRPr="00886566">
        <w:rPr>
          <w:rFonts w:ascii="Calibri" w:hAnsi="Calibri" w:cs="Calibri"/>
          <w:b/>
          <w:bCs/>
          <w:sz w:val="32"/>
          <w:szCs w:val="32"/>
        </w:rPr>
        <w:t>User Comment:</w:t>
      </w:r>
      <w:r w:rsidRPr="00886566">
        <w:rPr>
          <w:rFonts w:ascii="Calibri" w:hAnsi="Calibri" w:cs="Calibri"/>
        </w:rPr>
        <w:t xml:space="preserve"> Noticed it mentioned Minnesota- I understand why it was mentioned, but it can be distracting- what about patient outside Minnesota? - </w:t>
      </w:r>
      <w:proofErr w:type="gramStart"/>
      <w:r w:rsidRPr="00886566">
        <w:rPr>
          <w:rFonts w:ascii="Calibri" w:hAnsi="Calibri" w:cs="Calibri"/>
        </w:rPr>
        <w:t>Also</w:t>
      </w:r>
      <w:proofErr w:type="gramEnd"/>
      <w:r w:rsidRPr="00886566">
        <w:rPr>
          <w:rFonts w:ascii="Calibri" w:hAnsi="Calibri" w:cs="Calibri"/>
        </w:rPr>
        <w:t xml:space="preserve"> not comprehensive in its description</w:t>
      </w:r>
    </w:p>
    <w:p w:rsidR="00CD2977" w:rsidRPr="00886566" w:rsidRDefault="00CD2977" w:rsidP="009420D1">
      <w:pPr>
        <w:rPr>
          <w:rFonts w:ascii="Calibri" w:hAnsi="Calibri" w:cs="Calibri"/>
        </w:rPr>
      </w:pPr>
      <w:r w:rsidRPr="00886566">
        <w:rPr>
          <w:rFonts w:ascii="Calibri" w:hAnsi="Calibri" w:cs="Calibri"/>
          <w:b/>
          <w:bCs/>
          <w:sz w:val="32"/>
          <w:szCs w:val="32"/>
        </w:rPr>
        <w:t>Details Required:</w:t>
      </w:r>
      <w:r w:rsidRPr="00886566">
        <w:rPr>
          <w:rFonts w:ascii="Calibri" w:hAnsi="Calibri" w:cs="Calibri"/>
        </w:rPr>
        <w:t xml:space="preserve"> Response also seems good</w:t>
      </w:r>
    </w:p>
    <w:p w:rsidR="00886566" w:rsidRDefault="00CD2977" w:rsidP="009420D1">
      <w:pPr>
        <w:rPr>
          <w:rFonts w:ascii="Calibri" w:hAnsi="Calibri" w:cs="Calibri"/>
        </w:rPr>
      </w:pPr>
      <w:r w:rsidRPr="00886566">
        <w:rPr>
          <w:rFonts w:ascii="Calibri" w:hAnsi="Calibri" w:cs="Calibri"/>
        </w:rPr>
        <w:t>"Minnesota" seems to appear, probably due to the research outcomes conducted in the place? reference to the document could help understand better to find the root cause behind appearance of a particular region</w:t>
      </w:r>
    </w:p>
    <w:p w:rsidR="00E14EF3" w:rsidRDefault="00E14EF3" w:rsidP="009420D1">
      <w:pPr>
        <w:rPr>
          <w:rFonts w:ascii="Calibri" w:hAnsi="Calibri" w:cs="Calibri"/>
        </w:rPr>
      </w:pPr>
      <w:r>
        <w:rPr>
          <w:rFonts w:ascii="Calibri" w:hAnsi="Calibri" w:cs="Calibri"/>
        </w:rPr>
        <w:t>Is the response incorrect?</w:t>
      </w:r>
    </w:p>
    <w:p w:rsidR="00E14EF3" w:rsidRPr="00886566" w:rsidRDefault="00E14EF3" w:rsidP="009420D1">
      <w:pPr>
        <w:rPr>
          <w:rFonts w:ascii="Calibri" w:hAnsi="Calibri" w:cs="Calibri"/>
        </w:rPr>
      </w:pPr>
      <w:r>
        <w:rPr>
          <w:rFonts w:ascii="Calibri" w:hAnsi="Calibri" w:cs="Calibri"/>
        </w:rPr>
        <w:t>The last 2 paragraphs are general in nature not for Minnesota specific. Could you provide more context.</w:t>
      </w:r>
    </w:p>
    <w:p w:rsidR="00170DFC" w:rsidRPr="00886566" w:rsidRDefault="00886566" w:rsidP="009420D1">
      <w:pPr>
        <w:rPr>
          <w:rFonts w:ascii="Calibri" w:hAnsi="Calibri" w:cs="Calibri"/>
          <w:b/>
          <w:bCs/>
        </w:rPr>
      </w:pPr>
      <w:r w:rsidRPr="00886566">
        <w:rPr>
          <w:rFonts w:ascii="Calibri" w:hAnsi="Calibri" w:cs="Calibri"/>
          <w:b/>
          <w:bCs/>
          <w:noProof/>
        </w:rPr>
        <mc:AlternateContent>
          <mc:Choice Requires="wps">
            <w:drawing>
              <wp:anchor distT="0" distB="0" distL="114300" distR="114300" simplePos="0" relativeHeight="251665408" behindDoc="0" locked="0" layoutInCell="1" allowOverlap="1" wp14:anchorId="3EA8AE1D" wp14:editId="7B16F1B1">
                <wp:simplePos x="0" y="0"/>
                <wp:positionH relativeFrom="margin">
                  <wp:posOffset>-419100</wp:posOffset>
                </wp:positionH>
                <wp:positionV relativeFrom="paragraph">
                  <wp:posOffset>260350</wp:posOffset>
                </wp:positionV>
                <wp:extent cx="6756400" cy="6350"/>
                <wp:effectExtent l="0" t="0" r="25400" b="31750"/>
                <wp:wrapNone/>
                <wp:docPr id="298121349" name="Straight Connector 1"/>
                <wp:cNvGraphicFramePr/>
                <a:graphic xmlns:a="http://schemas.openxmlformats.org/drawingml/2006/main">
                  <a:graphicData uri="http://schemas.microsoft.com/office/word/2010/wordprocessingShape">
                    <wps:wsp>
                      <wps:cNvCnPr/>
                      <wps:spPr>
                        <a:xfrm flipV="1">
                          <a:off x="0" y="0"/>
                          <a:ext cx="6756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1C58B5" id="Straight Connector 1" o:spid="_x0000_s1026" style="position:absolute;flip: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pt,20.5pt" to="499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" strokecolor="#156082 [3204]" strokeweight=".5pt">
                <v:stroke joinstyle="miter"/>
                <w10:wrap anchorx="margin"/>
              </v:line>
            </w:pict>
          </mc:Fallback>
        </mc:AlternateContent>
      </w:r>
    </w:p>
    <w:p w:rsidR="00886566" w:rsidRPr="00886566" w:rsidRDefault="00886566" w:rsidP="009420D1">
      <w:pPr>
        <w:rPr>
          <w:rFonts w:ascii="Calibri" w:hAnsi="Calibri" w:cs="Calibri"/>
          <w:b/>
          <w:bCs/>
          <w:sz w:val="32"/>
          <w:szCs w:val="32"/>
        </w:rPr>
      </w:pPr>
    </w:p>
    <w:p w:rsidR="00D93592" w:rsidRPr="00886566" w:rsidRDefault="00D93592" w:rsidP="009420D1">
      <w:pPr>
        <w:rPr>
          <w:rFonts w:ascii="Calibri" w:hAnsi="Calibri" w:cs="Calibri"/>
          <w:color w:val="000000"/>
          <w:shd w:val="clear" w:color="auto" w:fill="FFFFFF"/>
        </w:rPr>
      </w:pPr>
      <w:r w:rsidRPr="00886566">
        <w:rPr>
          <w:rFonts w:ascii="Calibri" w:hAnsi="Calibri" w:cs="Calibri"/>
          <w:b/>
          <w:bCs/>
          <w:sz w:val="32"/>
          <w:szCs w:val="32"/>
        </w:rPr>
        <w:t>Question 5:</w:t>
      </w:r>
      <w:r w:rsidRPr="00886566">
        <w:rPr>
          <w:rFonts w:ascii="Calibri" w:hAnsi="Calibri" w:cs="Calibri"/>
        </w:rPr>
        <w:t xml:space="preserve"> </w:t>
      </w:r>
      <w:r w:rsidRPr="007D394E">
        <w:rPr>
          <w:rFonts w:ascii="Calibri" w:hAnsi="Calibri" w:cs="Calibri"/>
          <w:color w:val="000000"/>
          <w:sz w:val="28"/>
          <w:szCs w:val="28"/>
          <w:shd w:val="clear" w:color="auto" w:fill="FFFFFF"/>
        </w:rPr>
        <w:t>Summarize the results of TEPEZZA on chronic TED.</w:t>
      </w:r>
    </w:p>
    <w:p w:rsidR="00886566" w:rsidRPr="00886566" w:rsidRDefault="00D93592" w:rsidP="00886566">
      <w:pPr>
        <w:shd w:val="clear" w:color="auto" w:fill="FFFFFF"/>
        <w:rPr>
          <w:rFonts w:ascii="Calibri" w:hAnsi="Calibri" w:cs="Calibri"/>
          <w:color w:val="000000"/>
          <w:shd w:val="clear" w:color="auto" w:fill="FFFFFF"/>
        </w:rPr>
      </w:pPr>
      <w:r w:rsidRPr="00886566">
        <w:rPr>
          <w:rFonts w:ascii="Calibri" w:hAnsi="Calibri" w:cs="Calibri"/>
          <w:b/>
          <w:bCs/>
          <w:color w:val="000000"/>
          <w:sz w:val="32"/>
          <w:szCs w:val="32"/>
          <w:shd w:val="clear" w:color="auto" w:fill="FFFFFF"/>
        </w:rPr>
        <w:t>Response 5:</w:t>
      </w:r>
      <w:r w:rsidRPr="00886566">
        <w:rPr>
          <w:rFonts w:ascii="Calibri" w:hAnsi="Calibri" w:cs="Calibri"/>
          <w:color w:val="000000"/>
          <w:shd w:val="clear" w:color="auto" w:fill="FFFFFF"/>
        </w:rPr>
        <w:t xml:space="preserve"> </w:t>
      </w:r>
    </w:p>
    <w:p w:rsidR="00EA3240" w:rsidRPr="00886566" w:rsidRDefault="00EA3240" w:rsidP="00886566">
      <w:pPr>
        <w:shd w:val="clear" w:color="auto" w:fill="FFFFFF"/>
        <w:rPr>
          <w:rFonts w:ascii="Calibri" w:eastAsia="Times New Roman" w:hAnsi="Calibri" w:cs="Calibri"/>
          <w:color w:val="000000"/>
          <w:kern w:val="0"/>
          <w:sz w:val="32"/>
          <w:szCs w:val="32"/>
          <w14:ligatures w14:val="none"/>
        </w:rPr>
      </w:pPr>
      <w:r w:rsidRPr="00886566">
        <w:rPr>
          <w:rFonts w:ascii="Calibri" w:hAnsi="Calibri" w:cs="Calibri"/>
          <w:b/>
          <w:bCs/>
          <w:color w:val="000000"/>
          <w:sz w:val="32"/>
          <w:szCs w:val="32"/>
        </w:rPr>
        <w:t>TEPEZZA Impact on Chronic Thyroid Eye Disease (TED)</w:t>
      </w:r>
    </w:p>
    <w:p w:rsidR="00EA3240" w:rsidRPr="00886566" w:rsidRDefault="00EA3240" w:rsidP="00EA3240">
      <w:pPr>
        <w:pStyle w:val="Heading3"/>
        <w:rPr>
          <w:rFonts w:ascii="Calibri" w:hAnsi="Calibri" w:cs="Calibri"/>
          <w:b/>
          <w:bCs/>
          <w:color w:val="000000"/>
        </w:rPr>
      </w:pPr>
      <w:r w:rsidRPr="00886566">
        <w:rPr>
          <w:rFonts w:ascii="Calibri" w:hAnsi="Calibri" w:cs="Calibri"/>
          <w:b/>
          <w:bCs/>
          <w:color w:val="000000"/>
        </w:rPr>
        <w:t>Study Findings:</w:t>
      </w:r>
    </w:p>
    <w:p w:rsidR="00EA3240" w:rsidRPr="00886566" w:rsidRDefault="00EA3240" w:rsidP="00EA3240">
      <w:pPr>
        <w:rPr>
          <w:rFonts w:ascii="Calibri" w:hAnsi="Calibri" w:cs="Calibri"/>
        </w:rPr>
      </w:pPr>
      <w:r w:rsidRPr="00886566">
        <w:rPr>
          <w:rFonts w:ascii="Calibri" w:hAnsi="Calibri" w:cs="Calibri"/>
          <w:color w:val="000000"/>
          <w:sz w:val="27"/>
          <w:szCs w:val="27"/>
        </w:rPr>
        <w:t xml:space="preserve">• Teprotumumab, known as TEPEZZA, has shown efficacy in patients with chronic TED, with significant proptosis reduction and improvements in diplopia and other symptoms [${2}]. • In a retrospective study of 31 patients with chronic, stable TED, TEPEZZA led to a mean proptosis reduction of 3.5 mm, </w:t>
      </w:r>
      <w:proofErr w:type="gramStart"/>
      <w:r w:rsidRPr="00886566">
        <w:rPr>
          <w:rFonts w:ascii="Calibri" w:hAnsi="Calibri" w:cs="Calibri"/>
          <w:color w:val="000000"/>
          <w:sz w:val="27"/>
          <w:szCs w:val="27"/>
        </w:rPr>
        <w:t>similar to</w:t>
      </w:r>
      <w:proofErr w:type="gramEnd"/>
      <w:r w:rsidRPr="00886566">
        <w:rPr>
          <w:rFonts w:ascii="Calibri" w:hAnsi="Calibri" w:cs="Calibri"/>
          <w:color w:val="000000"/>
          <w:sz w:val="27"/>
          <w:szCs w:val="27"/>
        </w:rPr>
        <w:t xml:space="preserve"> results in patients with active disease [${2}]. • Patients with diplopia experienced complete resolution or improvement on the Gorman scale after TEPEZZA treatment [${2}]. • Radiographic imaging showed a decrease in orbital fat volume and extraocular muscle volume, indicating positive outcomes [${2}].</w:t>
      </w:r>
    </w:p>
    <w:p w:rsidR="00EA3240" w:rsidRPr="00886566" w:rsidRDefault="00EA3240" w:rsidP="00EA3240">
      <w:pPr>
        <w:pStyle w:val="Heading3"/>
        <w:rPr>
          <w:rFonts w:ascii="Calibri" w:hAnsi="Calibri" w:cs="Calibri"/>
          <w:b/>
          <w:bCs/>
          <w:color w:val="000000"/>
        </w:rPr>
      </w:pPr>
      <w:r w:rsidRPr="00886566">
        <w:rPr>
          <w:rFonts w:ascii="Calibri" w:hAnsi="Calibri" w:cs="Calibri"/>
          <w:b/>
          <w:bCs/>
          <w:color w:val="000000"/>
        </w:rPr>
        <w:t>Longitudinal Impact:</w:t>
      </w:r>
    </w:p>
    <w:p w:rsidR="00EA3240" w:rsidRPr="00886566" w:rsidRDefault="00EA3240" w:rsidP="00EA3240">
      <w:pPr>
        <w:rPr>
          <w:rFonts w:ascii="Calibri" w:hAnsi="Calibri" w:cs="Calibri"/>
        </w:rPr>
      </w:pPr>
      <w:r w:rsidRPr="00886566">
        <w:rPr>
          <w:rFonts w:ascii="Calibri" w:hAnsi="Calibri" w:cs="Calibri"/>
          <w:color w:val="000000"/>
          <w:sz w:val="27"/>
          <w:szCs w:val="27"/>
        </w:rPr>
        <w:t>• TEPEZZA has been found to reduce lacrimal gland size and increase tear production in patients with TED, showing efficacy in chronic cases as well [${3}]. • The study's longitudinal design allowed for a robust comparison within patients, highlighting the sustained impact of TEPEZZA on chronic TED [${5}].</w:t>
      </w:r>
    </w:p>
    <w:p w:rsidR="00EA3240" w:rsidRPr="00886566" w:rsidRDefault="00EA3240" w:rsidP="00EA3240">
      <w:pPr>
        <w:pStyle w:val="Heading3"/>
        <w:rPr>
          <w:rFonts w:ascii="Calibri" w:hAnsi="Calibri" w:cs="Calibri"/>
          <w:b/>
          <w:bCs/>
          <w:color w:val="000000"/>
        </w:rPr>
      </w:pPr>
      <w:r w:rsidRPr="00886566">
        <w:rPr>
          <w:rFonts w:ascii="Calibri" w:hAnsi="Calibri" w:cs="Calibri"/>
          <w:b/>
          <w:bCs/>
          <w:color w:val="000000"/>
        </w:rPr>
        <w:t>Future Implications:</w:t>
      </w:r>
    </w:p>
    <w:p w:rsidR="00EA3240" w:rsidRPr="00886566" w:rsidRDefault="00EA3240" w:rsidP="00EA3240">
      <w:pPr>
        <w:shd w:val="clear" w:color="auto" w:fill="FFFFFF"/>
        <w:rPr>
          <w:rFonts w:ascii="Calibri" w:eastAsia="Times New Roman" w:hAnsi="Calibri" w:cs="Calibri"/>
          <w:color w:val="000000"/>
          <w:kern w:val="0"/>
          <w14:ligatures w14:val="none"/>
        </w:rPr>
      </w:pPr>
      <w:r w:rsidRPr="00886566">
        <w:rPr>
          <w:rFonts w:ascii="Calibri" w:hAnsi="Calibri" w:cs="Calibri"/>
          <w:color w:val="000000"/>
          <w:sz w:val="27"/>
          <w:szCs w:val="27"/>
        </w:rPr>
        <w:t xml:space="preserve">• TEPEZZA's approval in 2020 by the FDA marked a significant advancement in TED treatment, with potential to change evaluation and management guidelines [${4}]. • Despite the </w:t>
      </w:r>
      <w:proofErr w:type="gramStart"/>
      <w:r w:rsidRPr="00886566">
        <w:rPr>
          <w:rFonts w:ascii="Calibri" w:hAnsi="Calibri" w:cs="Calibri"/>
          <w:color w:val="000000"/>
          <w:sz w:val="27"/>
          <w:szCs w:val="27"/>
        </w:rPr>
        <w:t>high cost</w:t>
      </w:r>
      <w:proofErr w:type="gramEnd"/>
      <w:r w:rsidRPr="00886566">
        <w:rPr>
          <w:rFonts w:ascii="Calibri" w:hAnsi="Calibri" w:cs="Calibri"/>
          <w:color w:val="000000"/>
          <w:sz w:val="27"/>
          <w:szCs w:val="27"/>
        </w:rPr>
        <w:t xml:space="preserve"> barrier, TEPEZZA's efficacy in chronic TED patients suggests a promising future for the management of the disease [${4}].</w:t>
      </w:r>
    </w:p>
    <w:p w:rsidR="00D93592" w:rsidRPr="00886566" w:rsidRDefault="00886566" w:rsidP="00886566">
      <w:pPr>
        <w:rPr>
          <w:rFonts w:ascii="Calibri" w:hAnsi="Calibri" w:cs="Calibri"/>
        </w:rPr>
      </w:pPr>
      <w:r w:rsidRPr="00886566">
        <w:rPr>
          <w:rFonts w:ascii="Calibri" w:hAnsi="Calibri" w:cs="Calibri"/>
        </w:rPr>
        <w:t>------------------------------------------------------------------------------------------------------------------</w:t>
      </w:r>
    </w:p>
    <w:p w:rsidR="00D93592" w:rsidRPr="00886566" w:rsidRDefault="00D93592" w:rsidP="00D93592">
      <w:pPr>
        <w:shd w:val="clear" w:color="auto" w:fill="FFFFFF"/>
        <w:spacing w:after="0" w:line="240" w:lineRule="auto"/>
        <w:rPr>
          <w:rFonts w:ascii="Calibri" w:hAnsi="Calibri" w:cs="Calibri"/>
          <w:color w:val="000000"/>
          <w:shd w:val="clear" w:color="auto" w:fill="FFFFFF"/>
        </w:rPr>
      </w:pPr>
      <w:r w:rsidRPr="00886566">
        <w:rPr>
          <w:rFonts w:ascii="Calibri" w:eastAsia="Times New Roman" w:hAnsi="Calibri" w:cs="Calibri"/>
          <w:b/>
          <w:bCs/>
          <w:color w:val="000000"/>
          <w:kern w:val="0"/>
          <w:sz w:val="32"/>
          <w:szCs w:val="32"/>
          <w14:ligatures w14:val="none"/>
        </w:rPr>
        <w:t>User Comment:</w:t>
      </w:r>
      <w:r w:rsidRPr="00886566">
        <w:rPr>
          <w:rFonts w:ascii="Calibri" w:eastAsia="Times New Roman" w:hAnsi="Calibri" w:cs="Calibri"/>
          <w:color w:val="000000"/>
          <w:kern w:val="0"/>
          <w14:ligatures w14:val="none"/>
        </w:rPr>
        <w:t xml:space="preserve"> </w:t>
      </w:r>
      <w:r w:rsidRPr="00886566">
        <w:rPr>
          <w:rFonts w:ascii="Calibri" w:hAnsi="Calibri" w:cs="Calibri"/>
          <w:color w:val="000000"/>
          <w:shd w:val="clear" w:color="auto" w:fill="FFFFFF"/>
        </w:rPr>
        <w:t xml:space="preserve">Picked information from Chronic Case study from </w:t>
      </w:r>
      <w:proofErr w:type="spellStart"/>
      <w:r w:rsidRPr="00886566">
        <w:rPr>
          <w:rFonts w:ascii="Calibri" w:hAnsi="Calibri" w:cs="Calibri"/>
          <w:color w:val="000000"/>
          <w:shd w:val="clear" w:color="auto" w:fill="FFFFFF"/>
        </w:rPr>
        <w:t>Ugradar</w:t>
      </w:r>
      <w:proofErr w:type="spellEnd"/>
      <w:r w:rsidRPr="00886566">
        <w:rPr>
          <w:rFonts w:ascii="Calibri" w:hAnsi="Calibri" w:cs="Calibri"/>
          <w:color w:val="000000"/>
          <w:shd w:val="clear" w:color="auto" w:fill="FFFFFF"/>
        </w:rPr>
        <w:t xml:space="preserve"> but not from Phase 4 trial (perhaps not picked up due to terminology used in that paper- can we "broaden" that?). The information from </w:t>
      </w:r>
      <w:proofErr w:type="spellStart"/>
      <w:r w:rsidRPr="00886566">
        <w:rPr>
          <w:rFonts w:ascii="Calibri" w:hAnsi="Calibri" w:cs="Calibri"/>
          <w:color w:val="000000"/>
          <w:shd w:val="clear" w:color="auto" w:fill="FFFFFF"/>
        </w:rPr>
        <w:t>Ugradar</w:t>
      </w:r>
      <w:proofErr w:type="spellEnd"/>
      <w:r w:rsidRPr="00886566">
        <w:rPr>
          <w:rFonts w:ascii="Calibri" w:hAnsi="Calibri" w:cs="Calibri"/>
          <w:color w:val="000000"/>
          <w:shd w:val="clear" w:color="auto" w:fill="FFFFFF"/>
        </w:rPr>
        <w:t xml:space="preserve"> was picked from the Discussion of the Phase 4 trial paper. Also picked text from discussion of another paper, and did not summarize data</w:t>
      </w:r>
    </w:p>
    <w:p w:rsidR="0011161D" w:rsidRPr="00886566" w:rsidRDefault="0011161D" w:rsidP="00D93592">
      <w:pPr>
        <w:shd w:val="clear" w:color="auto" w:fill="FFFFFF"/>
        <w:spacing w:after="0" w:line="240" w:lineRule="auto"/>
        <w:rPr>
          <w:rFonts w:ascii="Calibri" w:hAnsi="Calibri" w:cs="Calibri"/>
          <w:b/>
          <w:bCs/>
          <w:color w:val="000000"/>
          <w:shd w:val="clear" w:color="auto" w:fill="FFFFFF"/>
        </w:rPr>
      </w:pPr>
    </w:p>
    <w:p w:rsidR="00D93592" w:rsidRPr="00886566" w:rsidRDefault="00D93592" w:rsidP="00D93592">
      <w:pPr>
        <w:shd w:val="clear" w:color="auto" w:fill="FFFFFF"/>
        <w:rPr>
          <w:rFonts w:ascii="Calibri" w:hAnsi="Calibri" w:cs="Calibri"/>
          <w:color w:val="000000"/>
          <w:shd w:val="clear" w:color="auto" w:fill="FFFFFF"/>
        </w:rPr>
      </w:pPr>
      <w:r w:rsidRPr="00886566">
        <w:rPr>
          <w:rFonts w:ascii="Calibri" w:hAnsi="Calibri" w:cs="Calibri"/>
          <w:b/>
          <w:bCs/>
          <w:color w:val="000000"/>
          <w:sz w:val="32"/>
          <w:szCs w:val="32"/>
          <w:shd w:val="clear" w:color="auto" w:fill="FFFFFF"/>
        </w:rPr>
        <w:t>Details Required:</w:t>
      </w:r>
      <w:r w:rsidRPr="00886566">
        <w:rPr>
          <w:rFonts w:ascii="Calibri" w:hAnsi="Calibri" w:cs="Calibri"/>
          <w:color w:val="000000"/>
          <w:shd w:val="clear" w:color="auto" w:fill="FFFFFF"/>
        </w:rPr>
        <w:t xml:space="preserve"> One of the Phase 4 chunk appeared in sources; but didn't </w:t>
      </w:r>
      <w:proofErr w:type="gramStart"/>
      <w:r w:rsidRPr="00886566">
        <w:rPr>
          <w:rFonts w:ascii="Calibri" w:hAnsi="Calibri" w:cs="Calibri"/>
          <w:color w:val="000000"/>
          <w:shd w:val="clear" w:color="auto" w:fill="FFFFFF"/>
        </w:rPr>
        <w:t>found</w:t>
      </w:r>
      <w:proofErr w:type="gramEnd"/>
      <w:r w:rsidRPr="00886566">
        <w:rPr>
          <w:rFonts w:ascii="Calibri" w:hAnsi="Calibri" w:cs="Calibri"/>
          <w:color w:val="000000"/>
          <w:shd w:val="clear" w:color="auto" w:fill="FFFFFF"/>
        </w:rPr>
        <w:t xml:space="preserve"> much details regarding the chronic disease; Need specific content/document which need to be present in the response</w:t>
      </w:r>
    </w:p>
    <w:p w:rsidR="00CD2977" w:rsidRPr="00886566" w:rsidRDefault="00CD2977" w:rsidP="009420D1">
      <w:pPr>
        <w:rPr>
          <w:rFonts w:ascii="Calibri" w:hAnsi="Calibri" w:cs="Calibri"/>
        </w:rPr>
      </w:pPr>
    </w:p>
    <w:sectPr w:rsidR="00CD2977" w:rsidRPr="00886566">
      <w:footerReference w:type="even" r:id="rId7"/>
      <w:footerReference w:type="default" r:id="rId8"/>
      <w:foot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8395B" w:rsidRDefault="00F8395B" w:rsidP="00EA3240">
      <w:pPr>
        <w:spacing w:after="0" w:line="240" w:lineRule="auto"/>
      </w:pPr>
      <w:r>
        <w:separator/>
      </w:r>
    </w:p>
  </w:endnote>
  <w:endnote w:type="continuationSeparator" w:id="0">
    <w:p w:rsidR="00F8395B" w:rsidRDefault="00F8395B" w:rsidP="00EA32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A3240" w:rsidRDefault="00EA3240">
    <w:pPr>
      <w:pStyle w:val="Footer"/>
    </w:pPr>
    <w:r>
      <w:rPr>
        <w:noProof/>
      </w:rPr>
      <mc:AlternateContent>
        <mc:Choice Requires="wps">
          <w:drawing>
            <wp:anchor distT="0" distB="0" distL="0" distR="0" simplePos="0" relativeHeight="251659264" behindDoc="0" locked="0" layoutInCell="1" allowOverlap="1" wp14:anchorId="2B0EE490" wp14:editId="7CCA0345">
              <wp:simplePos x="635" y="635"/>
              <wp:positionH relativeFrom="page">
                <wp:align>center</wp:align>
              </wp:positionH>
              <wp:positionV relativeFrom="page">
                <wp:align>bottom</wp:align>
              </wp:positionV>
              <wp:extent cx="443865" cy="443865"/>
              <wp:effectExtent l="0" t="0" r="12700" b="0"/>
              <wp:wrapNone/>
              <wp:docPr id="579329842" name="Text Box 3"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00EA3240" w:rsidRPr="00EA3240" w:rsidRDefault="00EA3240" w:rsidP="00EA3240">
                          <w:pPr>
                            <w:spacing w:after="0"/>
                            <w:rPr>
                              <w:rFonts w:ascii="Calibri" w:eastAsia="Calibri" w:hAnsi="Calibri" w:cs="Calibri"/>
                              <w:noProof/>
                              <w:color w:val="000000"/>
                              <w:sz w:val="20"/>
                              <w:szCs w:val="20"/>
                            </w:rPr>
                          </w:pPr>
                          <w:r w:rsidRPr="00EA3240">
                            <w:rPr>
                              <w:rFonts w:ascii="Calibri" w:eastAsia="Calibri" w:hAnsi="Calibri" w:cs="Calibri"/>
                              <w:noProof/>
                              <w:color w:val="000000"/>
                              <w:sz w:val="20"/>
                              <w:szCs w:val="20"/>
                            </w:rPr>
                            <w:t>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B0EE490" id="_x0000_t202" coordsize="21600,21600" o:spt="202" path="m,l,21600r21600,l21600,xe">
              <v:stroke joinstyle="miter"/>
              <v:path gradientshapeok="t" o:connecttype="rect"/>
            </v:shapetype>
            <v:shape id="Text Box 3" o:spid="_x0000_s1026" type="#_x0000_t202" alt="Public"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rsidR="00EA3240" w:rsidRPr="00EA3240" w:rsidRDefault="00EA3240" w:rsidP="00EA3240">
                    <w:pPr>
                      <w:spacing w:after="0"/>
                      <w:rPr>
                        <w:rFonts w:ascii="Calibri" w:eastAsia="Calibri" w:hAnsi="Calibri" w:cs="Calibri"/>
                        <w:noProof/>
                        <w:color w:val="000000"/>
                        <w:sz w:val="20"/>
                        <w:szCs w:val="20"/>
                      </w:rPr>
                    </w:pPr>
                    <w:r w:rsidRPr="00EA3240">
                      <w:rPr>
                        <w:rFonts w:ascii="Calibri" w:eastAsia="Calibri" w:hAnsi="Calibri" w:cs="Calibri"/>
                        <w:noProof/>
                        <w:color w:val="000000"/>
                        <w:sz w:val="20"/>
                        <w:szCs w:val="20"/>
                      </w:rPr>
                      <w:t>Public</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A3240" w:rsidRDefault="00EA3240">
    <w:pPr>
      <w:pStyle w:val="Footer"/>
    </w:pPr>
    <w:r>
      <w:rPr>
        <w:noProof/>
      </w:rPr>
      <mc:AlternateContent>
        <mc:Choice Requires="wps">
          <w:drawing>
            <wp:anchor distT="0" distB="0" distL="0" distR="0" simplePos="0" relativeHeight="251660288" behindDoc="0" locked="0" layoutInCell="1" allowOverlap="1" wp14:anchorId="7804D481" wp14:editId="07CE97CD">
              <wp:simplePos x="914400" y="9417050"/>
              <wp:positionH relativeFrom="page">
                <wp:align>center</wp:align>
              </wp:positionH>
              <wp:positionV relativeFrom="page">
                <wp:align>bottom</wp:align>
              </wp:positionV>
              <wp:extent cx="443865" cy="443865"/>
              <wp:effectExtent l="0" t="0" r="12700" b="0"/>
              <wp:wrapNone/>
              <wp:docPr id="1951689836" name="Text Box 4"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00EA3240" w:rsidRPr="00EA3240" w:rsidRDefault="00EA3240" w:rsidP="00EA3240">
                          <w:pPr>
                            <w:spacing w:after="0"/>
                            <w:rPr>
                              <w:rFonts w:ascii="Calibri" w:eastAsia="Calibri" w:hAnsi="Calibri" w:cs="Calibri"/>
                              <w:noProof/>
                              <w:color w:val="000000"/>
                              <w:sz w:val="20"/>
                              <w:szCs w:val="20"/>
                            </w:rPr>
                          </w:pPr>
                          <w:r w:rsidRPr="00EA3240">
                            <w:rPr>
                              <w:rFonts w:ascii="Calibri" w:eastAsia="Calibri" w:hAnsi="Calibri" w:cs="Calibri"/>
                              <w:noProof/>
                              <w:color w:val="000000"/>
                              <w:sz w:val="20"/>
                              <w:szCs w:val="20"/>
                            </w:rPr>
                            <w:t>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4D481" id="_x0000_t202" coordsize="21600,21600" o:spt="202" path="m,l,21600r21600,l21600,xe">
              <v:stroke joinstyle="miter"/>
              <v:path gradientshapeok="t" o:connecttype="rect"/>
            </v:shapetype>
            <v:shape id="Text Box 4" o:spid="_x0000_s1027" type="#_x0000_t202" alt="Public"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rsidR="00EA3240" w:rsidRPr="00EA3240" w:rsidRDefault="00EA3240" w:rsidP="00EA3240">
                    <w:pPr>
                      <w:spacing w:after="0"/>
                      <w:rPr>
                        <w:rFonts w:ascii="Calibri" w:eastAsia="Calibri" w:hAnsi="Calibri" w:cs="Calibri"/>
                        <w:noProof/>
                        <w:color w:val="000000"/>
                        <w:sz w:val="20"/>
                        <w:szCs w:val="20"/>
                      </w:rPr>
                    </w:pPr>
                    <w:r w:rsidRPr="00EA3240">
                      <w:rPr>
                        <w:rFonts w:ascii="Calibri" w:eastAsia="Calibri" w:hAnsi="Calibri" w:cs="Calibri"/>
                        <w:noProof/>
                        <w:color w:val="000000"/>
                        <w:sz w:val="20"/>
                        <w:szCs w:val="20"/>
                      </w:rPr>
                      <w:t>Public</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A3240" w:rsidRDefault="00EA3240">
    <w:pPr>
      <w:pStyle w:val="Footer"/>
    </w:pPr>
    <w:r>
      <w:rPr>
        <w:noProof/>
      </w:rPr>
      <mc:AlternateContent>
        <mc:Choice Requires="wps">
          <w:drawing>
            <wp:anchor distT="0" distB="0" distL="0" distR="0" simplePos="0" relativeHeight="251658240" behindDoc="0" locked="0" layoutInCell="1" allowOverlap="1" wp14:anchorId="693387D2" wp14:editId="0554EC24">
              <wp:simplePos x="635" y="635"/>
              <wp:positionH relativeFrom="page">
                <wp:align>center</wp:align>
              </wp:positionH>
              <wp:positionV relativeFrom="page">
                <wp:align>bottom</wp:align>
              </wp:positionV>
              <wp:extent cx="443865" cy="443865"/>
              <wp:effectExtent l="0" t="0" r="12700" b="0"/>
              <wp:wrapNone/>
              <wp:docPr id="1254076119" name="Text Box 2"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00EA3240" w:rsidRPr="00EA3240" w:rsidRDefault="00EA3240" w:rsidP="00EA3240">
                          <w:pPr>
                            <w:spacing w:after="0"/>
                            <w:rPr>
                              <w:rFonts w:ascii="Calibri" w:eastAsia="Calibri" w:hAnsi="Calibri" w:cs="Calibri"/>
                              <w:noProof/>
                              <w:color w:val="000000"/>
                              <w:sz w:val="20"/>
                              <w:szCs w:val="20"/>
                            </w:rPr>
                          </w:pPr>
                          <w:r w:rsidRPr="00EA3240">
                            <w:rPr>
                              <w:rFonts w:ascii="Calibri" w:eastAsia="Calibri" w:hAnsi="Calibri" w:cs="Calibri"/>
                              <w:noProof/>
                              <w:color w:val="000000"/>
                              <w:sz w:val="20"/>
                              <w:szCs w:val="20"/>
                            </w:rPr>
                            <w:t>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93387D2" id="_x0000_t202" coordsize="21600,21600" o:spt="202" path="m,l,21600r21600,l21600,xe">
              <v:stroke joinstyle="miter"/>
              <v:path gradientshapeok="t" o:connecttype="rect"/>
            </v:shapetype>
            <v:shape id="Text Box 2" o:spid="_x0000_s1028" type="#_x0000_t202" alt="Public"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rsidR="00EA3240" w:rsidRPr="00EA3240" w:rsidRDefault="00EA3240" w:rsidP="00EA3240">
                    <w:pPr>
                      <w:spacing w:after="0"/>
                      <w:rPr>
                        <w:rFonts w:ascii="Calibri" w:eastAsia="Calibri" w:hAnsi="Calibri" w:cs="Calibri"/>
                        <w:noProof/>
                        <w:color w:val="000000"/>
                        <w:sz w:val="20"/>
                        <w:szCs w:val="20"/>
                      </w:rPr>
                    </w:pPr>
                    <w:r w:rsidRPr="00EA3240">
                      <w:rPr>
                        <w:rFonts w:ascii="Calibri" w:eastAsia="Calibri" w:hAnsi="Calibri" w:cs="Calibri"/>
                        <w:noProof/>
                        <w:color w:val="000000"/>
                        <w:sz w:val="20"/>
                        <w:szCs w:val="20"/>
                      </w:rPr>
                      <w:t>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8395B" w:rsidRDefault="00F8395B" w:rsidP="00EA3240">
      <w:pPr>
        <w:spacing w:after="0" w:line="240" w:lineRule="auto"/>
      </w:pPr>
      <w:r>
        <w:separator/>
      </w:r>
    </w:p>
  </w:footnote>
  <w:footnote w:type="continuationSeparator" w:id="0">
    <w:p w:rsidR="00F8395B" w:rsidRDefault="00F8395B" w:rsidP="00EA32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3B1748"/>
    <w:multiLevelType w:val="multilevel"/>
    <w:tmpl w:val="D5301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1B205D"/>
    <w:multiLevelType w:val="multilevel"/>
    <w:tmpl w:val="86D28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734F06"/>
    <w:multiLevelType w:val="multilevel"/>
    <w:tmpl w:val="ABE4C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114796"/>
    <w:multiLevelType w:val="multilevel"/>
    <w:tmpl w:val="EEB41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DB4DFC"/>
    <w:multiLevelType w:val="multilevel"/>
    <w:tmpl w:val="192C1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696674"/>
    <w:multiLevelType w:val="hybridMultilevel"/>
    <w:tmpl w:val="66203BD4"/>
    <w:lvl w:ilvl="0" w:tplc="7E2E273C">
      <w:start w:val="1"/>
      <w:numFmt w:val="bullet"/>
      <w:lvlText w:val="•"/>
      <w:lvlJc w:val="left"/>
      <w:pPr>
        <w:tabs>
          <w:tab w:val="num" w:pos="720"/>
        </w:tabs>
        <w:ind w:left="720" w:hanging="360"/>
      </w:pPr>
      <w:rPr>
        <w:rFonts w:ascii="Arial" w:hAnsi="Arial" w:hint="default"/>
      </w:rPr>
    </w:lvl>
    <w:lvl w:ilvl="1" w:tplc="75BC1B32" w:tentative="1">
      <w:start w:val="1"/>
      <w:numFmt w:val="bullet"/>
      <w:lvlText w:val="•"/>
      <w:lvlJc w:val="left"/>
      <w:pPr>
        <w:tabs>
          <w:tab w:val="num" w:pos="1440"/>
        </w:tabs>
        <w:ind w:left="1440" w:hanging="360"/>
      </w:pPr>
      <w:rPr>
        <w:rFonts w:ascii="Arial" w:hAnsi="Arial" w:hint="default"/>
      </w:rPr>
    </w:lvl>
    <w:lvl w:ilvl="2" w:tplc="B5003EDE" w:tentative="1">
      <w:start w:val="1"/>
      <w:numFmt w:val="bullet"/>
      <w:lvlText w:val="•"/>
      <w:lvlJc w:val="left"/>
      <w:pPr>
        <w:tabs>
          <w:tab w:val="num" w:pos="2160"/>
        </w:tabs>
        <w:ind w:left="2160" w:hanging="360"/>
      </w:pPr>
      <w:rPr>
        <w:rFonts w:ascii="Arial" w:hAnsi="Arial" w:hint="default"/>
      </w:rPr>
    </w:lvl>
    <w:lvl w:ilvl="3" w:tplc="224AFC8A" w:tentative="1">
      <w:start w:val="1"/>
      <w:numFmt w:val="bullet"/>
      <w:lvlText w:val="•"/>
      <w:lvlJc w:val="left"/>
      <w:pPr>
        <w:tabs>
          <w:tab w:val="num" w:pos="2880"/>
        </w:tabs>
        <w:ind w:left="2880" w:hanging="360"/>
      </w:pPr>
      <w:rPr>
        <w:rFonts w:ascii="Arial" w:hAnsi="Arial" w:hint="default"/>
      </w:rPr>
    </w:lvl>
    <w:lvl w:ilvl="4" w:tplc="FF54BDCC" w:tentative="1">
      <w:start w:val="1"/>
      <w:numFmt w:val="bullet"/>
      <w:lvlText w:val="•"/>
      <w:lvlJc w:val="left"/>
      <w:pPr>
        <w:tabs>
          <w:tab w:val="num" w:pos="3600"/>
        </w:tabs>
        <w:ind w:left="3600" w:hanging="360"/>
      </w:pPr>
      <w:rPr>
        <w:rFonts w:ascii="Arial" w:hAnsi="Arial" w:hint="default"/>
      </w:rPr>
    </w:lvl>
    <w:lvl w:ilvl="5" w:tplc="C9648B60" w:tentative="1">
      <w:start w:val="1"/>
      <w:numFmt w:val="bullet"/>
      <w:lvlText w:val="•"/>
      <w:lvlJc w:val="left"/>
      <w:pPr>
        <w:tabs>
          <w:tab w:val="num" w:pos="4320"/>
        </w:tabs>
        <w:ind w:left="4320" w:hanging="360"/>
      </w:pPr>
      <w:rPr>
        <w:rFonts w:ascii="Arial" w:hAnsi="Arial" w:hint="default"/>
      </w:rPr>
    </w:lvl>
    <w:lvl w:ilvl="6" w:tplc="848C6FD2" w:tentative="1">
      <w:start w:val="1"/>
      <w:numFmt w:val="bullet"/>
      <w:lvlText w:val="•"/>
      <w:lvlJc w:val="left"/>
      <w:pPr>
        <w:tabs>
          <w:tab w:val="num" w:pos="5040"/>
        </w:tabs>
        <w:ind w:left="5040" w:hanging="360"/>
      </w:pPr>
      <w:rPr>
        <w:rFonts w:ascii="Arial" w:hAnsi="Arial" w:hint="default"/>
      </w:rPr>
    </w:lvl>
    <w:lvl w:ilvl="7" w:tplc="296EC516" w:tentative="1">
      <w:start w:val="1"/>
      <w:numFmt w:val="bullet"/>
      <w:lvlText w:val="•"/>
      <w:lvlJc w:val="left"/>
      <w:pPr>
        <w:tabs>
          <w:tab w:val="num" w:pos="5760"/>
        </w:tabs>
        <w:ind w:left="5760" w:hanging="360"/>
      </w:pPr>
      <w:rPr>
        <w:rFonts w:ascii="Arial" w:hAnsi="Arial" w:hint="default"/>
      </w:rPr>
    </w:lvl>
    <w:lvl w:ilvl="8" w:tplc="7AC65F8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DA13646"/>
    <w:multiLevelType w:val="hybridMultilevel"/>
    <w:tmpl w:val="4B768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0045CA"/>
    <w:multiLevelType w:val="multilevel"/>
    <w:tmpl w:val="4DEE0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0E24F6"/>
    <w:multiLevelType w:val="multilevel"/>
    <w:tmpl w:val="6F28E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32195">
    <w:abstractNumId w:val="6"/>
  </w:num>
  <w:num w:numId="2" w16cid:durableId="994842335">
    <w:abstractNumId w:val="5"/>
  </w:num>
  <w:num w:numId="3" w16cid:durableId="591359206">
    <w:abstractNumId w:val="7"/>
  </w:num>
  <w:num w:numId="4" w16cid:durableId="1910772698">
    <w:abstractNumId w:val="0"/>
  </w:num>
  <w:num w:numId="5" w16cid:durableId="1314523678">
    <w:abstractNumId w:val="1"/>
  </w:num>
  <w:num w:numId="6" w16cid:durableId="1603756300">
    <w:abstractNumId w:val="2"/>
  </w:num>
  <w:num w:numId="7" w16cid:durableId="1890915983">
    <w:abstractNumId w:val="4"/>
  </w:num>
  <w:num w:numId="8" w16cid:durableId="1003971332">
    <w:abstractNumId w:val="8"/>
  </w:num>
  <w:num w:numId="9" w16cid:durableId="391334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921"/>
    <w:rsid w:val="000A2E66"/>
    <w:rsid w:val="000D236D"/>
    <w:rsid w:val="0011161D"/>
    <w:rsid w:val="00170DFC"/>
    <w:rsid w:val="00180826"/>
    <w:rsid w:val="001A1349"/>
    <w:rsid w:val="0021754A"/>
    <w:rsid w:val="002E1C3C"/>
    <w:rsid w:val="00523EB8"/>
    <w:rsid w:val="005B594D"/>
    <w:rsid w:val="005F57B7"/>
    <w:rsid w:val="00607CC9"/>
    <w:rsid w:val="006C0FE3"/>
    <w:rsid w:val="007C6DFD"/>
    <w:rsid w:val="007D394E"/>
    <w:rsid w:val="007F5EDC"/>
    <w:rsid w:val="0083414F"/>
    <w:rsid w:val="00886566"/>
    <w:rsid w:val="00940423"/>
    <w:rsid w:val="009420D1"/>
    <w:rsid w:val="00A05995"/>
    <w:rsid w:val="00AD586D"/>
    <w:rsid w:val="00AD747A"/>
    <w:rsid w:val="00BB4862"/>
    <w:rsid w:val="00C00C32"/>
    <w:rsid w:val="00C611B3"/>
    <w:rsid w:val="00C905BE"/>
    <w:rsid w:val="00CD2977"/>
    <w:rsid w:val="00CD323E"/>
    <w:rsid w:val="00D0103D"/>
    <w:rsid w:val="00D9052A"/>
    <w:rsid w:val="00D93592"/>
    <w:rsid w:val="00DB6E66"/>
    <w:rsid w:val="00DC7E4D"/>
    <w:rsid w:val="00DF1A59"/>
    <w:rsid w:val="00E14EF3"/>
    <w:rsid w:val="00E16382"/>
    <w:rsid w:val="00E52921"/>
    <w:rsid w:val="00E8033D"/>
    <w:rsid w:val="00EA3240"/>
    <w:rsid w:val="00F44DFD"/>
    <w:rsid w:val="00F65817"/>
    <w:rsid w:val="00F8395B"/>
    <w:rsid w:val="00F84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42366"/>
  <w15:chartTrackingRefBased/>
  <w15:docId w15:val="{86451098-E737-4CEF-882C-7DCF19ECC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E4D"/>
  </w:style>
  <w:style w:type="paragraph" w:styleId="Heading1">
    <w:name w:val="heading 1"/>
    <w:basedOn w:val="Normal"/>
    <w:next w:val="Normal"/>
    <w:link w:val="Heading1Char"/>
    <w:uiPriority w:val="9"/>
    <w:qFormat/>
    <w:rsid w:val="00E529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29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29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29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29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29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29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29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29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9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29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29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29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29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29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29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29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2921"/>
    <w:rPr>
      <w:rFonts w:eastAsiaTheme="majorEastAsia" w:cstheme="majorBidi"/>
      <w:color w:val="272727" w:themeColor="text1" w:themeTint="D8"/>
    </w:rPr>
  </w:style>
  <w:style w:type="paragraph" w:styleId="Title">
    <w:name w:val="Title"/>
    <w:basedOn w:val="Normal"/>
    <w:next w:val="Normal"/>
    <w:link w:val="TitleChar"/>
    <w:uiPriority w:val="10"/>
    <w:qFormat/>
    <w:rsid w:val="00E529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29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29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29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2921"/>
    <w:pPr>
      <w:spacing w:before="160"/>
      <w:jc w:val="center"/>
    </w:pPr>
    <w:rPr>
      <w:i/>
      <w:iCs/>
      <w:color w:val="404040" w:themeColor="text1" w:themeTint="BF"/>
    </w:rPr>
  </w:style>
  <w:style w:type="character" w:customStyle="1" w:styleId="QuoteChar">
    <w:name w:val="Quote Char"/>
    <w:basedOn w:val="DefaultParagraphFont"/>
    <w:link w:val="Quote"/>
    <w:uiPriority w:val="29"/>
    <w:rsid w:val="00E52921"/>
    <w:rPr>
      <w:i/>
      <w:iCs/>
      <w:color w:val="404040" w:themeColor="text1" w:themeTint="BF"/>
    </w:rPr>
  </w:style>
  <w:style w:type="paragraph" w:styleId="ListParagraph">
    <w:name w:val="List Paragraph"/>
    <w:basedOn w:val="Normal"/>
    <w:uiPriority w:val="34"/>
    <w:qFormat/>
    <w:rsid w:val="00E52921"/>
    <w:pPr>
      <w:ind w:left="720"/>
      <w:contextualSpacing/>
    </w:pPr>
  </w:style>
  <w:style w:type="character" w:styleId="IntenseEmphasis">
    <w:name w:val="Intense Emphasis"/>
    <w:basedOn w:val="DefaultParagraphFont"/>
    <w:uiPriority w:val="21"/>
    <w:qFormat/>
    <w:rsid w:val="00E52921"/>
    <w:rPr>
      <w:i/>
      <w:iCs/>
      <w:color w:val="0F4761" w:themeColor="accent1" w:themeShade="BF"/>
    </w:rPr>
  </w:style>
  <w:style w:type="paragraph" w:styleId="IntenseQuote">
    <w:name w:val="Intense Quote"/>
    <w:basedOn w:val="Normal"/>
    <w:next w:val="Normal"/>
    <w:link w:val="IntenseQuoteChar"/>
    <w:uiPriority w:val="30"/>
    <w:qFormat/>
    <w:rsid w:val="00E529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2921"/>
    <w:rPr>
      <w:i/>
      <w:iCs/>
      <w:color w:val="0F4761" w:themeColor="accent1" w:themeShade="BF"/>
    </w:rPr>
  </w:style>
  <w:style w:type="character" w:styleId="IntenseReference">
    <w:name w:val="Intense Reference"/>
    <w:basedOn w:val="DefaultParagraphFont"/>
    <w:uiPriority w:val="32"/>
    <w:qFormat/>
    <w:rsid w:val="00E52921"/>
    <w:rPr>
      <w:b/>
      <w:bCs/>
      <w:smallCaps/>
      <w:color w:val="0F4761" w:themeColor="accent1" w:themeShade="BF"/>
      <w:spacing w:val="5"/>
    </w:rPr>
  </w:style>
  <w:style w:type="character" w:customStyle="1" w:styleId="normaltextrun">
    <w:name w:val="normaltextrun"/>
    <w:basedOn w:val="DefaultParagraphFont"/>
    <w:rsid w:val="00CD2977"/>
  </w:style>
  <w:style w:type="character" w:customStyle="1" w:styleId="eop">
    <w:name w:val="eop"/>
    <w:basedOn w:val="DefaultParagraphFont"/>
    <w:rsid w:val="00CD2977"/>
  </w:style>
  <w:style w:type="character" w:customStyle="1" w:styleId="contextualspellingandgrammarerrorzoomed">
    <w:name w:val="contextualspellingandgrammarerrorzoomed"/>
    <w:basedOn w:val="DefaultParagraphFont"/>
    <w:rsid w:val="00CD2977"/>
  </w:style>
  <w:style w:type="paragraph" w:styleId="NormalWeb">
    <w:name w:val="Normal (Web)"/>
    <w:basedOn w:val="Normal"/>
    <w:uiPriority w:val="99"/>
    <w:unhideWhenUsed/>
    <w:rsid w:val="00CD2977"/>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EA32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32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30931">
      <w:bodyDiv w:val="1"/>
      <w:marLeft w:val="0"/>
      <w:marRight w:val="0"/>
      <w:marTop w:val="0"/>
      <w:marBottom w:val="0"/>
      <w:divBdr>
        <w:top w:val="none" w:sz="0" w:space="0" w:color="auto"/>
        <w:left w:val="none" w:sz="0" w:space="0" w:color="auto"/>
        <w:bottom w:val="none" w:sz="0" w:space="0" w:color="auto"/>
        <w:right w:val="none" w:sz="0" w:space="0" w:color="auto"/>
      </w:divBdr>
    </w:div>
    <w:div w:id="361790277">
      <w:bodyDiv w:val="1"/>
      <w:marLeft w:val="0"/>
      <w:marRight w:val="0"/>
      <w:marTop w:val="0"/>
      <w:marBottom w:val="0"/>
      <w:divBdr>
        <w:top w:val="none" w:sz="0" w:space="0" w:color="auto"/>
        <w:left w:val="none" w:sz="0" w:space="0" w:color="auto"/>
        <w:bottom w:val="none" w:sz="0" w:space="0" w:color="auto"/>
        <w:right w:val="none" w:sz="0" w:space="0" w:color="auto"/>
      </w:divBdr>
    </w:div>
    <w:div w:id="468788101">
      <w:bodyDiv w:val="1"/>
      <w:marLeft w:val="0"/>
      <w:marRight w:val="0"/>
      <w:marTop w:val="0"/>
      <w:marBottom w:val="0"/>
      <w:divBdr>
        <w:top w:val="none" w:sz="0" w:space="0" w:color="auto"/>
        <w:left w:val="none" w:sz="0" w:space="0" w:color="auto"/>
        <w:bottom w:val="none" w:sz="0" w:space="0" w:color="auto"/>
        <w:right w:val="none" w:sz="0" w:space="0" w:color="auto"/>
      </w:divBdr>
    </w:div>
    <w:div w:id="608389535">
      <w:bodyDiv w:val="1"/>
      <w:marLeft w:val="0"/>
      <w:marRight w:val="0"/>
      <w:marTop w:val="0"/>
      <w:marBottom w:val="0"/>
      <w:divBdr>
        <w:top w:val="none" w:sz="0" w:space="0" w:color="auto"/>
        <w:left w:val="none" w:sz="0" w:space="0" w:color="auto"/>
        <w:bottom w:val="none" w:sz="0" w:space="0" w:color="auto"/>
        <w:right w:val="none" w:sz="0" w:space="0" w:color="auto"/>
      </w:divBdr>
    </w:div>
    <w:div w:id="1319072901">
      <w:bodyDiv w:val="1"/>
      <w:marLeft w:val="0"/>
      <w:marRight w:val="0"/>
      <w:marTop w:val="0"/>
      <w:marBottom w:val="0"/>
      <w:divBdr>
        <w:top w:val="none" w:sz="0" w:space="0" w:color="auto"/>
        <w:left w:val="none" w:sz="0" w:space="0" w:color="auto"/>
        <w:bottom w:val="none" w:sz="0" w:space="0" w:color="auto"/>
        <w:right w:val="none" w:sz="0" w:space="0" w:color="auto"/>
      </w:divBdr>
    </w:div>
    <w:div w:id="1351488589">
      <w:bodyDiv w:val="1"/>
      <w:marLeft w:val="0"/>
      <w:marRight w:val="0"/>
      <w:marTop w:val="0"/>
      <w:marBottom w:val="0"/>
      <w:divBdr>
        <w:top w:val="none" w:sz="0" w:space="0" w:color="auto"/>
        <w:left w:val="none" w:sz="0" w:space="0" w:color="auto"/>
        <w:bottom w:val="none" w:sz="0" w:space="0" w:color="auto"/>
        <w:right w:val="none" w:sz="0" w:space="0" w:color="auto"/>
      </w:divBdr>
    </w:div>
    <w:div w:id="1500459572">
      <w:bodyDiv w:val="1"/>
      <w:marLeft w:val="0"/>
      <w:marRight w:val="0"/>
      <w:marTop w:val="0"/>
      <w:marBottom w:val="0"/>
      <w:divBdr>
        <w:top w:val="none" w:sz="0" w:space="0" w:color="auto"/>
        <w:left w:val="none" w:sz="0" w:space="0" w:color="auto"/>
        <w:bottom w:val="none" w:sz="0" w:space="0" w:color="auto"/>
        <w:right w:val="none" w:sz="0" w:space="0" w:color="auto"/>
      </w:divBdr>
      <w:divsChild>
        <w:div w:id="1673752836">
          <w:marLeft w:val="0"/>
          <w:marRight w:val="0"/>
          <w:marTop w:val="0"/>
          <w:marBottom w:val="0"/>
          <w:divBdr>
            <w:top w:val="none" w:sz="0" w:space="0" w:color="auto"/>
            <w:left w:val="none" w:sz="0" w:space="0" w:color="auto"/>
            <w:bottom w:val="none" w:sz="0" w:space="0" w:color="auto"/>
            <w:right w:val="none" w:sz="0" w:space="0" w:color="auto"/>
          </w:divBdr>
        </w:div>
        <w:div w:id="1491942489">
          <w:marLeft w:val="0"/>
          <w:marRight w:val="0"/>
          <w:marTop w:val="0"/>
          <w:marBottom w:val="0"/>
          <w:divBdr>
            <w:top w:val="none" w:sz="0" w:space="0" w:color="auto"/>
            <w:left w:val="none" w:sz="0" w:space="0" w:color="auto"/>
            <w:bottom w:val="none" w:sz="0" w:space="0" w:color="auto"/>
            <w:right w:val="none" w:sz="0" w:space="0" w:color="auto"/>
          </w:divBdr>
        </w:div>
        <w:div w:id="1108046995">
          <w:marLeft w:val="0"/>
          <w:marRight w:val="0"/>
          <w:marTop w:val="0"/>
          <w:marBottom w:val="0"/>
          <w:divBdr>
            <w:top w:val="none" w:sz="0" w:space="0" w:color="auto"/>
            <w:left w:val="none" w:sz="0" w:space="0" w:color="auto"/>
            <w:bottom w:val="none" w:sz="0" w:space="0" w:color="auto"/>
            <w:right w:val="none" w:sz="0" w:space="0" w:color="auto"/>
          </w:divBdr>
        </w:div>
        <w:div w:id="1366828432">
          <w:marLeft w:val="0"/>
          <w:marRight w:val="0"/>
          <w:marTop w:val="0"/>
          <w:marBottom w:val="0"/>
          <w:divBdr>
            <w:top w:val="none" w:sz="0" w:space="0" w:color="auto"/>
            <w:left w:val="none" w:sz="0" w:space="0" w:color="auto"/>
            <w:bottom w:val="none" w:sz="0" w:space="0" w:color="auto"/>
            <w:right w:val="none" w:sz="0" w:space="0" w:color="auto"/>
          </w:divBdr>
        </w:div>
        <w:div w:id="482239702">
          <w:marLeft w:val="0"/>
          <w:marRight w:val="0"/>
          <w:marTop w:val="0"/>
          <w:marBottom w:val="0"/>
          <w:divBdr>
            <w:top w:val="none" w:sz="0" w:space="0" w:color="auto"/>
            <w:left w:val="none" w:sz="0" w:space="0" w:color="auto"/>
            <w:bottom w:val="none" w:sz="0" w:space="0" w:color="auto"/>
            <w:right w:val="none" w:sz="0" w:space="0" w:color="auto"/>
          </w:divBdr>
        </w:div>
        <w:div w:id="387537961">
          <w:marLeft w:val="0"/>
          <w:marRight w:val="0"/>
          <w:marTop w:val="0"/>
          <w:marBottom w:val="0"/>
          <w:divBdr>
            <w:top w:val="none" w:sz="0" w:space="0" w:color="auto"/>
            <w:left w:val="none" w:sz="0" w:space="0" w:color="auto"/>
            <w:bottom w:val="none" w:sz="0" w:space="0" w:color="auto"/>
            <w:right w:val="none" w:sz="0" w:space="0" w:color="auto"/>
          </w:divBdr>
        </w:div>
        <w:div w:id="607740337">
          <w:marLeft w:val="0"/>
          <w:marRight w:val="0"/>
          <w:marTop w:val="0"/>
          <w:marBottom w:val="0"/>
          <w:divBdr>
            <w:top w:val="none" w:sz="0" w:space="0" w:color="auto"/>
            <w:left w:val="none" w:sz="0" w:space="0" w:color="auto"/>
            <w:bottom w:val="none" w:sz="0" w:space="0" w:color="auto"/>
            <w:right w:val="none" w:sz="0" w:space="0" w:color="auto"/>
          </w:divBdr>
        </w:div>
        <w:div w:id="1733430673">
          <w:marLeft w:val="0"/>
          <w:marRight w:val="0"/>
          <w:marTop w:val="0"/>
          <w:marBottom w:val="0"/>
          <w:divBdr>
            <w:top w:val="none" w:sz="0" w:space="0" w:color="auto"/>
            <w:left w:val="none" w:sz="0" w:space="0" w:color="auto"/>
            <w:bottom w:val="none" w:sz="0" w:space="0" w:color="auto"/>
            <w:right w:val="none" w:sz="0" w:space="0" w:color="auto"/>
          </w:divBdr>
        </w:div>
        <w:div w:id="134763057">
          <w:marLeft w:val="0"/>
          <w:marRight w:val="0"/>
          <w:marTop w:val="0"/>
          <w:marBottom w:val="0"/>
          <w:divBdr>
            <w:top w:val="none" w:sz="0" w:space="0" w:color="auto"/>
            <w:left w:val="none" w:sz="0" w:space="0" w:color="auto"/>
            <w:bottom w:val="none" w:sz="0" w:space="0" w:color="auto"/>
            <w:right w:val="none" w:sz="0" w:space="0" w:color="auto"/>
          </w:divBdr>
        </w:div>
        <w:div w:id="1229076044">
          <w:marLeft w:val="0"/>
          <w:marRight w:val="0"/>
          <w:marTop w:val="0"/>
          <w:marBottom w:val="0"/>
          <w:divBdr>
            <w:top w:val="none" w:sz="0" w:space="0" w:color="auto"/>
            <w:left w:val="none" w:sz="0" w:space="0" w:color="auto"/>
            <w:bottom w:val="none" w:sz="0" w:space="0" w:color="auto"/>
            <w:right w:val="none" w:sz="0" w:space="0" w:color="auto"/>
          </w:divBdr>
        </w:div>
        <w:div w:id="458375388">
          <w:marLeft w:val="0"/>
          <w:marRight w:val="0"/>
          <w:marTop w:val="0"/>
          <w:marBottom w:val="0"/>
          <w:divBdr>
            <w:top w:val="none" w:sz="0" w:space="0" w:color="auto"/>
            <w:left w:val="none" w:sz="0" w:space="0" w:color="auto"/>
            <w:bottom w:val="none" w:sz="0" w:space="0" w:color="auto"/>
            <w:right w:val="none" w:sz="0" w:space="0" w:color="auto"/>
          </w:divBdr>
        </w:div>
      </w:divsChild>
    </w:div>
    <w:div w:id="1532568198">
      <w:bodyDiv w:val="1"/>
      <w:marLeft w:val="0"/>
      <w:marRight w:val="0"/>
      <w:marTop w:val="0"/>
      <w:marBottom w:val="0"/>
      <w:divBdr>
        <w:top w:val="none" w:sz="0" w:space="0" w:color="auto"/>
        <w:left w:val="none" w:sz="0" w:space="0" w:color="auto"/>
        <w:bottom w:val="none" w:sz="0" w:space="0" w:color="auto"/>
        <w:right w:val="none" w:sz="0" w:space="0" w:color="auto"/>
      </w:divBdr>
    </w:div>
    <w:div w:id="1567838574">
      <w:bodyDiv w:val="1"/>
      <w:marLeft w:val="0"/>
      <w:marRight w:val="0"/>
      <w:marTop w:val="0"/>
      <w:marBottom w:val="0"/>
      <w:divBdr>
        <w:top w:val="none" w:sz="0" w:space="0" w:color="auto"/>
        <w:left w:val="none" w:sz="0" w:space="0" w:color="auto"/>
        <w:bottom w:val="none" w:sz="0" w:space="0" w:color="auto"/>
        <w:right w:val="none" w:sz="0" w:space="0" w:color="auto"/>
      </w:divBdr>
    </w:div>
    <w:div w:id="1571111362">
      <w:bodyDiv w:val="1"/>
      <w:marLeft w:val="0"/>
      <w:marRight w:val="0"/>
      <w:marTop w:val="0"/>
      <w:marBottom w:val="0"/>
      <w:divBdr>
        <w:top w:val="none" w:sz="0" w:space="0" w:color="auto"/>
        <w:left w:val="none" w:sz="0" w:space="0" w:color="auto"/>
        <w:bottom w:val="none" w:sz="0" w:space="0" w:color="auto"/>
        <w:right w:val="none" w:sz="0" w:space="0" w:color="auto"/>
      </w:divBdr>
    </w:div>
    <w:div w:id="1866937310">
      <w:bodyDiv w:val="1"/>
      <w:marLeft w:val="0"/>
      <w:marRight w:val="0"/>
      <w:marTop w:val="0"/>
      <w:marBottom w:val="0"/>
      <w:divBdr>
        <w:top w:val="none" w:sz="0" w:space="0" w:color="auto"/>
        <w:left w:val="none" w:sz="0" w:space="0" w:color="auto"/>
        <w:bottom w:val="none" w:sz="0" w:space="0" w:color="auto"/>
        <w:right w:val="none" w:sz="0" w:space="0" w:color="auto"/>
      </w:divBdr>
      <w:divsChild>
        <w:div w:id="1507134066">
          <w:marLeft w:val="274"/>
          <w:marRight w:val="0"/>
          <w:marTop w:val="0"/>
          <w:marBottom w:val="0"/>
          <w:divBdr>
            <w:top w:val="none" w:sz="0" w:space="0" w:color="auto"/>
            <w:left w:val="none" w:sz="0" w:space="0" w:color="auto"/>
            <w:bottom w:val="none" w:sz="0" w:space="0" w:color="auto"/>
            <w:right w:val="none" w:sz="0" w:space="0" w:color="auto"/>
          </w:divBdr>
        </w:div>
        <w:div w:id="257905519">
          <w:marLeft w:val="274"/>
          <w:marRight w:val="0"/>
          <w:marTop w:val="0"/>
          <w:marBottom w:val="0"/>
          <w:divBdr>
            <w:top w:val="none" w:sz="0" w:space="0" w:color="auto"/>
            <w:left w:val="none" w:sz="0" w:space="0" w:color="auto"/>
            <w:bottom w:val="none" w:sz="0" w:space="0" w:color="auto"/>
            <w:right w:val="none" w:sz="0" w:space="0" w:color="auto"/>
          </w:divBdr>
        </w:div>
      </w:divsChild>
    </w:div>
    <w:div w:id="1872261940">
      <w:bodyDiv w:val="1"/>
      <w:marLeft w:val="0"/>
      <w:marRight w:val="0"/>
      <w:marTop w:val="0"/>
      <w:marBottom w:val="0"/>
      <w:divBdr>
        <w:top w:val="none" w:sz="0" w:space="0" w:color="auto"/>
        <w:left w:val="none" w:sz="0" w:space="0" w:color="auto"/>
        <w:bottom w:val="none" w:sz="0" w:space="0" w:color="auto"/>
        <w:right w:val="none" w:sz="0" w:space="0" w:color="auto"/>
      </w:divBdr>
    </w:div>
    <w:div w:id="1873960649">
      <w:bodyDiv w:val="1"/>
      <w:marLeft w:val="0"/>
      <w:marRight w:val="0"/>
      <w:marTop w:val="0"/>
      <w:marBottom w:val="0"/>
      <w:divBdr>
        <w:top w:val="none" w:sz="0" w:space="0" w:color="auto"/>
        <w:left w:val="none" w:sz="0" w:space="0" w:color="auto"/>
        <w:bottom w:val="none" w:sz="0" w:space="0" w:color="auto"/>
        <w:right w:val="none" w:sz="0" w:space="0" w:color="auto"/>
      </w:divBdr>
      <w:divsChild>
        <w:div w:id="1962108009">
          <w:marLeft w:val="274"/>
          <w:marRight w:val="0"/>
          <w:marTop w:val="0"/>
          <w:marBottom w:val="0"/>
          <w:divBdr>
            <w:top w:val="none" w:sz="0" w:space="0" w:color="auto"/>
            <w:left w:val="none" w:sz="0" w:space="0" w:color="auto"/>
            <w:bottom w:val="none" w:sz="0" w:space="0" w:color="auto"/>
            <w:right w:val="none" w:sz="0" w:space="0" w:color="auto"/>
          </w:divBdr>
        </w:div>
        <w:div w:id="966274851">
          <w:marLeft w:val="274"/>
          <w:marRight w:val="0"/>
          <w:marTop w:val="0"/>
          <w:marBottom w:val="0"/>
          <w:divBdr>
            <w:top w:val="none" w:sz="0" w:space="0" w:color="auto"/>
            <w:left w:val="none" w:sz="0" w:space="0" w:color="auto"/>
            <w:bottom w:val="none" w:sz="0" w:space="0" w:color="auto"/>
            <w:right w:val="none" w:sz="0" w:space="0" w:color="auto"/>
          </w:divBdr>
        </w:div>
      </w:divsChild>
    </w:div>
    <w:div w:id="1925534434">
      <w:bodyDiv w:val="1"/>
      <w:marLeft w:val="0"/>
      <w:marRight w:val="0"/>
      <w:marTop w:val="0"/>
      <w:marBottom w:val="0"/>
      <w:divBdr>
        <w:top w:val="none" w:sz="0" w:space="0" w:color="auto"/>
        <w:left w:val="none" w:sz="0" w:space="0" w:color="auto"/>
        <w:bottom w:val="none" w:sz="0" w:space="0" w:color="auto"/>
        <w:right w:val="none" w:sz="0" w:space="0" w:color="auto"/>
      </w:divBdr>
    </w:div>
    <w:div w:id="2043438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32E64D35E0C4A4BB2E745F504E4B508" ma:contentTypeVersion="10" ma:contentTypeDescription="Create a new document." ma:contentTypeScope="" ma:versionID="4f6cb8dead7a49b00e8fd909298f4131">
  <xsd:schema xmlns:xsd="http://www.w3.org/2001/XMLSchema" xmlns:xs="http://www.w3.org/2001/XMLSchema" xmlns:p="http://schemas.microsoft.com/office/2006/metadata/properties" xmlns:ns2="f795478a-bda2-4c15-b0c8-d8b4dcdbf862" xmlns:ns3="670c260b-f9e1-4780-a401-60705af464a2" targetNamespace="http://schemas.microsoft.com/office/2006/metadata/properties" ma:root="true" ma:fieldsID="65eb2f7132c76bf203c30d40c8b58bcb" ns2:_="" ns3:_="">
    <xsd:import namespace="f795478a-bda2-4c15-b0c8-d8b4dcdbf862"/>
    <xsd:import namespace="670c260b-f9e1-4780-a401-60705af464a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95478a-bda2-4c15-b0c8-d8b4dcdbf8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70c260b-f9e1-4780-a401-60705af464a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D42EF45-3D7E-44B7-AF70-521BFCF527A6}"/>
</file>

<file path=customXml/itemProps2.xml><?xml version="1.0" encoding="utf-8"?>
<ds:datastoreItem xmlns:ds="http://schemas.openxmlformats.org/officeDocument/2006/customXml" ds:itemID="{CF79CF9C-DD14-4FEA-8A61-D9F2BC1C29F8}"/>
</file>

<file path=customXml/itemProps3.xml><?xml version="1.0" encoding="utf-8"?>
<ds:datastoreItem xmlns:ds="http://schemas.openxmlformats.org/officeDocument/2006/customXml" ds:itemID="{5ACA2A43-61F6-4B25-98AD-7F04A0685946}"/>
</file>

<file path=docProps/app.xml><?xml version="1.0" encoding="utf-8"?>
<Properties xmlns="http://schemas.openxmlformats.org/officeDocument/2006/extended-properties" xmlns:vt="http://schemas.openxmlformats.org/officeDocument/2006/docPropsVTypes">
  <Template>Normal.dotm</Template>
  <TotalTime>0</TotalTime>
  <Pages>1</Pages>
  <Words>1403</Words>
  <Characters>7999</Characters>
  <Application>Microsoft Office Word</Application>
  <DocSecurity>0</DocSecurity>
  <Lines>66</Lines>
  <Paragraphs>18</Paragraphs>
  <ScaleCrop>false</ScaleCrop>
  <Company/>
  <LinksUpToDate>false</LinksUpToDate>
  <CharactersWithSpaces>9384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A Sogi</dc:creator>
  <cp:keywords/>
  <dc:description/>
  <cp:lastModifiedBy>Aggarwal, Nikunj</cp:lastModifiedBy>
  <cp:revision>1</cp:revision>
  <dcterms:created xsi:type="dcterms:W3CDTF">2024-08-01T10:26:00Z</dcterms:created>
  <dcterms:modified xsi:type="dcterms:W3CDTF">2024-08-01T10:26:00Z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4abfaed7,2287df32,74546c6c</vt:lpwstr>
  </property>
  <property fmtid="{D5CDD505-2E9C-101B-9397-08002B2CF9AE}" pid="3" name="ClassificationContentMarkingFooterFontProps">
    <vt:lpwstr>#000000,10,Calibri</vt:lpwstr>
  </property>
  <property fmtid="{D5CDD505-2E9C-101B-9397-08002B2CF9AE}" pid="4" name="ClassificationContentMarkingFooterText">
    <vt:lpwstr>Public</vt:lpwstr>
  </property>
  <property fmtid="{D5CDD505-2E9C-101B-9397-08002B2CF9AE}" pid="5" name="MSIP_Label_d8d793b9-73c2-43c2-b1d4-b4749f286de9_Enabled">
    <vt:lpwstr>true</vt:lpwstr>
  </property>
  <property fmtid="{D5CDD505-2E9C-101B-9397-08002B2CF9AE}" pid="6" name="MSIP_Label_d8d793b9-73c2-43c2-b1d4-b4749f286de9_SetDate">
    <vt:lpwstr>2024-06-26T14:58:31Z</vt:lpwstr>
  </property>
  <property fmtid="{D5CDD505-2E9C-101B-9397-08002B2CF9AE}" pid="7" name="MSIP_Label_d8d793b9-73c2-43c2-b1d4-b4749f286de9_Method">
    <vt:lpwstr>Privileged</vt:lpwstr>
  </property>
  <property fmtid="{D5CDD505-2E9C-101B-9397-08002B2CF9AE}" pid="8" name="MSIP_Label_d8d793b9-73c2-43c2-b1d4-b4749f286de9_Name">
    <vt:lpwstr>Public.</vt:lpwstr>
  </property>
  <property fmtid="{D5CDD505-2E9C-101B-9397-08002B2CF9AE}" pid="9" name="MSIP_Label_d8d793b9-73c2-43c2-b1d4-b4749f286de9_SiteId">
    <vt:lpwstr>4b4266a6-1368-41af-ad5a-59eb634f7ad8</vt:lpwstr>
  </property>
  <property fmtid="{D5CDD505-2E9C-101B-9397-08002B2CF9AE}" pid="10" name="MSIP_Label_d8d793b9-73c2-43c2-b1d4-b4749f286de9_ActionId">
    <vt:lpwstr>2dd4aace-50c7-47a3-8536-b6d4295e7ccf</vt:lpwstr>
  </property>
  <property fmtid="{D5CDD505-2E9C-101B-9397-08002B2CF9AE}" pid="11" name="MSIP_Label_d8d793b9-73c2-43c2-b1d4-b4749f286de9_ContentBits">
    <vt:lpwstr>2</vt:lpwstr>
  </property>
  <property fmtid="{D5CDD505-2E9C-101B-9397-08002B2CF9AE}" pid="12" name="ContentTypeId">
    <vt:lpwstr>0x010100D32E64D35E0C4A4BB2E745F504E4B508</vt:lpwstr>
  </property>
</Properties>
</file>