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C1" w:rsidRDefault="00FB61C1" w:rsidP="00FB61C1">
      <w:pPr>
        <w:spacing w:after="0"/>
        <w:jc w:val="right"/>
        <w:rPr>
          <w:rFonts w:ascii="Arial Narrow" w:hAnsi="Arial Narrow" w:cs="Times New Roman"/>
          <w:b/>
          <w:sz w:val="24"/>
          <w:szCs w:val="24"/>
          <w:lang w:val="uk-UA"/>
        </w:rPr>
      </w:pPr>
      <w:r w:rsidRPr="00620C1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A6FD151" wp14:editId="3EBDEB64">
            <wp:simplePos x="0" y="0"/>
            <wp:positionH relativeFrom="margin">
              <wp:posOffset>352425</wp:posOffset>
            </wp:positionH>
            <wp:positionV relativeFrom="paragraph">
              <wp:posOffset>0</wp:posOffset>
            </wp:positionV>
            <wp:extent cx="2143125" cy="790575"/>
            <wp:effectExtent l="0" t="0" r="9525" b="9525"/>
            <wp:wrapSquare wrapText="bothSides"/>
            <wp:docPr id="1" name="Рисунок 1" descr="C:\Users\User\Desktop\карасенко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карасенко\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E1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FB61C1" w:rsidRPr="00FB61C1" w:rsidRDefault="00FB61C1" w:rsidP="00FB61C1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B61C1" w:rsidRPr="00FB61C1" w:rsidRDefault="00FB61C1" w:rsidP="00FB61C1">
      <w:pPr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</w:p>
    <w:p w:rsidR="00FB61C1" w:rsidRPr="00FB61C1" w:rsidRDefault="00FB61C1" w:rsidP="00FB61C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B61C1" w:rsidRPr="00FB61C1" w:rsidRDefault="00FB61C1" w:rsidP="00FB61C1">
      <w:pPr>
        <w:tabs>
          <w:tab w:val="left" w:pos="870"/>
          <w:tab w:val="center" w:pos="4961"/>
        </w:tabs>
        <w:spacing w:after="0" w:line="240" w:lineRule="auto"/>
        <w:ind w:left="-425" w:firstLine="99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B61C1" w:rsidRPr="00FB61C1" w:rsidRDefault="00FB61C1" w:rsidP="00FB61C1">
      <w:pPr>
        <w:tabs>
          <w:tab w:val="left" w:pos="870"/>
          <w:tab w:val="center" w:pos="4961"/>
        </w:tabs>
        <w:spacing w:after="0" w:line="240" w:lineRule="auto"/>
        <w:ind w:left="-425" w:firstLine="99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Комерційна</w:t>
      </w:r>
      <w:proofErr w:type="spellEnd"/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пропозиція</w:t>
      </w:r>
      <w:proofErr w:type="spellEnd"/>
    </w:p>
    <w:p w:rsidR="00FB61C1" w:rsidRPr="00FB61C1" w:rsidRDefault="00FB61C1" w:rsidP="00FB61C1">
      <w:pPr>
        <w:tabs>
          <w:tab w:val="left" w:pos="870"/>
          <w:tab w:val="center" w:pos="4961"/>
        </w:tabs>
        <w:spacing w:after="0" w:line="240" w:lineRule="auto"/>
        <w:ind w:left="-425" w:firstLine="99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постачальника електричної енергії ТОВ «</w:t>
      </w:r>
      <w:proofErr w:type="spellStart"/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Хайат</w:t>
      </w:r>
      <w:proofErr w:type="spellEnd"/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Естейт</w:t>
      </w:r>
      <w:proofErr w:type="spellEnd"/>
      <w:r w:rsidRPr="00FB61C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»</w:t>
      </w:r>
    </w:p>
    <w:p w:rsidR="00FB61C1" w:rsidRPr="00FB61C1" w:rsidRDefault="00FB61C1" w:rsidP="00FB61C1">
      <w:pPr>
        <w:spacing w:after="0" w:line="240" w:lineRule="auto"/>
        <w:ind w:left="-425" w:firstLine="99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</w:p>
    <w:p w:rsidR="00FB61C1" w:rsidRPr="00FB61C1" w:rsidRDefault="00FB61C1" w:rsidP="00FB61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uk-UA"/>
        </w:rPr>
      </w:pPr>
      <w:r w:rsidRPr="00FB61C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ТОВ «Хайат Естейт» (ЄДРПОУ 39139037) – постачальник електричної енергії за вільними цінами </w:t>
      </w:r>
      <w:r w:rsidRPr="00FB61C1">
        <w:rPr>
          <w:rFonts w:ascii="Times New Roman" w:hAnsi="Times New Roman" w:cs="Times New Roman"/>
          <w:sz w:val="24"/>
          <w:szCs w:val="24"/>
          <w:lang w:val="uk-UA"/>
        </w:rPr>
        <w:t xml:space="preserve">функціонує у відповідності до вимог та правил ринку електроенергії України. </w:t>
      </w:r>
      <w:r w:rsidRPr="00FB61C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Пропонує вигідні умови постачання: конкурентний </w:t>
      </w:r>
      <w:r w:rsidRPr="00FB61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тариф постачальника; гнучкий графік платежів; відсутність штрафів за  відхилення споживання; відсутність лімітів споживання</w:t>
      </w:r>
      <w:r w:rsidRPr="00FB61C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.</w:t>
      </w:r>
    </w:p>
    <w:p w:rsidR="00FB61C1" w:rsidRPr="00FB61C1" w:rsidRDefault="00FB61C1" w:rsidP="00FB61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uk-UA"/>
        </w:rPr>
      </w:pPr>
    </w:p>
    <w:p w:rsidR="00FB61C1" w:rsidRPr="00FB61C1" w:rsidRDefault="00FB61C1" w:rsidP="00FB61C1">
      <w:pPr>
        <w:pStyle w:val="a3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B61C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Ціна комерційної пропозиції на січень 2020 р.– червень 2020 р. становитиме:</w:t>
      </w:r>
    </w:p>
    <w:p w:rsidR="00FB61C1" w:rsidRPr="00FB61C1" w:rsidRDefault="00F85F38" w:rsidP="00F85F38">
      <w:pPr>
        <w:pStyle w:val="a3"/>
        <w:ind w:left="0"/>
        <w:jc w:val="both"/>
        <w:rPr>
          <w:rFonts w:ascii="Times New Roman" w:hAnsi="Times New Roman"/>
          <w:lang w:val="uk-UA"/>
        </w:rPr>
      </w:pPr>
      <w:r w:rsidRPr="00F85F38">
        <w:rPr>
          <w:rFonts w:ascii="Times New Roman" w:hAnsi="Times New Roman"/>
          <w:b/>
          <w:lang w:val="uk-UA"/>
        </w:rPr>
        <w:t>1.1</w:t>
      </w:r>
      <w:r>
        <w:rPr>
          <w:rFonts w:ascii="Times New Roman" w:hAnsi="Times New Roman"/>
          <w:lang w:val="uk-UA"/>
        </w:rPr>
        <w:t xml:space="preserve"> </w:t>
      </w:r>
      <w:r w:rsidR="00FB61C1" w:rsidRPr="00FB61C1">
        <w:rPr>
          <w:rFonts w:ascii="Times New Roman" w:hAnsi="Times New Roman"/>
          <w:lang w:val="uk-UA"/>
        </w:rPr>
        <w:t>Ціна електричної енергії (</w:t>
      </w:r>
      <w:r w:rsidR="00FB61C1" w:rsidRPr="00FB61C1">
        <w:rPr>
          <w:rFonts w:ascii="Times New Roman" w:hAnsi="Times New Roman"/>
          <w:i/>
          <w:lang w:val="uk-UA"/>
        </w:rPr>
        <w:t>Ц</w:t>
      </w:r>
      <w:r w:rsidR="00FB61C1" w:rsidRPr="00FB61C1">
        <w:rPr>
          <w:rFonts w:ascii="Times New Roman" w:hAnsi="Times New Roman"/>
          <w:i/>
          <w:sz w:val="16"/>
          <w:szCs w:val="16"/>
          <w:lang w:val="uk-UA"/>
        </w:rPr>
        <w:t>ЗАГ</w:t>
      </w:r>
      <w:r w:rsidR="00FB61C1" w:rsidRPr="00FB61C1">
        <w:rPr>
          <w:rFonts w:ascii="Times New Roman" w:hAnsi="Times New Roman"/>
          <w:i/>
          <w:lang w:val="uk-UA"/>
        </w:rPr>
        <w:t>)</w:t>
      </w:r>
      <w:r w:rsidR="00FB61C1" w:rsidRPr="00FB61C1">
        <w:rPr>
          <w:rFonts w:ascii="Times New Roman" w:hAnsi="Times New Roman"/>
          <w:lang w:val="uk-UA"/>
        </w:rPr>
        <w:t>, що постачається споживачу розраховується Постачальником та включає ринкову ціну електричної енергії на оптовому ринку електроенергії (</w:t>
      </w:r>
      <w:r w:rsidR="00FB61C1" w:rsidRPr="00FB61C1">
        <w:rPr>
          <w:rFonts w:ascii="Times New Roman" w:hAnsi="Times New Roman"/>
          <w:i/>
          <w:lang w:val="uk-UA"/>
        </w:rPr>
        <w:t>Ц</w:t>
      </w:r>
      <w:r w:rsidR="00FB61C1" w:rsidRPr="00FB61C1">
        <w:rPr>
          <w:rFonts w:ascii="Times New Roman" w:hAnsi="Times New Roman"/>
          <w:i/>
          <w:sz w:val="16"/>
          <w:szCs w:val="16"/>
          <w:lang w:val="uk-UA"/>
        </w:rPr>
        <w:t>ОРЕ</w:t>
      </w:r>
      <w:r w:rsidR="00FB61C1" w:rsidRPr="00FB61C1">
        <w:rPr>
          <w:rFonts w:ascii="Times New Roman" w:hAnsi="Times New Roman"/>
          <w:i/>
          <w:lang w:val="uk-UA"/>
        </w:rPr>
        <w:t>)</w:t>
      </w:r>
      <w:r w:rsidR="00FB61C1" w:rsidRPr="00FB61C1">
        <w:rPr>
          <w:rFonts w:ascii="Times New Roman" w:hAnsi="Times New Roman"/>
          <w:lang w:val="uk-UA"/>
        </w:rPr>
        <w:t>, тариф на послуги Постачальника</w:t>
      </w:r>
      <w:r w:rsidR="00FB61C1" w:rsidRPr="00FB61C1">
        <w:rPr>
          <w:rFonts w:ascii="Times New Roman" w:hAnsi="Times New Roman"/>
          <w:i/>
          <w:lang w:val="uk-UA"/>
        </w:rPr>
        <w:t xml:space="preserve"> (Т</w:t>
      </w:r>
      <w:r w:rsidR="00FB61C1" w:rsidRPr="00FB61C1">
        <w:rPr>
          <w:rFonts w:ascii="Times New Roman" w:hAnsi="Times New Roman"/>
          <w:i/>
          <w:sz w:val="16"/>
          <w:szCs w:val="16"/>
          <w:lang w:val="uk-UA"/>
        </w:rPr>
        <w:t>П</w:t>
      </w:r>
      <w:r w:rsidR="00FB61C1" w:rsidRPr="00FB61C1">
        <w:rPr>
          <w:rFonts w:ascii="Times New Roman" w:hAnsi="Times New Roman"/>
          <w:i/>
          <w:lang w:val="uk-UA"/>
        </w:rPr>
        <w:t>)</w:t>
      </w:r>
      <w:r w:rsidR="00FB61C1" w:rsidRPr="00FB61C1">
        <w:rPr>
          <w:rFonts w:ascii="Times New Roman" w:hAnsi="Times New Roman"/>
          <w:lang w:val="uk-UA"/>
        </w:rPr>
        <w:t>, тариф оператора системи розподілу (</w:t>
      </w:r>
      <w:proofErr w:type="spellStart"/>
      <w:r w:rsidR="00FB61C1" w:rsidRPr="00FB61C1">
        <w:rPr>
          <w:rFonts w:ascii="Times New Roman" w:hAnsi="Times New Roman"/>
          <w:i/>
          <w:lang w:val="uk-UA"/>
        </w:rPr>
        <w:t>Тоср</w:t>
      </w:r>
      <w:proofErr w:type="spellEnd"/>
      <w:r w:rsidR="00FB61C1" w:rsidRPr="00FB61C1">
        <w:rPr>
          <w:rFonts w:ascii="Times New Roman" w:hAnsi="Times New Roman"/>
          <w:lang w:val="uk-UA"/>
        </w:rPr>
        <w:t>), з яким Споживач уклав договір на розподіл електричної енергії,  тариф оператора системи передачі (</w:t>
      </w:r>
      <w:proofErr w:type="spellStart"/>
      <w:r w:rsidR="00FB61C1" w:rsidRPr="00FB61C1">
        <w:rPr>
          <w:rFonts w:ascii="Times New Roman" w:hAnsi="Times New Roman"/>
          <w:i/>
          <w:lang w:val="uk-UA"/>
        </w:rPr>
        <w:t>Тосп</w:t>
      </w:r>
      <w:proofErr w:type="spellEnd"/>
      <w:r w:rsidR="00FB61C1" w:rsidRPr="00FB61C1">
        <w:rPr>
          <w:rFonts w:ascii="Times New Roman" w:hAnsi="Times New Roman"/>
          <w:lang w:val="uk-UA"/>
        </w:rPr>
        <w:t>).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B61C1">
        <w:rPr>
          <w:rFonts w:ascii="Times New Roman" w:hAnsi="Times New Roman"/>
          <w:lang w:val="uk-UA"/>
        </w:rPr>
        <w:t xml:space="preserve"> </w:t>
      </w:r>
      <w:r w:rsidRPr="00FB61C1">
        <w:rPr>
          <w:rFonts w:ascii="Times New Roman" w:hAnsi="Times New Roman" w:cs="Times New Roman"/>
          <w:i/>
          <w:sz w:val="24"/>
          <w:szCs w:val="24"/>
          <w:lang w:val="uk-UA"/>
        </w:rPr>
        <w:t>Ц</w:t>
      </w:r>
      <w:r w:rsidRPr="00FB61C1">
        <w:rPr>
          <w:rFonts w:ascii="Times New Roman" w:hAnsi="Times New Roman" w:cs="Times New Roman"/>
          <w:i/>
          <w:sz w:val="16"/>
          <w:szCs w:val="16"/>
        </w:rPr>
        <w:t>ЗАГ</w:t>
      </w:r>
      <w:r w:rsidRPr="00FB61C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FB61C1">
        <w:rPr>
          <w:rFonts w:ascii="Times New Roman" w:hAnsi="Times New Roman" w:cs="Times New Roman"/>
          <w:i/>
          <w:sz w:val="24"/>
          <w:szCs w:val="24"/>
          <w:lang w:val="uk-UA"/>
        </w:rPr>
        <w:t>Ц</w:t>
      </w:r>
      <w:r w:rsidRPr="00FB61C1">
        <w:rPr>
          <w:rFonts w:ascii="Times New Roman" w:hAnsi="Times New Roman" w:cs="Times New Roman"/>
          <w:i/>
          <w:sz w:val="16"/>
          <w:szCs w:val="16"/>
        </w:rPr>
        <w:t>ОРЕ</w:t>
      </w:r>
      <w:r w:rsidRPr="00FB61C1">
        <w:rPr>
          <w:rFonts w:ascii="Times New Roman" w:hAnsi="Times New Roman" w:cs="Times New Roman"/>
          <w:i/>
          <w:sz w:val="24"/>
          <w:szCs w:val="24"/>
        </w:rPr>
        <w:t xml:space="preserve"> + </w:t>
      </w:r>
      <w:proofErr w:type="spellStart"/>
      <w:r w:rsidRPr="00FB61C1">
        <w:rPr>
          <w:rFonts w:ascii="Times New Roman" w:hAnsi="Times New Roman" w:cs="Times New Roman"/>
          <w:i/>
          <w:sz w:val="24"/>
          <w:szCs w:val="24"/>
          <w:lang w:val="uk-UA"/>
        </w:rPr>
        <w:t>Тп</w:t>
      </w:r>
      <w:proofErr w:type="spellEnd"/>
      <w:r w:rsidRPr="00FB61C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+ </w:t>
      </w:r>
      <w:proofErr w:type="spellStart"/>
      <w:r w:rsidRPr="00FB61C1">
        <w:rPr>
          <w:rFonts w:ascii="Times New Roman" w:hAnsi="Times New Roman" w:cs="Times New Roman"/>
          <w:i/>
          <w:sz w:val="24"/>
          <w:szCs w:val="24"/>
        </w:rPr>
        <w:t>Тоср</w:t>
      </w:r>
      <w:proofErr w:type="spellEnd"/>
      <w:r w:rsidRPr="00FB61C1">
        <w:rPr>
          <w:rFonts w:ascii="Times New Roman" w:hAnsi="Times New Roman" w:cs="Times New Roman"/>
          <w:i/>
          <w:sz w:val="24"/>
          <w:szCs w:val="24"/>
          <w:lang w:val="uk-UA"/>
        </w:rPr>
        <w:t>+</w:t>
      </w:r>
      <w:proofErr w:type="spellStart"/>
      <w:r w:rsidRPr="00FB61C1">
        <w:rPr>
          <w:rFonts w:ascii="Times New Roman" w:hAnsi="Times New Roman" w:cs="Times New Roman"/>
          <w:i/>
          <w:sz w:val="24"/>
          <w:szCs w:val="24"/>
          <w:lang w:val="uk-UA"/>
        </w:rPr>
        <w:t>Тосп</w:t>
      </w:r>
      <w:proofErr w:type="spellEnd"/>
    </w:p>
    <w:p w:rsidR="00FB61C1" w:rsidRPr="00FB61C1" w:rsidRDefault="00F85F38" w:rsidP="00F85F38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де, </w:t>
      </w:r>
      <w:r w:rsidR="00FB61C1" w:rsidRPr="00FB61C1">
        <w:rPr>
          <w:rFonts w:ascii="Times New Roman" w:hAnsi="Times New Roman" w:cs="Times New Roman"/>
          <w:i/>
          <w:sz w:val="24"/>
          <w:szCs w:val="24"/>
          <w:lang w:val="uk-UA"/>
        </w:rPr>
        <w:t>Ц</w:t>
      </w:r>
      <w:r w:rsidR="00FB61C1" w:rsidRPr="00FB61C1">
        <w:rPr>
          <w:rFonts w:ascii="Times New Roman" w:hAnsi="Times New Roman" w:cs="Times New Roman"/>
          <w:i/>
          <w:sz w:val="16"/>
          <w:szCs w:val="16"/>
        </w:rPr>
        <w:t>ЗАГ</w:t>
      </w:r>
      <w:r w:rsidR="00FB61C1" w:rsidRPr="00FB61C1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="00FB61C1" w:rsidRPr="00FB61C1">
        <w:rPr>
          <w:rFonts w:ascii="Times New Roman" w:hAnsi="Times New Roman" w:cs="Times New Roman"/>
          <w:i/>
          <w:sz w:val="24"/>
          <w:szCs w:val="24"/>
        </w:rPr>
        <w:t>ціна</w:t>
      </w:r>
      <w:proofErr w:type="spellEnd"/>
      <w:r w:rsidR="00FB61C1" w:rsidRPr="00FB61C1">
        <w:rPr>
          <w:rFonts w:ascii="Times New Roman" w:hAnsi="Times New Roman" w:cs="Times New Roman"/>
          <w:i/>
          <w:sz w:val="24"/>
          <w:szCs w:val="24"/>
        </w:rPr>
        <w:t xml:space="preserve"> за 1 кВт*год у </w:t>
      </w:r>
      <w:proofErr w:type="spellStart"/>
      <w:r w:rsidR="00FB61C1" w:rsidRPr="00FB61C1">
        <w:rPr>
          <w:rFonts w:ascii="Times New Roman" w:hAnsi="Times New Roman" w:cs="Times New Roman"/>
          <w:i/>
          <w:sz w:val="24"/>
          <w:szCs w:val="24"/>
        </w:rPr>
        <w:t>відповідному</w:t>
      </w:r>
      <w:proofErr w:type="spellEnd"/>
      <w:r w:rsidR="00FB61C1" w:rsidRPr="00FB61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B61C1" w:rsidRPr="00FB61C1">
        <w:rPr>
          <w:rFonts w:ascii="Times New Roman" w:hAnsi="Times New Roman" w:cs="Times New Roman"/>
          <w:i/>
          <w:sz w:val="24"/>
          <w:szCs w:val="24"/>
        </w:rPr>
        <w:t>розрахунковому</w:t>
      </w:r>
      <w:proofErr w:type="spellEnd"/>
      <w:r w:rsidR="00FB61C1" w:rsidRPr="00FB61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B61C1" w:rsidRPr="00FB61C1">
        <w:rPr>
          <w:rFonts w:ascii="Times New Roman" w:hAnsi="Times New Roman" w:cs="Times New Roman"/>
          <w:i/>
          <w:sz w:val="24"/>
          <w:szCs w:val="24"/>
        </w:rPr>
        <w:t>періоді</w:t>
      </w:r>
      <w:proofErr w:type="spellEnd"/>
      <w:r w:rsidR="00FB61C1" w:rsidRPr="00FB61C1">
        <w:rPr>
          <w:rFonts w:ascii="Times New Roman" w:hAnsi="Times New Roman" w:cs="Times New Roman"/>
          <w:i/>
          <w:sz w:val="24"/>
          <w:szCs w:val="24"/>
        </w:rPr>
        <w:t xml:space="preserve">, з ПДВ 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>Ц</w:t>
      </w:r>
      <w:r w:rsidRPr="00FB61C1">
        <w:rPr>
          <w:rFonts w:ascii="Times New Roman" w:hAnsi="Times New Roman" w:cs="Times New Roman"/>
          <w:b/>
          <w:i/>
          <w:sz w:val="16"/>
          <w:szCs w:val="16"/>
        </w:rPr>
        <w:t>ОРЕ</w:t>
      </w:r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фактична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закупівельна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ціна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електричної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енергії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для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Споживача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в Оптовому ринку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електричної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енергії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(ОРЕ) з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урахуванням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зборів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та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платежів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що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передбачені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законодавством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, правилами Оптового ринку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електричної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енергії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та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іншими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нормативними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документами. </w:t>
      </w:r>
    </w:p>
    <w:p w:rsidR="00FB61C1" w:rsidRPr="00FB61C1" w:rsidRDefault="00FB61C1" w:rsidP="00FB61C1">
      <w:pPr>
        <w:ind w:left="284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FB61C1">
        <w:rPr>
          <w:rFonts w:ascii="Times New Roman" w:hAnsi="Times New Roman" w:cs="Times New Roman"/>
          <w:sz w:val="24"/>
          <w:szCs w:val="24"/>
          <w:lang w:val="uk-UA"/>
        </w:rPr>
        <w:t>Ц</w:t>
      </w:r>
      <w:r w:rsidRPr="00FB61C1">
        <w:rPr>
          <w:rFonts w:ascii="Times New Roman" w:hAnsi="Times New Roman" w:cs="Times New Roman"/>
          <w:sz w:val="20"/>
          <w:szCs w:val="24"/>
          <w:lang w:val="uk-UA"/>
        </w:rPr>
        <w:t>ОРЕ = (ВРДД+ВРДН/ВДР+ВБР-+ВБР+)/</w:t>
      </w:r>
      <w:r w:rsidRPr="00FB61C1">
        <w:rPr>
          <w:rFonts w:ascii="Times New Roman" w:hAnsi="Times New Roman" w:cs="Times New Roman"/>
          <w:sz w:val="20"/>
          <w:szCs w:val="24"/>
          <w:lang w:val="en-US"/>
        </w:rPr>
        <w:t>W</w:t>
      </w:r>
      <w:r w:rsidRPr="00FB61C1">
        <w:rPr>
          <w:rFonts w:ascii="Times New Roman" w:hAnsi="Times New Roman" w:cs="Times New Roman"/>
          <w:sz w:val="20"/>
          <w:szCs w:val="24"/>
        </w:rPr>
        <w:t>факт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61C1">
        <w:rPr>
          <w:rFonts w:ascii="Times New Roman" w:hAnsi="Times New Roman" w:cs="Times New Roman"/>
          <w:sz w:val="24"/>
          <w:szCs w:val="24"/>
          <w:lang w:val="uk-UA"/>
        </w:rPr>
        <w:t>ВРДД – фактична вартість купівлі Постачальником обсягів електричної енергії на Ринку двосторонніх договорів розрахункового періоду;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61C1">
        <w:rPr>
          <w:rFonts w:ascii="Times New Roman" w:hAnsi="Times New Roman" w:cs="Times New Roman"/>
          <w:sz w:val="24"/>
          <w:szCs w:val="24"/>
          <w:lang w:val="uk-UA"/>
        </w:rPr>
        <w:t>ВРДН/ВВДР - фактична вартість купівлі Постачальником обсягів електричної енергії на Ринку на добу наперед/внутрішньодобовому ринку  розрахункового періоду;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61C1">
        <w:rPr>
          <w:rFonts w:ascii="Times New Roman" w:hAnsi="Times New Roman" w:cs="Times New Roman"/>
          <w:sz w:val="24"/>
          <w:szCs w:val="24"/>
          <w:lang w:val="uk-UA"/>
        </w:rPr>
        <w:t>ВБР- - вартість небалансів у випадку від’ємної різниці між фактичним та замовленим обсягом у кожному розрахунковому місяці, за ціною, що склалася на балансуючому ринку;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61C1">
        <w:rPr>
          <w:rFonts w:ascii="Times New Roman" w:hAnsi="Times New Roman" w:cs="Times New Roman"/>
          <w:sz w:val="24"/>
          <w:szCs w:val="24"/>
          <w:lang w:val="uk-UA"/>
        </w:rPr>
        <w:t>ВБР+- вартість небалансів у випадку позитивної різниці  між фактичним та замовленим обсягом у кожному розрахунковому місяці, за ціною, що склалася на балансуючому ринку;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61C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B61C1">
        <w:rPr>
          <w:rFonts w:ascii="Times New Roman" w:hAnsi="Times New Roman" w:cs="Times New Roman"/>
          <w:sz w:val="24"/>
          <w:szCs w:val="24"/>
        </w:rPr>
        <w:t>факт</w:t>
      </w:r>
      <w:r w:rsidRPr="00FB61C1">
        <w:rPr>
          <w:rFonts w:ascii="Times New Roman" w:hAnsi="Times New Roman" w:cs="Times New Roman"/>
          <w:sz w:val="24"/>
          <w:szCs w:val="24"/>
          <w:lang w:val="uk-UA"/>
        </w:rPr>
        <w:t xml:space="preserve"> – фактичний обсяг споживання електричної енергії у розрахунковому місяці.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>Тп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>- тариф  Постачальника (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узгоджується індивідуально</w:t>
      </w:r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>)</w:t>
      </w:r>
    </w:p>
    <w:p w:rsidR="00FB61C1" w:rsidRPr="00FB61C1" w:rsidRDefault="00FB61C1" w:rsidP="00FB61C1">
      <w:pPr>
        <w:pStyle w:val="a3"/>
        <w:ind w:left="36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>Тосп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тариф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оператора системи передачі </w:t>
      </w:r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(</w:t>
      </w:r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відповідно до </w:t>
      </w:r>
      <w:r w:rsidRPr="00FB61C1">
        <w:rPr>
          <w:rFonts w:ascii="Times New Roman" w:hAnsi="Times New Roman" w:cs="Times New Roman"/>
          <w:b/>
          <w:i/>
          <w:sz w:val="24"/>
          <w:szCs w:val="24"/>
        </w:rPr>
        <w:t>Постанов</w:t>
      </w:r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>и</w:t>
      </w:r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НКРЕКП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)</w:t>
      </w:r>
      <w:r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FB61C1" w:rsidRPr="00F85F38" w:rsidRDefault="00FB61C1" w:rsidP="00F85F38">
      <w:pPr>
        <w:pStyle w:val="a3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Тоср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– тариф оператора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системи</w:t>
      </w:r>
      <w:proofErr w:type="spellEnd"/>
      <w:r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B61C1">
        <w:rPr>
          <w:rFonts w:ascii="Times New Roman" w:hAnsi="Times New Roman" w:cs="Times New Roman"/>
          <w:b/>
          <w:i/>
          <w:sz w:val="24"/>
          <w:szCs w:val="24"/>
        </w:rPr>
        <w:t>розпо</w:t>
      </w:r>
      <w:proofErr w:type="spellEnd"/>
      <w:r w:rsidR="00F85F3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ділу </w:t>
      </w:r>
      <w:r w:rsidR="00F85F38">
        <w:rPr>
          <w:rFonts w:ascii="Times New Roman" w:hAnsi="Times New Roman" w:cs="Times New Roman"/>
          <w:b/>
          <w:i/>
          <w:sz w:val="24"/>
          <w:szCs w:val="24"/>
          <w:lang w:val="uk-UA"/>
        </w:rPr>
        <w:t>(</w:t>
      </w:r>
      <w:r w:rsidR="00F85F38"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відповідно до </w:t>
      </w:r>
      <w:r w:rsidR="00F85F38" w:rsidRPr="00FB61C1">
        <w:rPr>
          <w:rFonts w:ascii="Times New Roman" w:hAnsi="Times New Roman" w:cs="Times New Roman"/>
          <w:b/>
          <w:i/>
          <w:sz w:val="24"/>
          <w:szCs w:val="24"/>
        </w:rPr>
        <w:t>Постанов</w:t>
      </w:r>
      <w:r w:rsidR="00F85F38" w:rsidRPr="00FB61C1">
        <w:rPr>
          <w:rFonts w:ascii="Times New Roman" w:hAnsi="Times New Roman" w:cs="Times New Roman"/>
          <w:b/>
          <w:i/>
          <w:sz w:val="24"/>
          <w:szCs w:val="24"/>
          <w:lang w:val="uk-UA"/>
        </w:rPr>
        <w:t>и</w:t>
      </w:r>
      <w:r w:rsidR="00F85F38" w:rsidRPr="00FB61C1">
        <w:rPr>
          <w:rFonts w:ascii="Times New Roman" w:hAnsi="Times New Roman" w:cs="Times New Roman"/>
          <w:b/>
          <w:i/>
          <w:sz w:val="24"/>
          <w:szCs w:val="24"/>
        </w:rPr>
        <w:t xml:space="preserve"> НКРЕКП</w:t>
      </w:r>
      <w:r w:rsidR="00F85F38">
        <w:rPr>
          <w:rFonts w:ascii="Times New Roman" w:hAnsi="Times New Roman" w:cs="Times New Roman"/>
          <w:b/>
          <w:i/>
          <w:sz w:val="24"/>
          <w:szCs w:val="24"/>
          <w:lang w:val="uk-UA"/>
        </w:rPr>
        <w:t>)</w:t>
      </w:r>
    </w:p>
    <w:p w:rsidR="00FB61C1" w:rsidRDefault="00FB61C1" w:rsidP="00FB61C1">
      <w:pPr>
        <w:pStyle w:val="a3"/>
        <w:ind w:left="360"/>
        <w:rPr>
          <w:rFonts w:ascii="Times New Roman" w:hAnsi="Times New Roman" w:cs="Times New Roman"/>
          <w:sz w:val="21"/>
          <w:szCs w:val="21"/>
          <w:lang w:val="uk-UA"/>
        </w:rPr>
      </w:pPr>
    </w:p>
    <w:p w:rsidR="00FB61C1" w:rsidRPr="00FB61C1" w:rsidRDefault="00FB61C1" w:rsidP="00FB61C1">
      <w:pPr>
        <w:pStyle w:val="a3"/>
        <w:ind w:left="360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FB61C1">
        <w:rPr>
          <w:rFonts w:ascii="Times New Roman" w:hAnsi="Times New Roman" w:cs="Times New Roman"/>
          <w:sz w:val="21"/>
          <w:szCs w:val="21"/>
          <w:lang w:val="uk-UA"/>
        </w:rPr>
        <w:t>Цзаг</w:t>
      </w:r>
      <w:proofErr w:type="spellEnd"/>
      <w:r w:rsidRPr="00FB61C1">
        <w:rPr>
          <w:rFonts w:ascii="Times New Roman" w:hAnsi="Times New Roman" w:cs="Times New Roman"/>
          <w:sz w:val="21"/>
          <w:szCs w:val="21"/>
          <w:lang w:val="uk-UA"/>
        </w:rPr>
        <w:t xml:space="preserve"> не залежить від Постачальника та може бути змінена без додаткового повідомлення Споживача.</w:t>
      </w:r>
    </w:p>
    <w:p w:rsidR="00F85F38" w:rsidRPr="00FF2831" w:rsidRDefault="00F85F38" w:rsidP="00F85F38">
      <w:pPr>
        <w:spacing w:after="0" w:line="240" w:lineRule="auto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 xml:space="preserve">1.2. </w:t>
      </w:r>
      <w:r w:rsidRPr="002C23F3">
        <w:rPr>
          <w:rFonts w:ascii="Times New Roman" w:hAnsi="Times New Roman"/>
          <w:lang w:val="uk-UA" w:eastAsia="uk-UA"/>
        </w:rPr>
        <w:t>При розрахунку попередньої оплати за електричну енергію застосовується прогнозована ціна за 1кВт*год з врахуванням ПДВ</w:t>
      </w:r>
      <w:r>
        <w:rPr>
          <w:rFonts w:ascii="Times New Roman" w:hAnsi="Times New Roman"/>
          <w:lang w:val="uk-UA" w:eastAsia="uk-UA"/>
        </w:rPr>
        <w:t>.</w:t>
      </w:r>
      <w:r w:rsidRPr="002C23F3">
        <w:rPr>
          <w:rFonts w:ascii="Times New Roman" w:hAnsi="Times New Roman"/>
          <w:lang w:val="uk-UA" w:eastAsia="uk-UA"/>
        </w:rPr>
        <w:t xml:space="preserve"> </w:t>
      </w:r>
    </w:p>
    <w:p w:rsidR="00F85F38" w:rsidRDefault="00F85F38" w:rsidP="00F85F38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  <w:r w:rsidRPr="00FF2831">
        <w:rPr>
          <w:rFonts w:ascii="Times New Roman" w:hAnsi="Times New Roman"/>
          <w:b/>
          <w:lang w:val="uk-UA"/>
        </w:rPr>
        <w:t xml:space="preserve">Ц </w:t>
      </w:r>
      <w:proofErr w:type="spellStart"/>
      <w:r w:rsidRPr="00FF2831">
        <w:rPr>
          <w:rFonts w:ascii="Times New Roman" w:hAnsi="Times New Roman"/>
          <w:b/>
          <w:lang w:val="uk-UA"/>
        </w:rPr>
        <w:t>прог</w:t>
      </w:r>
      <w:proofErr w:type="spellEnd"/>
      <w:r w:rsidRPr="00FF2831">
        <w:rPr>
          <w:rFonts w:ascii="Times New Roman" w:hAnsi="Times New Roman"/>
          <w:lang w:val="uk-UA"/>
        </w:rPr>
        <w:t xml:space="preserve"> - </w:t>
      </w:r>
      <w:proofErr w:type="spellStart"/>
      <w:r w:rsidRPr="00FF2831">
        <w:rPr>
          <w:rFonts w:ascii="Times New Roman" w:hAnsi="Times New Roman"/>
        </w:rPr>
        <w:t>середньозважена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ціна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закупівлі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електричної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енергії</w:t>
      </w:r>
      <w:proofErr w:type="spellEnd"/>
      <w:r w:rsidRPr="00FF2831">
        <w:rPr>
          <w:rFonts w:ascii="Times New Roman" w:hAnsi="Times New Roman"/>
        </w:rPr>
        <w:t xml:space="preserve"> на ринку «на </w:t>
      </w:r>
      <w:proofErr w:type="spellStart"/>
      <w:r w:rsidRPr="00FF2831">
        <w:rPr>
          <w:rFonts w:ascii="Times New Roman" w:hAnsi="Times New Roman"/>
        </w:rPr>
        <w:t>добу</w:t>
      </w:r>
      <w:proofErr w:type="spellEnd"/>
      <w:r w:rsidRPr="00FF2831">
        <w:rPr>
          <w:rFonts w:ascii="Times New Roman" w:hAnsi="Times New Roman"/>
        </w:rPr>
        <w:t xml:space="preserve"> наперед», яка </w:t>
      </w:r>
      <w:proofErr w:type="spellStart"/>
      <w:r w:rsidRPr="00FF2831">
        <w:rPr>
          <w:rFonts w:ascii="Times New Roman" w:hAnsi="Times New Roman"/>
        </w:rPr>
        <w:t>визначається</w:t>
      </w:r>
      <w:proofErr w:type="spellEnd"/>
      <w:r w:rsidRPr="00FF2831">
        <w:rPr>
          <w:rFonts w:ascii="Times New Roman" w:hAnsi="Times New Roman"/>
        </w:rPr>
        <w:t xml:space="preserve"> з </w:t>
      </w:r>
      <w:proofErr w:type="spellStart"/>
      <w:r w:rsidRPr="00FF2831">
        <w:rPr>
          <w:rFonts w:ascii="Times New Roman" w:hAnsi="Times New Roman"/>
        </w:rPr>
        <w:t>урахуванням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оперативних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даних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щодо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погодинних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цін</w:t>
      </w:r>
      <w:proofErr w:type="spellEnd"/>
      <w:r w:rsidRPr="00FF2831">
        <w:rPr>
          <w:rFonts w:ascii="Times New Roman" w:hAnsi="Times New Roman"/>
        </w:rPr>
        <w:t xml:space="preserve"> на ринку «на </w:t>
      </w:r>
      <w:proofErr w:type="spellStart"/>
      <w:r w:rsidRPr="00FF2831">
        <w:rPr>
          <w:rFonts w:ascii="Times New Roman" w:hAnsi="Times New Roman"/>
        </w:rPr>
        <w:t>добу</w:t>
      </w:r>
      <w:proofErr w:type="spellEnd"/>
      <w:r w:rsidRPr="00FF2831">
        <w:rPr>
          <w:rFonts w:ascii="Times New Roman" w:hAnsi="Times New Roman"/>
        </w:rPr>
        <w:t xml:space="preserve"> наперед» у </w:t>
      </w:r>
      <w:proofErr w:type="spellStart"/>
      <w:r w:rsidRPr="00FF2831">
        <w:rPr>
          <w:rFonts w:ascii="Times New Roman" w:hAnsi="Times New Roman"/>
        </w:rPr>
        <w:t>місяці</w:t>
      </w:r>
      <w:proofErr w:type="spellEnd"/>
      <w:r w:rsidRPr="00FF2831">
        <w:rPr>
          <w:rFonts w:ascii="Times New Roman" w:hAnsi="Times New Roman"/>
        </w:rPr>
        <w:t xml:space="preserve"> на дату </w:t>
      </w:r>
      <w:proofErr w:type="spellStart"/>
      <w:r w:rsidRPr="00FF2831">
        <w:rPr>
          <w:rFonts w:ascii="Times New Roman" w:hAnsi="Times New Roman"/>
        </w:rPr>
        <w:t>формування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рахунку</w:t>
      </w:r>
      <w:proofErr w:type="spellEnd"/>
      <w:r w:rsidRPr="00FF2831">
        <w:rPr>
          <w:rFonts w:ascii="Times New Roman" w:hAnsi="Times New Roman"/>
        </w:rPr>
        <w:t xml:space="preserve"> (</w:t>
      </w:r>
      <w:proofErr w:type="spellStart"/>
      <w:r w:rsidRPr="00FF2831">
        <w:rPr>
          <w:rFonts w:ascii="Times New Roman" w:hAnsi="Times New Roman"/>
        </w:rPr>
        <w:t>Ціна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закупівлі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електричної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енергії</w:t>
      </w:r>
      <w:proofErr w:type="spellEnd"/>
      <w:r w:rsidRPr="00FF2831">
        <w:rPr>
          <w:rFonts w:ascii="Times New Roman" w:hAnsi="Times New Roman"/>
        </w:rPr>
        <w:t xml:space="preserve"> на ринку «на </w:t>
      </w:r>
      <w:proofErr w:type="spellStart"/>
      <w:r w:rsidRPr="00FF2831">
        <w:rPr>
          <w:rFonts w:ascii="Times New Roman" w:hAnsi="Times New Roman"/>
        </w:rPr>
        <w:t>добу</w:t>
      </w:r>
      <w:proofErr w:type="spellEnd"/>
      <w:r w:rsidRPr="00FF2831">
        <w:rPr>
          <w:rFonts w:ascii="Times New Roman" w:hAnsi="Times New Roman"/>
        </w:rPr>
        <w:t xml:space="preserve"> наперед» </w:t>
      </w:r>
      <w:proofErr w:type="spellStart"/>
      <w:r w:rsidRPr="00FF2831">
        <w:rPr>
          <w:rFonts w:ascii="Times New Roman" w:hAnsi="Times New Roman"/>
        </w:rPr>
        <w:t>також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включає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всі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обов’язкові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податки</w:t>
      </w:r>
      <w:proofErr w:type="spellEnd"/>
      <w:r w:rsidRPr="00FF2831">
        <w:rPr>
          <w:rFonts w:ascii="Times New Roman" w:hAnsi="Times New Roman"/>
        </w:rPr>
        <w:t xml:space="preserve"> (</w:t>
      </w:r>
      <w:proofErr w:type="spellStart"/>
      <w:r w:rsidRPr="00FF2831">
        <w:rPr>
          <w:rFonts w:ascii="Times New Roman" w:hAnsi="Times New Roman"/>
        </w:rPr>
        <w:t>крім</w:t>
      </w:r>
      <w:proofErr w:type="spellEnd"/>
      <w:r w:rsidRPr="00FF2831">
        <w:rPr>
          <w:rFonts w:ascii="Times New Roman" w:hAnsi="Times New Roman"/>
        </w:rPr>
        <w:t xml:space="preserve"> ПДВ, </w:t>
      </w:r>
      <w:proofErr w:type="spellStart"/>
      <w:r w:rsidRPr="00FF2831">
        <w:rPr>
          <w:rFonts w:ascii="Times New Roman" w:hAnsi="Times New Roman"/>
        </w:rPr>
        <w:t>що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обліковується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окремо</w:t>
      </w:r>
      <w:proofErr w:type="spellEnd"/>
      <w:r w:rsidRPr="00FF2831">
        <w:rPr>
          <w:rFonts w:ascii="Times New Roman" w:hAnsi="Times New Roman"/>
        </w:rPr>
        <w:t xml:space="preserve">), </w:t>
      </w:r>
      <w:proofErr w:type="spellStart"/>
      <w:r w:rsidRPr="00FF2831">
        <w:rPr>
          <w:rFonts w:ascii="Times New Roman" w:hAnsi="Times New Roman"/>
        </w:rPr>
        <w:t>збори</w:t>
      </w:r>
      <w:proofErr w:type="spellEnd"/>
      <w:r w:rsidRPr="00FF2831">
        <w:rPr>
          <w:rFonts w:ascii="Times New Roman" w:hAnsi="Times New Roman"/>
        </w:rPr>
        <w:t xml:space="preserve"> та </w:t>
      </w:r>
      <w:proofErr w:type="spellStart"/>
      <w:r w:rsidRPr="00FF2831">
        <w:rPr>
          <w:rFonts w:ascii="Times New Roman" w:hAnsi="Times New Roman"/>
        </w:rPr>
        <w:t>платежі</w:t>
      </w:r>
      <w:proofErr w:type="spellEnd"/>
      <w:r w:rsidRPr="00FF2831">
        <w:rPr>
          <w:rFonts w:ascii="Times New Roman" w:hAnsi="Times New Roman"/>
        </w:rPr>
        <w:t xml:space="preserve">, </w:t>
      </w:r>
      <w:proofErr w:type="spellStart"/>
      <w:r w:rsidRPr="00FF2831">
        <w:rPr>
          <w:rFonts w:ascii="Times New Roman" w:hAnsi="Times New Roman"/>
        </w:rPr>
        <w:t>що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передбачені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законодавством</w:t>
      </w:r>
      <w:proofErr w:type="spellEnd"/>
      <w:r w:rsidRPr="00FF2831">
        <w:rPr>
          <w:rFonts w:ascii="Times New Roman" w:hAnsi="Times New Roman"/>
        </w:rPr>
        <w:t xml:space="preserve">, </w:t>
      </w:r>
      <w:proofErr w:type="spellStart"/>
      <w:r w:rsidRPr="00FF2831">
        <w:rPr>
          <w:rFonts w:ascii="Times New Roman" w:hAnsi="Times New Roman"/>
        </w:rPr>
        <w:t>зокрема</w:t>
      </w:r>
      <w:proofErr w:type="spellEnd"/>
      <w:r w:rsidRPr="00FF2831">
        <w:rPr>
          <w:rFonts w:ascii="Times New Roman" w:hAnsi="Times New Roman"/>
        </w:rPr>
        <w:t xml:space="preserve"> Правилами ринку, Правилами ринку «на </w:t>
      </w:r>
      <w:proofErr w:type="spellStart"/>
      <w:r w:rsidRPr="00FF2831">
        <w:rPr>
          <w:rFonts w:ascii="Times New Roman" w:hAnsi="Times New Roman"/>
        </w:rPr>
        <w:t>добу</w:t>
      </w:r>
      <w:proofErr w:type="spellEnd"/>
      <w:r w:rsidRPr="00FF2831">
        <w:rPr>
          <w:rFonts w:ascii="Times New Roman" w:hAnsi="Times New Roman"/>
        </w:rPr>
        <w:t xml:space="preserve"> наперед» та </w:t>
      </w:r>
      <w:proofErr w:type="spellStart"/>
      <w:r w:rsidRPr="00FF2831">
        <w:rPr>
          <w:rFonts w:ascii="Times New Roman" w:hAnsi="Times New Roman"/>
        </w:rPr>
        <w:t>внутрішньодобовому</w:t>
      </w:r>
      <w:proofErr w:type="spellEnd"/>
      <w:r w:rsidRPr="00FF2831">
        <w:rPr>
          <w:rFonts w:ascii="Times New Roman" w:hAnsi="Times New Roman"/>
        </w:rPr>
        <w:t xml:space="preserve"> ринку та </w:t>
      </w:r>
      <w:proofErr w:type="spellStart"/>
      <w:r w:rsidRPr="00FF2831">
        <w:rPr>
          <w:rFonts w:ascii="Times New Roman" w:hAnsi="Times New Roman"/>
        </w:rPr>
        <w:t>іншими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нормативними</w:t>
      </w:r>
      <w:proofErr w:type="spellEnd"/>
      <w:r w:rsidRPr="00FF2831">
        <w:rPr>
          <w:rFonts w:ascii="Times New Roman" w:hAnsi="Times New Roman"/>
        </w:rPr>
        <w:t xml:space="preserve"> документами) та </w:t>
      </w:r>
      <w:proofErr w:type="spellStart"/>
      <w:r w:rsidRPr="00FF2831">
        <w:rPr>
          <w:rFonts w:ascii="Times New Roman" w:hAnsi="Times New Roman"/>
        </w:rPr>
        <w:t>розраховується</w:t>
      </w:r>
      <w:proofErr w:type="spellEnd"/>
      <w:r w:rsidRPr="00FF2831">
        <w:rPr>
          <w:rFonts w:ascii="Times New Roman" w:hAnsi="Times New Roman"/>
        </w:rPr>
        <w:t xml:space="preserve"> з </w:t>
      </w:r>
      <w:proofErr w:type="spellStart"/>
      <w:r w:rsidRPr="00FF2831">
        <w:rPr>
          <w:rFonts w:ascii="Times New Roman" w:hAnsi="Times New Roman"/>
        </w:rPr>
        <w:t>урахуванням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графіку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погодинного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споживання</w:t>
      </w:r>
      <w:proofErr w:type="spellEnd"/>
      <w:r w:rsidRPr="00FF2831">
        <w:rPr>
          <w:rFonts w:ascii="Times New Roman" w:hAnsi="Times New Roman"/>
        </w:rPr>
        <w:t xml:space="preserve"> </w:t>
      </w:r>
      <w:proofErr w:type="spellStart"/>
      <w:r w:rsidRPr="00FF2831">
        <w:rPr>
          <w:rFonts w:ascii="Times New Roman" w:hAnsi="Times New Roman"/>
        </w:rPr>
        <w:t>Споживача</w:t>
      </w:r>
      <w:proofErr w:type="spellEnd"/>
      <w:r w:rsidRPr="00FF2831">
        <w:rPr>
          <w:rFonts w:ascii="Times New Roman" w:hAnsi="Times New Roman"/>
          <w:lang w:val="uk-UA"/>
        </w:rPr>
        <w:t>.</w:t>
      </w:r>
    </w:p>
    <w:p w:rsidR="00F85F38" w:rsidRDefault="00F85F38" w:rsidP="00F85F38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</w:p>
    <w:p w:rsidR="00F85F38" w:rsidRDefault="00F85F38" w:rsidP="00F85F38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</w:p>
    <w:p w:rsidR="00F85F38" w:rsidRDefault="00F85F38" w:rsidP="00F85F38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</w:p>
    <w:p w:rsidR="00F85F38" w:rsidRDefault="00F85F38" w:rsidP="00F85F38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</w:p>
    <w:p w:rsidR="00F85F38" w:rsidRDefault="00F85F38" w:rsidP="00F85F38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/>
        </w:rPr>
      </w:pPr>
    </w:p>
    <w:p w:rsidR="00F85F38" w:rsidRPr="00F85F38" w:rsidRDefault="00F85F38" w:rsidP="00F85F38">
      <w:pPr>
        <w:pStyle w:val="a3"/>
        <w:spacing w:after="0" w:line="240" w:lineRule="auto"/>
        <w:ind w:left="0"/>
        <w:jc w:val="both"/>
        <w:rPr>
          <w:rFonts w:ascii="Times New Roman" w:hAnsi="Times New Roman"/>
          <w:lang w:val="uk-UA" w:eastAsia="uk-UA"/>
        </w:rPr>
      </w:pPr>
    </w:p>
    <w:p w:rsidR="00F85F38" w:rsidRPr="00F85F38" w:rsidRDefault="00F85F38" w:rsidP="00F85F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F85F3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lastRenderedPageBreak/>
        <w:t xml:space="preserve">Порядок оплати електричної енергії Споживачем </w:t>
      </w:r>
      <w:r w:rsidRPr="00F85F3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та порядок</w:t>
      </w:r>
      <w:r w:rsidRPr="00F85F3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 xml:space="preserve"> надання рахунків за спожиту електричну енергію</w:t>
      </w:r>
      <w:r w:rsidRPr="00F85F3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F85F38" w:rsidRPr="00F7799E" w:rsidRDefault="00F85F38" w:rsidP="00F85F38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lang w:val="uk-UA" w:eastAsia="uk-UA"/>
        </w:rPr>
      </w:pPr>
      <w:r w:rsidRPr="00F7799E">
        <w:rPr>
          <w:rFonts w:ascii="Times New Roman" w:hAnsi="Times New Roman"/>
          <w:lang w:val="uk-UA" w:eastAsia="uk-UA"/>
        </w:rPr>
        <w:t xml:space="preserve">Споживач </w:t>
      </w:r>
      <w:r>
        <w:rPr>
          <w:rFonts w:ascii="Times New Roman" w:hAnsi="Times New Roman"/>
          <w:lang w:val="uk-UA" w:eastAsia="uk-UA"/>
        </w:rPr>
        <w:t xml:space="preserve">сплачує за замовлений обсяг електричної енергії </w:t>
      </w:r>
      <w:r w:rsidRPr="00F7799E">
        <w:rPr>
          <w:rFonts w:ascii="Times New Roman" w:hAnsi="Times New Roman"/>
          <w:lang w:val="uk-UA" w:eastAsia="uk-UA"/>
        </w:rPr>
        <w:t>за наступним графіком (вибрати один з варіантів) :</w:t>
      </w:r>
    </w:p>
    <w:p w:rsidR="00F85F38" w:rsidRPr="005C7587" w:rsidRDefault="00F85F38" w:rsidP="00F85F3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</w:pPr>
      <w:proofErr w:type="spellStart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>Варіант</w:t>
      </w:r>
      <w:proofErr w:type="spellEnd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 xml:space="preserve"> 1. </w:t>
      </w:r>
      <w:proofErr w:type="spellStart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>Попередня</w:t>
      </w:r>
      <w:proofErr w:type="spellEnd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 xml:space="preserve"> оплата </w:t>
      </w:r>
    </w:p>
    <w:p w:rsidR="00F85F38" w:rsidRDefault="00F85F38" w:rsidP="00F85F3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– 100%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вартості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прогнозованих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заявлених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обсягів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споживання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електричної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енергії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розрахунковому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періоді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оплачується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пізніше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ніж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за 6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початку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розрахункового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періоду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</w:p>
    <w:p w:rsidR="00F85F38" w:rsidRDefault="00F85F38" w:rsidP="00F85F3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–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остаточний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розрахунок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фактичним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обсягом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споживання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– не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пізніше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ніж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на 5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робочий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закінчення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розрахункового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>періоду</w:t>
      </w:r>
      <w:proofErr w:type="spellEnd"/>
      <w:r w:rsidRPr="005C7587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F85F38" w:rsidRDefault="00F85F38" w:rsidP="00F85F3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>Варіант</w:t>
      </w:r>
      <w:proofErr w:type="spellEnd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 xml:space="preserve"> 2. </w:t>
      </w:r>
      <w:proofErr w:type="spellStart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>Планові</w:t>
      </w:r>
      <w:proofErr w:type="spellEnd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 xml:space="preserve"> </w:t>
      </w:r>
      <w:proofErr w:type="spellStart"/>
      <w:r w:rsidRPr="005C7587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>платежі</w:t>
      </w:r>
      <w:proofErr w:type="spellEnd"/>
      <w:r w:rsidRPr="00F409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F85F38" w:rsidRDefault="00F85F38" w:rsidP="00F85F3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09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Оплата </w:t>
      </w:r>
      <w:proofErr w:type="spellStart"/>
      <w:r w:rsidRPr="00F40957">
        <w:rPr>
          <w:rFonts w:ascii="Times New Roman" w:eastAsia="Times New Roman" w:hAnsi="Times New Roman" w:cs="Times New Roman"/>
          <w:sz w:val="24"/>
          <w:szCs w:val="24"/>
          <w:lang w:eastAsia="uk-UA"/>
        </w:rPr>
        <w:t>здійснюється</w:t>
      </w:r>
      <w:proofErr w:type="spellEnd"/>
      <w:r w:rsidRPr="00F409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подекадн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 в три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етапи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рівними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F85F38" w:rsidRDefault="00F85F38" w:rsidP="00F85F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25 –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місяця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передує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розрахунковому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5F38" w:rsidRDefault="00F85F38" w:rsidP="00F85F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05 –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місяця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розрахункового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5F38" w:rsidRPr="00F85F38" w:rsidRDefault="00F85F38" w:rsidP="00F85F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15 –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місяця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розрахункового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5F38" w:rsidRPr="00C438C5" w:rsidRDefault="00F85F38" w:rsidP="00F85F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44C">
        <w:rPr>
          <w:rFonts w:ascii="Times New Roman" w:hAnsi="Times New Roman" w:cs="Times New Roman"/>
          <w:sz w:val="24"/>
          <w:szCs w:val="24"/>
        </w:rPr>
        <w:t xml:space="preserve">Сума недоплати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Споживача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підлягає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безумовній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оплаті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Споживачем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пізніше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r w:rsidRPr="0086244C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робочих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днів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з дня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sz w:val="24"/>
          <w:szCs w:val="24"/>
        </w:rPr>
        <w:t>рахунку</w:t>
      </w:r>
      <w:proofErr w:type="spellEnd"/>
      <w:r w:rsidRPr="0086244C">
        <w:rPr>
          <w:rFonts w:ascii="Times New Roman" w:hAnsi="Times New Roman" w:cs="Times New Roman"/>
          <w:sz w:val="24"/>
          <w:szCs w:val="24"/>
        </w:rPr>
        <w:t>.</w:t>
      </w:r>
    </w:p>
    <w:p w:rsidR="00F85F38" w:rsidRPr="00F40957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D3D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2.2.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Оплата вартості додатково замовлених обсягів купівлі електричної енергії здійснюється Споживачем самостійно до 17-00 години дня, що передує дню споживання додатково замовлених обсягів.</w:t>
      </w:r>
    </w:p>
    <w:p w:rsidR="00F85F38" w:rsidRPr="00F40957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2.3. Остаточний платіж, по фактичному споживанню, здійснюється протягом 3-х робочих днів з моменту надання Постачальником Акту постачання-прийняття електричної енергії з ураху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ванням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3) п. 7.2. Договору.</w:t>
      </w:r>
    </w:p>
    <w:p w:rsidR="00F85F38" w:rsidRPr="00C438C5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2.4. Якщо сума здійсненої Споживачем оплати перевищує вартість вказаної в Акті постачання-прийняття електричної енергії, надлишок перерахованих грошових коштів Постачальником зараховується як попередня оплата на наступний розрахунковий період або повертається Споживачу за його вимогою впродовж 5 (п’яти) банківських днів з дня надходження відповідної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письмової вимоги Постачальнику.</w:t>
      </w:r>
    </w:p>
    <w:p w:rsidR="00F85F38" w:rsidRPr="00F85F38" w:rsidRDefault="00F85F38" w:rsidP="00F85F3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85F38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 xml:space="preserve">Оплата послуг з розподілу здійснюється: </w:t>
      </w:r>
    </w:p>
    <w:p w:rsidR="00F85F38" w:rsidRPr="00C438C5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3.1 </w:t>
      </w:r>
      <w:r w:rsidRPr="0072517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Споживач здійснює плату за послугу з розподілу (передачі) електричної енергії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самостійно напряму Оператору системи розподілу. </w:t>
      </w:r>
    </w:p>
    <w:p w:rsidR="00F85F38" w:rsidRPr="00F40957" w:rsidRDefault="00F85F38" w:rsidP="00F85F3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Розмір неустойки за порушення строку оплати:</w:t>
      </w:r>
    </w:p>
    <w:p w:rsidR="00F85F38" w:rsidRPr="00F40957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4.1 </w:t>
      </w: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розмірі подвійної облікової ставки Національного банку України, що діяла в період, за який сплачується пеня, від суми несвоєчасно виконаного (не виконаного) грошового зобов’язання, за кожен день прострочення.</w:t>
      </w:r>
    </w:p>
    <w:p w:rsidR="00F85F38" w:rsidRPr="00F40957" w:rsidRDefault="00F85F38" w:rsidP="00F85F3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Розмір компенсації Споживачу за недодержання Постачальником якості надання комерційних послуг:</w:t>
      </w:r>
    </w:p>
    <w:p w:rsidR="00F85F38" w:rsidRPr="00C438C5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5.1 </w:t>
      </w: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розмірі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</w:t>
      </w: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встановленому Національною комісією, що здійснює державне регулювання у сферах енергетики та ко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мунальних послуг (Регулятором).</w:t>
      </w:r>
    </w:p>
    <w:p w:rsidR="00F85F38" w:rsidRPr="00F40957" w:rsidRDefault="00F85F38" w:rsidP="00F85F3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 xml:space="preserve">Розмір штрафу за дострокове розірвання Споживачем Договору у випадках, не передбачених умовами Договору: </w:t>
      </w:r>
    </w:p>
    <w:p w:rsidR="00F85F38" w:rsidRDefault="00F85F38" w:rsidP="00F85F3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6.1 </w:t>
      </w:r>
      <w:r w:rsidRPr="00802F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Постачальник має право нарахувати Споживачу штраф у розмірі 100% від вартості електричної енергії, яка була поставлена Споживачу протягом останнього повного календарного місяця, який передує місяцю з якого постачання електричної енергії припиняється внаслідок дострокового розірвання Договору, якщо повідомлення про таке розірвання надійшло пізніше ніж 21 календарний день до дати закінчення терміну (строку) дії чинного договору.</w:t>
      </w:r>
    </w:p>
    <w:p w:rsidR="00F85F38" w:rsidRPr="00573F5F" w:rsidRDefault="00F85F38" w:rsidP="00F85F3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7</w:t>
      </w:r>
      <w:r w:rsidRPr="00573F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. Територія здійснення ліцензованої діяльності </w:t>
      </w:r>
    </w:p>
    <w:p w:rsidR="00F85F38" w:rsidRDefault="00F85F38" w:rsidP="00F85F3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7.1 ТОВ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Хайат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Естейт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» здійснює постачання електричної енергії на території  ліцензованої діяльності з розподілу/передачі електричної енергії енергорозподільчих підприємств України.</w:t>
      </w:r>
    </w:p>
    <w:p w:rsidR="00F85F38" w:rsidRPr="00573F5F" w:rsidRDefault="00F85F38" w:rsidP="00F85F3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8</w:t>
      </w:r>
      <w:r w:rsidRPr="00573F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. Можливість надання пільг, субсидій.</w:t>
      </w:r>
    </w:p>
    <w:p w:rsidR="00F85F38" w:rsidRDefault="00F85F38" w:rsidP="00F8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73F5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8.1 </w:t>
      </w:r>
      <w:r w:rsidRPr="00573F5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Не надаються.</w:t>
      </w:r>
    </w:p>
    <w:p w:rsidR="00F85F38" w:rsidRPr="00573F5F" w:rsidRDefault="00F85F38" w:rsidP="00F8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9</w:t>
      </w:r>
      <w:r w:rsidRPr="00573F5F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Термін дії комерційної пропозиції:</w:t>
      </w:r>
    </w:p>
    <w:p w:rsidR="00F85F38" w:rsidRPr="009740D4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9.1 </w:t>
      </w:r>
      <w:r w:rsidRPr="009740D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Комерційна пропозиція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дії до 01.07.2020 року.</w:t>
      </w:r>
    </w:p>
    <w:p w:rsidR="00F85F38" w:rsidRPr="00573F5F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85F38" w:rsidRPr="00F40957" w:rsidRDefault="00F85F38" w:rsidP="00F85F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uk-UA"/>
        </w:rPr>
      </w:pPr>
      <w:r w:rsidRPr="00F40957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ПІДПИСИ СТОРІН: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99"/>
        <w:gridCol w:w="5599"/>
      </w:tblGrid>
      <w:tr w:rsidR="00F85F38" w:rsidRPr="00573F5F" w:rsidTr="0012385C">
        <w:tc>
          <w:tcPr>
            <w:tcW w:w="2500" w:type="pct"/>
            <w:shd w:val="clear" w:color="auto" w:fill="auto"/>
          </w:tcPr>
          <w:p w:rsidR="00F85F38" w:rsidRPr="00F40957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4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Постачальник</w:t>
            </w:r>
            <w:r w:rsidRPr="00F409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  <w:t>:</w:t>
            </w:r>
          </w:p>
        </w:tc>
        <w:tc>
          <w:tcPr>
            <w:tcW w:w="2500" w:type="pct"/>
            <w:shd w:val="clear" w:color="auto" w:fill="auto"/>
          </w:tcPr>
          <w:p w:rsidR="00F85F38" w:rsidRPr="00F40957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409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Споживач</w:t>
            </w:r>
            <w:r w:rsidRPr="00F409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:</w:t>
            </w:r>
          </w:p>
        </w:tc>
      </w:tr>
      <w:tr w:rsidR="00F85F38" w:rsidRPr="00573F5F" w:rsidTr="0012385C">
        <w:tc>
          <w:tcPr>
            <w:tcW w:w="2500" w:type="pct"/>
            <w:shd w:val="clear" w:color="auto" w:fill="auto"/>
          </w:tcPr>
          <w:p w:rsidR="00F85F38" w:rsidRPr="00F40957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409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ТОВ «ХАЙАТ ЕСТЕЙТ»</w:t>
            </w:r>
          </w:p>
        </w:tc>
        <w:tc>
          <w:tcPr>
            <w:tcW w:w="2500" w:type="pct"/>
            <w:shd w:val="clear" w:color="auto" w:fill="auto"/>
          </w:tcPr>
          <w:p w:rsidR="00F85F38" w:rsidRPr="00F40957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</w:p>
        </w:tc>
      </w:tr>
      <w:tr w:rsidR="00F85F38" w:rsidRPr="00F40957" w:rsidTr="0012385C">
        <w:tc>
          <w:tcPr>
            <w:tcW w:w="2500" w:type="pct"/>
            <w:shd w:val="clear" w:color="auto" w:fill="auto"/>
          </w:tcPr>
          <w:p w:rsidR="00F85F38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</w:p>
          <w:p w:rsidR="00F85F38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Директор </w:t>
            </w:r>
          </w:p>
          <w:p w:rsidR="00F85F38" w:rsidRPr="00F40957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Карасенко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 В.П. </w:t>
            </w:r>
            <w:r w:rsidRPr="00F409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F85F38" w:rsidRPr="00F85F38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Посада </w:t>
            </w:r>
          </w:p>
          <w:p w:rsidR="00F85F38" w:rsidRPr="00F40957" w:rsidRDefault="00F85F38" w:rsidP="00F85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4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__________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ПІБ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.</w:t>
            </w:r>
          </w:p>
        </w:tc>
      </w:tr>
    </w:tbl>
    <w:p w:rsidR="004C4717" w:rsidRPr="00FB61C1" w:rsidRDefault="00F85F38" w:rsidP="00F85F38">
      <w:pPr>
        <w:jc w:val="both"/>
        <w:rPr>
          <w:lang w:val="uk-UA"/>
        </w:rPr>
      </w:pPr>
      <w:bookmarkStart w:id="0" w:name="_GoBack"/>
      <w:bookmarkEnd w:id="0"/>
    </w:p>
    <w:sectPr w:rsidR="004C4717" w:rsidRPr="00FB61C1" w:rsidSect="00F85F38">
      <w:pgSz w:w="11906" w:h="16838"/>
      <w:pgMar w:top="28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AAD"/>
    <w:multiLevelType w:val="multilevel"/>
    <w:tmpl w:val="310E3A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C97E54"/>
    <w:multiLevelType w:val="hybridMultilevel"/>
    <w:tmpl w:val="A7B2DA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2B29"/>
    <w:multiLevelType w:val="multilevel"/>
    <w:tmpl w:val="82546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8215C1"/>
    <w:multiLevelType w:val="multilevel"/>
    <w:tmpl w:val="8334E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E63A9B"/>
    <w:multiLevelType w:val="multilevel"/>
    <w:tmpl w:val="02A4B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4D5202"/>
    <w:multiLevelType w:val="hybridMultilevel"/>
    <w:tmpl w:val="164CBA1C"/>
    <w:lvl w:ilvl="0" w:tplc="13B67E9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1"/>
    <w:rsid w:val="00123455"/>
    <w:rsid w:val="00B77C16"/>
    <w:rsid w:val="00F85F38"/>
    <w:rsid w:val="00FB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A1F8"/>
  <w15:chartTrackingRefBased/>
  <w15:docId w15:val="{8F99B3D4-9183-4991-8B57-2CD79BC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1C1"/>
    <w:pPr>
      <w:ind w:left="720"/>
      <w:contextualSpacing/>
    </w:pPr>
  </w:style>
  <w:style w:type="table" w:styleId="a4">
    <w:name w:val="Table Grid"/>
    <w:basedOn w:val="a1"/>
    <w:uiPriority w:val="39"/>
    <w:rsid w:val="00FB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2020-01-14T10:57:00Z</dcterms:created>
  <dcterms:modified xsi:type="dcterms:W3CDTF">2020-01-14T11:15:00Z</dcterms:modified>
</cp:coreProperties>
</file>