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ECEB5" w14:textId="77777777" w:rsidR="005E2C3F" w:rsidRPr="00F40957" w:rsidRDefault="005E2C3F" w:rsidP="005E2C3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F4095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КОМЕРЦ</w:t>
      </w:r>
      <w:r w:rsidRPr="00F4095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І</w:t>
      </w:r>
      <w:r w:rsidRPr="00F4095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ЙНА ПРОПОЗИЦІЯ</w:t>
      </w:r>
    </w:p>
    <w:p w14:paraId="2B5CB525" w14:textId="77777777" w:rsidR="005E2C3F" w:rsidRDefault="005E2C3F" w:rsidP="005E2C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F40957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(ТАРИФИ (ЦІНА) ТА СТРОКИ ОПЛАТИ ЕЛЕКТРИЧНОЇ ЕНЕРГІЇ)</w:t>
      </w:r>
    </w:p>
    <w:p w14:paraId="1E9E198C" w14:textId="77777777" w:rsidR="005E2C3F" w:rsidRPr="00F40957" w:rsidRDefault="005E2C3F" w:rsidP="005E2C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246BFD1" w14:textId="77777777" w:rsidR="005E2C3F" w:rsidRDefault="005E2C3F" w:rsidP="005E2C3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 w:rsidRPr="00F40957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Оплата за споживання електричної енергії здійснюється Споживачем за ціною:</w:t>
      </w:r>
    </w:p>
    <w:p w14:paraId="5F3971FE" w14:textId="77777777" w:rsidR="005E2C3F" w:rsidRPr="00933A44" w:rsidRDefault="005E2C3F" w:rsidP="005E2C3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39D6F889" w14:textId="77777777" w:rsidR="005E2C3F" w:rsidRPr="00800339" w:rsidRDefault="005E2C3F" w:rsidP="005E2C3F">
      <w:pPr>
        <w:spacing w:after="0"/>
        <w:jc w:val="both"/>
        <w:rPr>
          <w:rFonts w:ascii="Times New Roman" w:hAnsi="Times New Roman"/>
          <w:lang w:val="uk-UA" w:eastAsia="uk-UA"/>
        </w:rPr>
      </w:pPr>
      <w:r>
        <w:rPr>
          <w:rFonts w:ascii="Times New Roman" w:hAnsi="Times New Roman"/>
          <w:lang w:val="uk-UA" w:eastAsia="uk-UA"/>
        </w:rPr>
        <w:t xml:space="preserve">1.1 </w:t>
      </w:r>
      <w:r w:rsidRPr="00800339">
        <w:rPr>
          <w:rFonts w:ascii="Times New Roman" w:hAnsi="Times New Roman"/>
          <w:lang w:val="uk-UA" w:eastAsia="uk-UA"/>
        </w:rPr>
        <w:t>Ціна комерційної пропозиції:</w:t>
      </w:r>
    </w:p>
    <w:p w14:paraId="070982C1" w14:textId="77777777" w:rsidR="005E2C3F" w:rsidRDefault="005E2C3F" w:rsidP="005E2C3F">
      <w:pPr>
        <w:spacing w:after="0"/>
        <w:ind w:left="360"/>
        <w:jc w:val="both"/>
        <w:rPr>
          <w:rFonts w:ascii="Times New Roman" w:hAnsi="Times New Roman"/>
          <w:lang w:val="uk-UA"/>
        </w:rPr>
      </w:pPr>
      <w:r w:rsidRPr="00800339">
        <w:rPr>
          <w:rFonts w:ascii="Times New Roman" w:hAnsi="Times New Roman"/>
          <w:lang w:val="uk-UA"/>
        </w:rPr>
        <w:t>Ціна електричної енергії (</w:t>
      </w:r>
      <w:r w:rsidRPr="00800339">
        <w:rPr>
          <w:rFonts w:ascii="Times New Roman" w:hAnsi="Times New Roman"/>
          <w:i/>
          <w:lang w:val="uk-UA"/>
        </w:rPr>
        <w:t>Ц</w:t>
      </w:r>
      <w:r w:rsidRPr="00800339">
        <w:rPr>
          <w:rFonts w:ascii="Times New Roman" w:hAnsi="Times New Roman"/>
          <w:i/>
          <w:sz w:val="16"/>
          <w:szCs w:val="16"/>
          <w:lang w:val="uk-UA"/>
        </w:rPr>
        <w:t>ЗАГ</w:t>
      </w:r>
      <w:r w:rsidRPr="00800339">
        <w:rPr>
          <w:rFonts w:ascii="Times New Roman" w:hAnsi="Times New Roman"/>
          <w:i/>
          <w:lang w:val="uk-UA"/>
        </w:rPr>
        <w:t>)</w:t>
      </w:r>
      <w:r w:rsidRPr="00800339">
        <w:rPr>
          <w:rFonts w:ascii="Times New Roman" w:hAnsi="Times New Roman"/>
          <w:lang w:val="uk-UA"/>
        </w:rPr>
        <w:t>, що постачається споживачу розраховується Постачальником та включає ринкову ціну електричної енергії на оптовому ринку електроенергії (</w:t>
      </w:r>
      <w:r w:rsidRPr="00800339">
        <w:rPr>
          <w:rFonts w:ascii="Times New Roman" w:hAnsi="Times New Roman"/>
          <w:i/>
          <w:lang w:val="uk-UA"/>
        </w:rPr>
        <w:t>Ц</w:t>
      </w:r>
      <w:r w:rsidRPr="00800339">
        <w:rPr>
          <w:rFonts w:ascii="Times New Roman" w:hAnsi="Times New Roman"/>
          <w:i/>
          <w:sz w:val="16"/>
          <w:szCs w:val="16"/>
          <w:lang w:val="uk-UA"/>
        </w:rPr>
        <w:t>ОРЕ</w:t>
      </w:r>
      <w:r w:rsidRPr="00800339">
        <w:rPr>
          <w:rFonts w:ascii="Times New Roman" w:hAnsi="Times New Roman"/>
          <w:i/>
          <w:lang w:val="uk-UA"/>
        </w:rPr>
        <w:t>)</w:t>
      </w:r>
      <w:r w:rsidRPr="00800339">
        <w:rPr>
          <w:rFonts w:ascii="Times New Roman" w:hAnsi="Times New Roman"/>
          <w:lang w:val="uk-UA"/>
        </w:rPr>
        <w:t xml:space="preserve">, </w:t>
      </w:r>
      <w:r>
        <w:rPr>
          <w:rFonts w:ascii="Times New Roman" w:hAnsi="Times New Roman"/>
          <w:lang w:val="uk-UA"/>
        </w:rPr>
        <w:t>тариф оператора системи передачі (</w:t>
      </w:r>
      <w:proofErr w:type="spellStart"/>
      <w:r w:rsidRPr="009D2663">
        <w:rPr>
          <w:rFonts w:ascii="Times New Roman" w:hAnsi="Times New Roman"/>
          <w:i/>
          <w:lang w:val="uk-UA"/>
        </w:rPr>
        <w:t>Тосп</w:t>
      </w:r>
      <w:proofErr w:type="spellEnd"/>
      <w:r>
        <w:rPr>
          <w:rFonts w:ascii="Times New Roman" w:hAnsi="Times New Roman"/>
          <w:lang w:val="uk-UA"/>
        </w:rPr>
        <w:t xml:space="preserve">), </w:t>
      </w:r>
      <w:r w:rsidRPr="00800339">
        <w:rPr>
          <w:rFonts w:ascii="Times New Roman" w:hAnsi="Times New Roman"/>
          <w:lang w:val="uk-UA"/>
        </w:rPr>
        <w:t>тариф на послуги Постачальника</w:t>
      </w:r>
      <w:r w:rsidRPr="00800339">
        <w:rPr>
          <w:rFonts w:ascii="Times New Roman" w:hAnsi="Times New Roman"/>
          <w:i/>
          <w:lang w:val="uk-UA"/>
        </w:rPr>
        <w:t xml:space="preserve"> (Т</w:t>
      </w:r>
      <w:r w:rsidRPr="00800339">
        <w:rPr>
          <w:rFonts w:ascii="Times New Roman" w:hAnsi="Times New Roman"/>
          <w:i/>
          <w:sz w:val="16"/>
          <w:szCs w:val="16"/>
          <w:lang w:val="uk-UA"/>
        </w:rPr>
        <w:t>П</w:t>
      </w:r>
      <w:r>
        <w:rPr>
          <w:rFonts w:ascii="Times New Roman" w:hAnsi="Times New Roman"/>
          <w:i/>
          <w:sz w:val="16"/>
          <w:szCs w:val="16"/>
          <w:lang w:val="uk-UA"/>
        </w:rPr>
        <w:t>),</w:t>
      </w:r>
      <w:r w:rsidRPr="005C13B7">
        <w:rPr>
          <w:rFonts w:ascii="Times New Roman" w:hAnsi="Times New Roman"/>
          <w:lang w:val="uk-UA"/>
        </w:rPr>
        <w:t xml:space="preserve"> </w:t>
      </w:r>
      <w:r w:rsidRPr="00800339">
        <w:rPr>
          <w:rFonts w:ascii="Times New Roman" w:hAnsi="Times New Roman"/>
          <w:lang w:val="uk-UA"/>
        </w:rPr>
        <w:t>тариф оператора системи розподілу (</w:t>
      </w:r>
      <w:proofErr w:type="spellStart"/>
      <w:r w:rsidRPr="00800339">
        <w:rPr>
          <w:rFonts w:ascii="Times New Roman" w:hAnsi="Times New Roman"/>
          <w:i/>
          <w:lang w:val="uk-UA"/>
        </w:rPr>
        <w:t>Тоср</w:t>
      </w:r>
      <w:proofErr w:type="spellEnd"/>
      <w:r>
        <w:rPr>
          <w:rFonts w:ascii="Times New Roman" w:hAnsi="Times New Roman"/>
          <w:lang w:val="uk-UA"/>
        </w:rPr>
        <w:t>)</w:t>
      </w:r>
      <w:r w:rsidRPr="00800339">
        <w:rPr>
          <w:rFonts w:ascii="Times New Roman" w:hAnsi="Times New Roman"/>
          <w:lang w:val="uk-UA"/>
        </w:rPr>
        <w:t>.</w:t>
      </w:r>
    </w:p>
    <w:p w14:paraId="12E9D792" w14:textId="77777777" w:rsidR="005E2C3F" w:rsidRPr="0020058A" w:rsidRDefault="005E2C3F" w:rsidP="005E2C3F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>Ц</w:t>
      </w:r>
      <w:r w:rsidRPr="0086244C">
        <w:rPr>
          <w:rFonts w:ascii="Times New Roman" w:hAnsi="Times New Roman" w:cs="Times New Roman"/>
          <w:i/>
          <w:sz w:val="16"/>
          <w:szCs w:val="16"/>
        </w:rPr>
        <w:t>ЗАГ</w:t>
      </w:r>
      <w:r w:rsidRPr="0086244C">
        <w:rPr>
          <w:rFonts w:ascii="Times New Roman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Ц</w:t>
      </w:r>
      <w:r w:rsidRPr="0086244C">
        <w:rPr>
          <w:rFonts w:ascii="Times New Roman" w:hAnsi="Times New Roman" w:cs="Times New Roman"/>
          <w:i/>
          <w:sz w:val="16"/>
          <w:szCs w:val="16"/>
        </w:rPr>
        <w:t>ОРЕ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+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uk-UA"/>
        </w:rPr>
        <w:t>Тосп</w:t>
      </w:r>
      <w:proofErr w:type="spellEnd"/>
      <w:r w:rsidRPr="00023A68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+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uk-UA"/>
        </w:rPr>
        <w:t>Тп</w:t>
      </w:r>
      <w:proofErr w:type="spellEnd"/>
      <w:r w:rsidRPr="002732D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+</w:t>
      </w: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Тоср</w:t>
      </w:r>
      <w:proofErr w:type="spellEnd"/>
    </w:p>
    <w:p w14:paraId="2FFFAB05" w14:textId="77777777" w:rsidR="005E2C3F" w:rsidRPr="0086244C" w:rsidRDefault="005E2C3F" w:rsidP="005E2C3F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86244C">
        <w:rPr>
          <w:rFonts w:ascii="Times New Roman" w:hAnsi="Times New Roman" w:cs="Times New Roman"/>
          <w:i/>
          <w:sz w:val="24"/>
          <w:szCs w:val="24"/>
        </w:rPr>
        <w:t xml:space="preserve">де, 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Ц</w:t>
      </w:r>
      <w:r w:rsidRPr="0086244C">
        <w:rPr>
          <w:rFonts w:ascii="Times New Roman" w:hAnsi="Times New Roman" w:cs="Times New Roman"/>
          <w:i/>
          <w:sz w:val="16"/>
          <w:szCs w:val="16"/>
        </w:rPr>
        <w:t>ЗАГ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ціна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1 кВт*г</w:t>
      </w:r>
      <w:r w:rsidRPr="0086244C">
        <w:rPr>
          <w:rFonts w:ascii="Times New Roman" w:hAnsi="Times New Roman" w:cs="Times New Roman"/>
          <w:i/>
          <w:sz w:val="24"/>
          <w:szCs w:val="24"/>
        </w:rPr>
        <w:t xml:space="preserve">од у </w:t>
      </w:r>
      <w:proofErr w:type="spellStart"/>
      <w:r w:rsidRPr="0086244C">
        <w:rPr>
          <w:rFonts w:ascii="Times New Roman" w:hAnsi="Times New Roman" w:cs="Times New Roman"/>
          <w:i/>
          <w:sz w:val="24"/>
          <w:szCs w:val="24"/>
        </w:rPr>
        <w:t>відповідному</w:t>
      </w:r>
      <w:proofErr w:type="spellEnd"/>
      <w:r w:rsidRPr="008624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6244C">
        <w:rPr>
          <w:rFonts w:ascii="Times New Roman" w:hAnsi="Times New Roman" w:cs="Times New Roman"/>
          <w:i/>
          <w:sz w:val="24"/>
          <w:szCs w:val="24"/>
        </w:rPr>
        <w:t>розрахунковому</w:t>
      </w:r>
      <w:proofErr w:type="spellEnd"/>
      <w:r w:rsidRPr="0086244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6244C">
        <w:rPr>
          <w:rFonts w:ascii="Times New Roman" w:hAnsi="Times New Roman" w:cs="Times New Roman"/>
          <w:i/>
          <w:sz w:val="24"/>
          <w:szCs w:val="24"/>
        </w:rPr>
        <w:t>періоді</w:t>
      </w:r>
      <w:proofErr w:type="spellEnd"/>
      <w:r w:rsidRPr="0086244C">
        <w:rPr>
          <w:rFonts w:ascii="Times New Roman" w:hAnsi="Times New Roman" w:cs="Times New Roman"/>
          <w:i/>
          <w:sz w:val="24"/>
          <w:szCs w:val="24"/>
        </w:rPr>
        <w:t xml:space="preserve">, з ПДВ </w:t>
      </w:r>
    </w:p>
    <w:p w14:paraId="7E50B462" w14:textId="77777777" w:rsidR="005E2C3F" w:rsidRPr="0026171B" w:rsidRDefault="005E2C3F" w:rsidP="005E2C3F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6171B">
        <w:rPr>
          <w:rFonts w:ascii="Times New Roman" w:hAnsi="Times New Roman" w:cs="Times New Roman"/>
          <w:i/>
          <w:sz w:val="24"/>
          <w:szCs w:val="24"/>
          <w:lang w:val="uk-UA"/>
        </w:rPr>
        <w:t>Ц</w:t>
      </w:r>
      <w:r w:rsidRPr="0026171B">
        <w:rPr>
          <w:rFonts w:ascii="Times New Roman" w:hAnsi="Times New Roman" w:cs="Times New Roman"/>
          <w:i/>
          <w:sz w:val="16"/>
          <w:szCs w:val="16"/>
        </w:rPr>
        <w:t>ОРЕ</w:t>
      </w:r>
      <w:r w:rsidRPr="0026171B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фактична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закупівельна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ціна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електричної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енергії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</w:rPr>
        <w:t xml:space="preserve"> для </w:t>
      </w: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Споживача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</w:rPr>
        <w:t xml:space="preserve"> в Оптовому ринку </w:t>
      </w: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електричної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енергії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</w:rPr>
        <w:t xml:space="preserve"> (ОРЕ) з </w:t>
      </w: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урахуванням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зборів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</w:rPr>
        <w:t xml:space="preserve"> та </w:t>
      </w: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платежів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що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передбачені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законодавством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</w:rPr>
        <w:t xml:space="preserve">, правилами Оптового ринку </w:t>
      </w: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електричної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енергії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</w:rPr>
        <w:t xml:space="preserve"> та </w:t>
      </w: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іншими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нормативними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</w:rPr>
        <w:t xml:space="preserve"> документами.</w:t>
      </w:r>
    </w:p>
    <w:p w14:paraId="7924FE12" w14:textId="77777777" w:rsidR="005E2C3F" w:rsidRDefault="005E2C3F" w:rsidP="005E2C3F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6171B">
        <w:rPr>
          <w:rFonts w:ascii="Times New Roman" w:hAnsi="Times New Roman" w:cs="Times New Roman"/>
          <w:i/>
          <w:sz w:val="24"/>
          <w:szCs w:val="24"/>
          <w:lang w:val="uk-UA"/>
        </w:rPr>
        <w:t>Тосп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– тариф оператора системи передачі,  визначається відповідно до </w:t>
      </w:r>
      <w:r w:rsidRPr="0026171B">
        <w:rPr>
          <w:rFonts w:ascii="Times New Roman" w:hAnsi="Times New Roman" w:cs="Times New Roman"/>
          <w:i/>
          <w:sz w:val="24"/>
          <w:szCs w:val="24"/>
        </w:rPr>
        <w:t>Постанов</w:t>
      </w:r>
      <w:r w:rsidRPr="0026171B">
        <w:rPr>
          <w:rFonts w:ascii="Times New Roman" w:hAnsi="Times New Roman" w:cs="Times New Roman"/>
          <w:i/>
          <w:sz w:val="24"/>
          <w:szCs w:val="24"/>
          <w:lang w:val="uk-UA"/>
        </w:rPr>
        <w:t>и</w:t>
      </w:r>
      <w:r w:rsidRPr="0026171B">
        <w:rPr>
          <w:rFonts w:ascii="Times New Roman" w:hAnsi="Times New Roman" w:cs="Times New Roman"/>
          <w:i/>
          <w:sz w:val="24"/>
          <w:szCs w:val="24"/>
        </w:rPr>
        <w:t xml:space="preserve"> НКРЕКП</w:t>
      </w:r>
    </w:p>
    <w:p w14:paraId="002741A7" w14:textId="6D012F51" w:rsidR="005E2C3F" w:rsidRDefault="005E2C3F" w:rsidP="005E2C3F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proofErr w:type="spellStart"/>
      <w:r w:rsidRPr="00875D6E">
        <w:rPr>
          <w:rFonts w:ascii="Times New Roman" w:hAnsi="Times New Roman" w:cs="Times New Roman"/>
          <w:b/>
          <w:i/>
          <w:sz w:val="24"/>
          <w:szCs w:val="24"/>
          <w:lang w:val="uk-UA"/>
        </w:rPr>
        <w:t>Тп</w:t>
      </w:r>
      <w:proofErr w:type="spellEnd"/>
      <w:r w:rsidRPr="00875D6E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- тариф  Постачальника 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0,02 грн без ПДВ/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0,0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3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грн без ПДВ/0,0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грн без ПДВ</w:t>
      </w:r>
    </w:p>
    <w:p w14:paraId="12B01CF7" w14:textId="326D6F04" w:rsidR="005E2C3F" w:rsidRPr="006F5B69" w:rsidRDefault="005E2C3F" w:rsidP="005E2C3F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B1FA7">
        <w:rPr>
          <w:rFonts w:ascii="Times New Roman" w:hAnsi="Times New Roman" w:cs="Times New Roman"/>
          <w:b/>
          <w:i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в залежності від обраного графіку оплати)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0953EF6C" w14:textId="77777777" w:rsidR="005E2C3F" w:rsidRPr="006F5B69" w:rsidRDefault="005E2C3F" w:rsidP="005E2C3F">
      <w:pPr>
        <w:spacing w:after="0"/>
        <w:jc w:val="both"/>
        <w:rPr>
          <w:rFonts w:ascii="Times New Roman" w:hAnsi="Times New Roman" w:cs="Times New Roman"/>
          <w:i/>
          <w:sz w:val="21"/>
          <w:szCs w:val="21"/>
          <w:lang w:val="uk-UA"/>
        </w:rPr>
      </w:pP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Тоср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</w:rPr>
        <w:t xml:space="preserve"> – тариф оператора </w:t>
      </w: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системи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6171B">
        <w:rPr>
          <w:rFonts w:ascii="Times New Roman" w:hAnsi="Times New Roman" w:cs="Times New Roman"/>
          <w:i/>
          <w:sz w:val="24"/>
          <w:szCs w:val="24"/>
        </w:rPr>
        <w:t>розпо</w:t>
      </w:r>
      <w:proofErr w:type="spellEnd"/>
      <w:r w:rsidRPr="0026171B">
        <w:rPr>
          <w:rFonts w:ascii="Times New Roman" w:hAnsi="Times New Roman" w:cs="Times New Roman"/>
          <w:i/>
          <w:sz w:val="24"/>
          <w:szCs w:val="24"/>
          <w:lang w:val="uk-UA"/>
        </w:rPr>
        <w:t xml:space="preserve">ділу, визначається відповідно до </w:t>
      </w:r>
      <w:r w:rsidRPr="0026171B">
        <w:rPr>
          <w:rFonts w:ascii="Times New Roman" w:hAnsi="Times New Roman" w:cs="Times New Roman"/>
          <w:i/>
          <w:sz w:val="24"/>
          <w:szCs w:val="24"/>
        </w:rPr>
        <w:t>Постанов</w:t>
      </w:r>
      <w:r w:rsidRPr="0026171B">
        <w:rPr>
          <w:rFonts w:ascii="Times New Roman" w:hAnsi="Times New Roman" w:cs="Times New Roman"/>
          <w:i/>
          <w:sz w:val="24"/>
          <w:szCs w:val="24"/>
          <w:lang w:val="uk-UA"/>
        </w:rPr>
        <w:t>и</w:t>
      </w:r>
      <w:r w:rsidRPr="0026171B">
        <w:rPr>
          <w:rFonts w:ascii="Times New Roman" w:hAnsi="Times New Roman" w:cs="Times New Roman"/>
          <w:i/>
          <w:sz w:val="24"/>
          <w:szCs w:val="24"/>
        </w:rPr>
        <w:t xml:space="preserve"> НКРЕКП</w:t>
      </w:r>
      <w:r>
        <w:rPr>
          <w:rFonts w:ascii="Times New Roman" w:hAnsi="Times New Roman" w:cs="Times New Roman"/>
          <w:i/>
          <w:sz w:val="21"/>
          <w:szCs w:val="21"/>
          <w:lang w:val="uk-UA"/>
        </w:rPr>
        <w:t>.</w:t>
      </w:r>
    </w:p>
    <w:p w14:paraId="7414C4D8" w14:textId="77777777" w:rsidR="005E2C3F" w:rsidRDefault="005E2C3F" w:rsidP="005E2C3F">
      <w:pPr>
        <w:pStyle w:val="a3"/>
        <w:numPr>
          <w:ilvl w:val="1"/>
          <w:numId w:val="2"/>
        </w:numPr>
        <w:ind w:left="0" w:firstLine="0"/>
        <w:jc w:val="both"/>
        <w:rPr>
          <w:rFonts w:ascii="Times New Roman" w:hAnsi="Times New Roman"/>
          <w:lang w:val="uk-UA" w:eastAsia="uk-UA"/>
        </w:rPr>
      </w:pPr>
      <w:r w:rsidRPr="00B7249F">
        <w:rPr>
          <w:rFonts w:ascii="Times New Roman" w:hAnsi="Times New Roman"/>
          <w:lang w:val="uk-UA" w:eastAsia="uk-UA"/>
        </w:rPr>
        <w:t xml:space="preserve">При розрахунку попередньої оплати за електричну енергію застосовується прогнозована ціна </w:t>
      </w:r>
      <w:r>
        <w:rPr>
          <w:rFonts w:ascii="Times New Roman" w:hAnsi="Times New Roman"/>
          <w:lang w:val="uk-UA" w:eastAsia="uk-UA"/>
        </w:rPr>
        <w:t>за 1кВт*год з врахуванням ПДВ (</w:t>
      </w:r>
      <w:r w:rsidRPr="00B7249F">
        <w:rPr>
          <w:rFonts w:ascii="Times New Roman" w:hAnsi="Times New Roman"/>
          <w:lang w:val="uk-UA" w:eastAsia="uk-UA"/>
        </w:rPr>
        <w:t>Ц</w:t>
      </w:r>
      <w:r w:rsidRPr="00B7249F">
        <w:rPr>
          <w:rFonts w:ascii="Times New Roman" w:hAnsi="Times New Roman"/>
          <w:sz w:val="20"/>
          <w:lang w:val="uk-UA" w:eastAsia="uk-UA"/>
        </w:rPr>
        <w:t>ОРЕ</w:t>
      </w:r>
      <w:r>
        <w:rPr>
          <w:rFonts w:ascii="Times New Roman" w:hAnsi="Times New Roman"/>
          <w:lang w:val="uk-UA" w:eastAsia="uk-UA"/>
        </w:rPr>
        <w:t xml:space="preserve"> прог).</w:t>
      </w:r>
    </w:p>
    <w:p w14:paraId="5BD07EAA" w14:textId="77777777" w:rsidR="005E2C3F" w:rsidRPr="00933A44" w:rsidRDefault="005E2C3F" w:rsidP="005E2C3F">
      <w:pPr>
        <w:pStyle w:val="a3"/>
        <w:ind w:left="0"/>
        <w:jc w:val="both"/>
        <w:rPr>
          <w:rFonts w:ascii="Times New Roman" w:hAnsi="Times New Roman"/>
          <w:lang w:val="uk-UA"/>
        </w:rPr>
      </w:pPr>
      <w:r w:rsidRPr="002C23F3">
        <w:rPr>
          <w:rFonts w:ascii="Times New Roman" w:hAnsi="Times New Roman"/>
          <w:b/>
          <w:lang w:val="uk-UA"/>
        </w:rPr>
        <w:t xml:space="preserve">Ц </w:t>
      </w:r>
      <w:r>
        <w:rPr>
          <w:rFonts w:ascii="Times New Roman" w:hAnsi="Times New Roman"/>
          <w:b/>
          <w:lang w:val="uk-UA"/>
        </w:rPr>
        <w:t xml:space="preserve">ОРЕ </w:t>
      </w:r>
      <w:r w:rsidRPr="002C23F3">
        <w:rPr>
          <w:rFonts w:ascii="Times New Roman" w:hAnsi="Times New Roman"/>
          <w:b/>
          <w:lang w:val="uk-UA"/>
        </w:rPr>
        <w:t>прог</w:t>
      </w:r>
      <w:r w:rsidRPr="002C23F3">
        <w:rPr>
          <w:rFonts w:ascii="Times New Roman" w:hAnsi="Times New Roman"/>
          <w:lang w:val="uk-UA"/>
        </w:rPr>
        <w:t xml:space="preserve"> - </w:t>
      </w:r>
      <w:proofErr w:type="spellStart"/>
      <w:r w:rsidRPr="002C23F3">
        <w:rPr>
          <w:rFonts w:ascii="Times New Roman" w:hAnsi="Times New Roman"/>
        </w:rPr>
        <w:t>середньозважена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ціна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закупівлі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електричної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енергії</w:t>
      </w:r>
      <w:proofErr w:type="spellEnd"/>
      <w:r w:rsidRPr="002C23F3">
        <w:rPr>
          <w:rFonts w:ascii="Times New Roman" w:hAnsi="Times New Roman"/>
        </w:rPr>
        <w:t xml:space="preserve"> на ринку «на добу наперед», яка </w:t>
      </w:r>
      <w:proofErr w:type="spellStart"/>
      <w:r w:rsidRPr="002C23F3">
        <w:rPr>
          <w:rFonts w:ascii="Times New Roman" w:hAnsi="Times New Roman"/>
        </w:rPr>
        <w:t>визначається</w:t>
      </w:r>
      <w:proofErr w:type="spellEnd"/>
      <w:r w:rsidRPr="002C23F3">
        <w:rPr>
          <w:rFonts w:ascii="Times New Roman" w:hAnsi="Times New Roman"/>
        </w:rPr>
        <w:t xml:space="preserve"> з </w:t>
      </w:r>
      <w:proofErr w:type="spellStart"/>
      <w:r w:rsidRPr="002C23F3">
        <w:rPr>
          <w:rFonts w:ascii="Times New Roman" w:hAnsi="Times New Roman"/>
        </w:rPr>
        <w:t>урахуванням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оперативних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даних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щодо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погодинних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цін</w:t>
      </w:r>
      <w:proofErr w:type="spellEnd"/>
      <w:r w:rsidRPr="002C23F3">
        <w:rPr>
          <w:rFonts w:ascii="Times New Roman" w:hAnsi="Times New Roman"/>
        </w:rPr>
        <w:t xml:space="preserve"> на ринку «на добу наперед» у </w:t>
      </w:r>
      <w:proofErr w:type="spellStart"/>
      <w:r w:rsidRPr="002C23F3">
        <w:rPr>
          <w:rFonts w:ascii="Times New Roman" w:hAnsi="Times New Roman"/>
        </w:rPr>
        <w:t>місяці</w:t>
      </w:r>
      <w:proofErr w:type="spellEnd"/>
      <w:r w:rsidRPr="002C23F3">
        <w:rPr>
          <w:rFonts w:ascii="Times New Roman" w:hAnsi="Times New Roman"/>
        </w:rPr>
        <w:t xml:space="preserve"> на дату </w:t>
      </w:r>
      <w:proofErr w:type="spellStart"/>
      <w:r w:rsidRPr="002C23F3">
        <w:rPr>
          <w:rFonts w:ascii="Times New Roman" w:hAnsi="Times New Roman"/>
        </w:rPr>
        <w:t>формування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рахунку</w:t>
      </w:r>
      <w:proofErr w:type="spellEnd"/>
      <w:r w:rsidRPr="002C23F3">
        <w:rPr>
          <w:rFonts w:ascii="Times New Roman" w:hAnsi="Times New Roman"/>
        </w:rPr>
        <w:t xml:space="preserve"> (</w:t>
      </w:r>
      <w:proofErr w:type="spellStart"/>
      <w:r w:rsidRPr="002C23F3">
        <w:rPr>
          <w:rFonts w:ascii="Times New Roman" w:hAnsi="Times New Roman"/>
        </w:rPr>
        <w:t>Ціна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закупівлі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електричної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енергії</w:t>
      </w:r>
      <w:proofErr w:type="spellEnd"/>
      <w:r w:rsidRPr="002C23F3">
        <w:rPr>
          <w:rFonts w:ascii="Times New Roman" w:hAnsi="Times New Roman"/>
        </w:rPr>
        <w:t xml:space="preserve"> на ринку «на добу наперед» </w:t>
      </w:r>
      <w:proofErr w:type="spellStart"/>
      <w:r w:rsidRPr="002C23F3">
        <w:rPr>
          <w:rFonts w:ascii="Times New Roman" w:hAnsi="Times New Roman"/>
        </w:rPr>
        <w:t>також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включає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всі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обов’язкові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податки</w:t>
      </w:r>
      <w:proofErr w:type="spellEnd"/>
      <w:r w:rsidRPr="002C23F3">
        <w:rPr>
          <w:rFonts w:ascii="Times New Roman" w:hAnsi="Times New Roman"/>
        </w:rPr>
        <w:t xml:space="preserve"> (</w:t>
      </w:r>
      <w:proofErr w:type="spellStart"/>
      <w:r w:rsidRPr="002C23F3">
        <w:rPr>
          <w:rFonts w:ascii="Times New Roman" w:hAnsi="Times New Roman"/>
        </w:rPr>
        <w:t>крім</w:t>
      </w:r>
      <w:proofErr w:type="spellEnd"/>
      <w:r w:rsidRPr="002C23F3">
        <w:rPr>
          <w:rFonts w:ascii="Times New Roman" w:hAnsi="Times New Roman"/>
        </w:rPr>
        <w:t xml:space="preserve"> ПДВ, </w:t>
      </w:r>
      <w:proofErr w:type="spellStart"/>
      <w:r w:rsidRPr="002C23F3">
        <w:rPr>
          <w:rFonts w:ascii="Times New Roman" w:hAnsi="Times New Roman"/>
        </w:rPr>
        <w:t>що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обліковується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окремо</w:t>
      </w:r>
      <w:proofErr w:type="spellEnd"/>
      <w:r w:rsidRPr="002C23F3">
        <w:rPr>
          <w:rFonts w:ascii="Times New Roman" w:hAnsi="Times New Roman"/>
        </w:rPr>
        <w:t xml:space="preserve">), </w:t>
      </w:r>
      <w:proofErr w:type="spellStart"/>
      <w:r w:rsidRPr="002C23F3">
        <w:rPr>
          <w:rFonts w:ascii="Times New Roman" w:hAnsi="Times New Roman"/>
        </w:rPr>
        <w:t>збори</w:t>
      </w:r>
      <w:proofErr w:type="spellEnd"/>
      <w:r w:rsidRPr="002C23F3">
        <w:rPr>
          <w:rFonts w:ascii="Times New Roman" w:hAnsi="Times New Roman"/>
        </w:rPr>
        <w:t xml:space="preserve"> та </w:t>
      </w:r>
      <w:proofErr w:type="spellStart"/>
      <w:r w:rsidRPr="002C23F3">
        <w:rPr>
          <w:rFonts w:ascii="Times New Roman" w:hAnsi="Times New Roman"/>
        </w:rPr>
        <w:t>платежі</w:t>
      </w:r>
      <w:proofErr w:type="spellEnd"/>
      <w:r w:rsidRPr="002C23F3">
        <w:rPr>
          <w:rFonts w:ascii="Times New Roman" w:hAnsi="Times New Roman"/>
        </w:rPr>
        <w:t xml:space="preserve">, </w:t>
      </w:r>
      <w:proofErr w:type="spellStart"/>
      <w:r w:rsidRPr="002C23F3">
        <w:rPr>
          <w:rFonts w:ascii="Times New Roman" w:hAnsi="Times New Roman"/>
        </w:rPr>
        <w:t>що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передбачені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законодавством</w:t>
      </w:r>
      <w:proofErr w:type="spellEnd"/>
      <w:r w:rsidRPr="002C23F3">
        <w:rPr>
          <w:rFonts w:ascii="Times New Roman" w:hAnsi="Times New Roman"/>
        </w:rPr>
        <w:t xml:space="preserve">, </w:t>
      </w:r>
      <w:proofErr w:type="spellStart"/>
      <w:r w:rsidRPr="002C23F3">
        <w:rPr>
          <w:rFonts w:ascii="Times New Roman" w:hAnsi="Times New Roman"/>
        </w:rPr>
        <w:t>зокрема</w:t>
      </w:r>
      <w:proofErr w:type="spellEnd"/>
      <w:r w:rsidRPr="002C23F3">
        <w:rPr>
          <w:rFonts w:ascii="Times New Roman" w:hAnsi="Times New Roman"/>
        </w:rPr>
        <w:t xml:space="preserve"> Правилами ринку, Правилами ринку «на добу наперед» та </w:t>
      </w:r>
      <w:proofErr w:type="spellStart"/>
      <w:r w:rsidRPr="002C23F3">
        <w:rPr>
          <w:rFonts w:ascii="Times New Roman" w:hAnsi="Times New Roman"/>
        </w:rPr>
        <w:t>внутрішньодобовому</w:t>
      </w:r>
      <w:proofErr w:type="spellEnd"/>
      <w:r w:rsidRPr="002C23F3">
        <w:rPr>
          <w:rFonts w:ascii="Times New Roman" w:hAnsi="Times New Roman"/>
        </w:rPr>
        <w:t xml:space="preserve"> ринку та </w:t>
      </w:r>
      <w:proofErr w:type="spellStart"/>
      <w:r w:rsidRPr="002C23F3">
        <w:rPr>
          <w:rFonts w:ascii="Times New Roman" w:hAnsi="Times New Roman"/>
        </w:rPr>
        <w:t>іншими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нормативними</w:t>
      </w:r>
      <w:proofErr w:type="spellEnd"/>
      <w:r w:rsidRPr="002C23F3">
        <w:rPr>
          <w:rFonts w:ascii="Times New Roman" w:hAnsi="Times New Roman"/>
        </w:rPr>
        <w:t xml:space="preserve"> документами) та </w:t>
      </w:r>
      <w:proofErr w:type="spellStart"/>
      <w:r w:rsidRPr="002C23F3">
        <w:rPr>
          <w:rFonts w:ascii="Times New Roman" w:hAnsi="Times New Roman"/>
        </w:rPr>
        <w:t>розраховується</w:t>
      </w:r>
      <w:proofErr w:type="spellEnd"/>
      <w:r w:rsidRPr="002C23F3">
        <w:rPr>
          <w:rFonts w:ascii="Times New Roman" w:hAnsi="Times New Roman"/>
        </w:rPr>
        <w:t xml:space="preserve"> з </w:t>
      </w:r>
      <w:proofErr w:type="spellStart"/>
      <w:r w:rsidRPr="002C23F3">
        <w:rPr>
          <w:rFonts w:ascii="Times New Roman" w:hAnsi="Times New Roman"/>
        </w:rPr>
        <w:t>урахуванням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графіку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погодинного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споживання</w:t>
      </w:r>
      <w:proofErr w:type="spellEnd"/>
      <w:r w:rsidRPr="002C23F3">
        <w:rPr>
          <w:rFonts w:ascii="Times New Roman" w:hAnsi="Times New Roman"/>
        </w:rPr>
        <w:t xml:space="preserve"> </w:t>
      </w:r>
      <w:proofErr w:type="spellStart"/>
      <w:r w:rsidRPr="002C23F3">
        <w:rPr>
          <w:rFonts w:ascii="Times New Roman" w:hAnsi="Times New Roman"/>
        </w:rPr>
        <w:t>Споживача</w:t>
      </w:r>
      <w:proofErr w:type="spellEnd"/>
      <w:r>
        <w:rPr>
          <w:rFonts w:ascii="Times New Roman" w:hAnsi="Times New Roman"/>
          <w:lang w:val="uk-UA"/>
        </w:rPr>
        <w:t>.</w:t>
      </w:r>
    </w:p>
    <w:p w14:paraId="689824AF" w14:textId="77777777" w:rsidR="005E2C3F" w:rsidRPr="00342003" w:rsidRDefault="005E2C3F" w:rsidP="005E2C3F">
      <w:pPr>
        <w:tabs>
          <w:tab w:val="left" w:pos="1134"/>
        </w:tabs>
        <w:jc w:val="both"/>
        <w:rPr>
          <w:rFonts w:ascii="Times New Roman" w:hAnsi="Times New Roman"/>
          <w:color w:val="000000"/>
        </w:rPr>
      </w:pPr>
    </w:p>
    <w:p w14:paraId="1702D2D3" w14:textId="05675413" w:rsidR="005E2C3F" w:rsidRPr="005E2C3F" w:rsidRDefault="005E2C3F" w:rsidP="005E2C3F">
      <w:pPr>
        <w:pStyle w:val="a3"/>
        <w:numPr>
          <w:ilvl w:val="1"/>
          <w:numId w:val="2"/>
        </w:numPr>
        <w:ind w:left="284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color w:val="000000"/>
          <w:lang w:val="uk-UA"/>
        </w:rPr>
        <w:t xml:space="preserve"> </w:t>
      </w:r>
      <w:r w:rsidRPr="00691281">
        <w:rPr>
          <w:rFonts w:ascii="Times New Roman" w:hAnsi="Times New Roman"/>
          <w:color w:val="000000"/>
          <w:lang w:val="uk-UA"/>
        </w:rPr>
        <w:t>Р</w:t>
      </w:r>
      <w:r w:rsidRPr="00F958D5">
        <w:rPr>
          <w:rFonts w:ascii="Times New Roman" w:hAnsi="Times New Roman"/>
          <w:color w:val="000000"/>
          <w:lang w:val="uk-UA"/>
        </w:rPr>
        <w:t>озрахунок вартості балансування відхилення</w:t>
      </w:r>
      <w:r w:rsidRPr="00F958D5">
        <w:rPr>
          <w:rFonts w:ascii="Times New Roman" w:hAnsi="Times New Roman"/>
          <w:lang w:val="uk-UA"/>
        </w:rPr>
        <w:t xml:space="preserve"> фактичного профілю від номінованого здійснюється згідно п.1.1.</w:t>
      </w:r>
    </w:p>
    <w:p w14:paraId="625EA199" w14:textId="681100B7" w:rsidR="005E2C3F" w:rsidRPr="005E2C3F" w:rsidRDefault="005E2C3F" w:rsidP="005E2C3F">
      <w:pPr>
        <w:pStyle w:val="a3"/>
        <w:numPr>
          <w:ilvl w:val="0"/>
          <w:numId w:val="2"/>
        </w:numPr>
        <w:jc w:val="both"/>
        <w:rPr>
          <w:rFonts w:ascii="Times New Roman" w:hAnsi="Times New Roman"/>
          <w:b/>
          <w:lang w:eastAsia="uk-UA"/>
        </w:rPr>
      </w:pPr>
      <w:r w:rsidRPr="00073442">
        <w:rPr>
          <w:rFonts w:ascii="Times New Roman" w:hAnsi="Times New Roman"/>
          <w:b/>
          <w:lang w:val="uk-UA" w:eastAsia="uk-UA"/>
        </w:rPr>
        <w:t xml:space="preserve">Порядок оплати електричної енергії Споживачем </w:t>
      </w:r>
      <w:r w:rsidRPr="00073442">
        <w:rPr>
          <w:rFonts w:ascii="Times New Roman" w:hAnsi="Times New Roman"/>
          <w:b/>
          <w:bCs/>
          <w:lang w:val="uk-UA" w:eastAsia="uk-UA"/>
        </w:rPr>
        <w:t>та порядок</w:t>
      </w:r>
      <w:r w:rsidRPr="00073442">
        <w:rPr>
          <w:rFonts w:ascii="Times New Roman" w:hAnsi="Times New Roman"/>
          <w:b/>
          <w:lang w:val="uk-UA" w:eastAsia="uk-UA"/>
        </w:rPr>
        <w:t xml:space="preserve"> надання рахунків за електричну енергію</w:t>
      </w:r>
      <w:r w:rsidRPr="00073442">
        <w:rPr>
          <w:rFonts w:ascii="Times New Roman" w:hAnsi="Times New Roman"/>
          <w:b/>
          <w:bCs/>
          <w:lang w:val="uk-UA" w:eastAsia="uk-UA"/>
        </w:rPr>
        <w:t>:</w:t>
      </w:r>
    </w:p>
    <w:p w14:paraId="72757453" w14:textId="77777777" w:rsidR="002D6736" w:rsidRPr="001B3E13" w:rsidRDefault="005E2C3F" w:rsidP="002D67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/>
          <w:b/>
          <w:lang w:val="uk-UA" w:eastAsia="uk-UA"/>
        </w:rPr>
        <w:t>Варіант 1:</w:t>
      </w:r>
      <w:r w:rsidRPr="005E2C3F">
        <w:rPr>
          <w:rFonts w:ascii="Times New Roman" w:hAnsi="Times New Roman" w:cs="Times New Roman"/>
          <w:sz w:val="24"/>
          <w:szCs w:val="24"/>
        </w:rPr>
        <w:t xml:space="preserve"> </w:t>
      </w:r>
      <w:r w:rsidRPr="002D6736">
        <w:rPr>
          <w:rFonts w:ascii="Times New Roman" w:hAnsi="Times New Roman" w:cs="Times New Roman"/>
          <w:b/>
          <w:bCs/>
          <w:sz w:val="24"/>
          <w:szCs w:val="24"/>
        </w:rPr>
        <w:t>до 2</w:t>
      </w:r>
      <w:r w:rsidRPr="002D6736">
        <w:rPr>
          <w:rFonts w:ascii="Times New Roman" w:hAnsi="Times New Roman" w:cs="Times New Roman"/>
          <w:b/>
          <w:bCs/>
          <w:sz w:val="24"/>
          <w:szCs w:val="24"/>
          <w:lang w:val="uk-UA"/>
        </w:rPr>
        <w:t>8</w:t>
      </w:r>
      <w:r w:rsidRPr="002D6736">
        <w:rPr>
          <w:rFonts w:ascii="Times New Roman" w:hAnsi="Times New Roman" w:cs="Times New Roman"/>
          <w:b/>
          <w:bCs/>
          <w:sz w:val="24"/>
          <w:szCs w:val="24"/>
        </w:rPr>
        <w:t xml:space="preserve"> –го числа </w:t>
      </w:r>
      <w:proofErr w:type="spellStart"/>
      <w:r w:rsidRPr="002D6736">
        <w:rPr>
          <w:rFonts w:ascii="Times New Roman" w:hAnsi="Times New Roman" w:cs="Times New Roman"/>
          <w:b/>
          <w:bCs/>
          <w:sz w:val="24"/>
          <w:szCs w:val="24"/>
        </w:rPr>
        <w:t>місяця</w:t>
      </w:r>
      <w:proofErr w:type="spellEnd"/>
      <w:r w:rsidRPr="00752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1D2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75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2">
        <w:rPr>
          <w:rFonts w:ascii="Times New Roman" w:hAnsi="Times New Roman" w:cs="Times New Roman"/>
          <w:sz w:val="24"/>
          <w:szCs w:val="24"/>
        </w:rPr>
        <w:t>передує</w:t>
      </w:r>
      <w:proofErr w:type="spellEnd"/>
      <w:r w:rsidRPr="0075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2">
        <w:rPr>
          <w:rFonts w:ascii="Times New Roman" w:hAnsi="Times New Roman" w:cs="Times New Roman"/>
          <w:sz w:val="24"/>
          <w:szCs w:val="24"/>
        </w:rPr>
        <w:t>розрахунковому</w:t>
      </w:r>
      <w:proofErr w:type="spellEnd"/>
      <w:r w:rsidRPr="0075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1D2">
        <w:rPr>
          <w:rFonts w:ascii="Times New Roman" w:hAnsi="Times New Roman" w:cs="Times New Roman"/>
          <w:sz w:val="24"/>
          <w:szCs w:val="24"/>
        </w:rPr>
        <w:t>періоду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-</w:t>
      </w:r>
      <w:r w:rsidRPr="002D6736">
        <w:rPr>
          <w:rFonts w:ascii="Times New Roman" w:hAnsi="Times New Roman" w:cs="Times New Roman"/>
          <w:b/>
          <w:bCs/>
          <w:sz w:val="24"/>
          <w:szCs w:val="24"/>
          <w:lang w:val="uk-UA"/>
        </w:rPr>
        <w:t>100% авансовий платіж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вартості замовленого обсягу електричної енергії. </w:t>
      </w:r>
      <w:r w:rsidR="002D6736" w:rsidRPr="00F40957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Остаточний платіж, по фактичному споживанню, здійснюється протягом 3-х робочих днів з моменту надання Постачальником Акту </w:t>
      </w:r>
      <w:r w:rsidR="002D6736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купівлі-продажу електричної енергії</w:t>
      </w:r>
      <w:r w:rsidR="002D6736" w:rsidRPr="001B3E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6F5565F0" w14:textId="1EFC96C1" w:rsidR="005E2C3F" w:rsidRPr="002D6736" w:rsidRDefault="005E2C3F" w:rsidP="005E2C3F">
      <w:pPr>
        <w:jc w:val="both"/>
        <w:rPr>
          <w:rFonts w:ascii="Times New Roman" w:hAnsi="Times New Roman"/>
          <w:b/>
          <w:lang w:eastAsia="uk-UA"/>
        </w:rPr>
      </w:pPr>
    </w:p>
    <w:p w14:paraId="636153B1" w14:textId="77777777" w:rsidR="002D6736" w:rsidRPr="001B3E13" w:rsidRDefault="005E2C3F" w:rsidP="002D67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/>
          <w:b/>
          <w:lang w:val="uk-UA" w:eastAsia="uk-UA"/>
        </w:rPr>
        <w:t>Варіант 2</w:t>
      </w:r>
      <w:r w:rsidR="002D673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д</w:t>
      </w:r>
      <w:r w:rsidRPr="00050C23">
        <w:rPr>
          <w:rFonts w:ascii="Times New Roman" w:hAnsi="Times New Roman" w:cs="Times New Roman"/>
          <w:b/>
          <w:sz w:val="24"/>
          <w:szCs w:val="24"/>
        </w:rPr>
        <w:t xml:space="preserve">о 10 числа </w:t>
      </w:r>
      <w:proofErr w:type="spellStart"/>
      <w:r w:rsidRPr="00050C23">
        <w:rPr>
          <w:rFonts w:ascii="Times New Roman" w:hAnsi="Times New Roman" w:cs="Times New Roman"/>
          <w:sz w:val="24"/>
          <w:szCs w:val="24"/>
        </w:rPr>
        <w:t>розрахункового</w:t>
      </w:r>
      <w:proofErr w:type="spellEnd"/>
      <w:r w:rsidRPr="0005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C23">
        <w:rPr>
          <w:rFonts w:ascii="Times New Roman" w:hAnsi="Times New Roman" w:cs="Times New Roman"/>
          <w:sz w:val="24"/>
          <w:szCs w:val="24"/>
        </w:rPr>
        <w:t>місяця</w:t>
      </w:r>
      <w:proofErr w:type="spellEnd"/>
      <w:r w:rsidRPr="00050C23">
        <w:rPr>
          <w:rFonts w:ascii="Times New Roman" w:hAnsi="Times New Roman" w:cs="Times New Roman"/>
          <w:sz w:val="24"/>
          <w:szCs w:val="24"/>
        </w:rPr>
        <w:t xml:space="preserve"> - </w:t>
      </w:r>
      <w:r w:rsidRPr="00050C23">
        <w:rPr>
          <w:rFonts w:ascii="Times New Roman" w:hAnsi="Times New Roman" w:cs="Times New Roman"/>
          <w:b/>
          <w:sz w:val="24"/>
          <w:szCs w:val="24"/>
        </w:rPr>
        <w:t xml:space="preserve">30 % </w:t>
      </w:r>
      <w:proofErr w:type="spellStart"/>
      <w:r w:rsidRPr="00050C23">
        <w:rPr>
          <w:rFonts w:ascii="Times New Roman" w:hAnsi="Times New Roman" w:cs="Times New Roman"/>
          <w:b/>
          <w:sz w:val="24"/>
          <w:szCs w:val="24"/>
        </w:rPr>
        <w:t>вартості</w:t>
      </w:r>
      <w:proofErr w:type="spellEnd"/>
      <w:r w:rsidRPr="00050C2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0C23">
        <w:rPr>
          <w:rFonts w:ascii="Times New Roman" w:hAnsi="Times New Roman" w:cs="Times New Roman"/>
          <w:sz w:val="24"/>
          <w:szCs w:val="24"/>
        </w:rPr>
        <w:t>заявленого</w:t>
      </w:r>
      <w:proofErr w:type="spellEnd"/>
      <w:r w:rsidRPr="0005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C23">
        <w:rPr>
          <w:rFonts w:ascii="Times New Roman" w:hAnsi="Times New Roman" w:cs="Times New Roman"/>
          <w:sz w:val="24"/>
          <w:szCs w:val="24"/>
        </w:rPr>
        <w:t>обсягу</w:t>
      </w:r>
      <w:proofErr w:type="spellEnd"/>
      <w:r w:rsidRPr="0005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C23">
        <w:rPr>
          <w:rFonts w:ascii="Times New Roman" w:hAnsi="Times New Roman" w:cs="Times New Roman"/>
          <w:sz w:val="24"/>
          <w:szCs w:val="24"/>
        </w:rPr>
        <w:t>споживання</w:t>
      </w:r>
      <w:proofErr w:type="spellEnd"/>
      <w:r w:rsidRPr="00050C2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д</w:t>
      </w:r>
      <w:r w:rsidRPr="00050C23">
        <w:rPr>
          <w:rFonts w:ascii="Times New Roman" w:hAnsi="Times New Roman" w:cs="Times New Roman"/>
          <w:b/>
          <w:sz w:val="24"/>
          <w:szCs w:val="24"/>
        </w:rPr>
        <w:t xml:space="preserve">о 20 числа </w:t>
      </w:r>
      <w:proofErr w:type="spellStart"/>
      <w:r w:rsidRPr="00050C23">
        <w:rPr>
          <w:rFonts w:ascii="Times New Roman" w:hAnsi="Times New Roman" w:cs="Times New Roman"/>
          <w:sz w:val="24"/>
          <w:szCs w:val="24"/>
        </w:rPr>
        <w:t>розрахункового</w:t>
      </w:r>
      <w:proofErr w:type="spellEnd"/>
      <w:r w:rsidRPr="0005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C23">
        <w:rPr>
          <w:rFonts w:ascii="Times New Roman" w:hAnsi="Times New Roman" w:cs="Times New Roman"/>
          <w:sz w:val="24"/>
          <w:szCs w:val="24"/>
        </w:rPr>
        <w:t>місяця</w:t>
      </w:r>
      <w:proofErr w:type="spellEnd"/>
      <w:r w:rsidRPr="00050C23">
        <w:rPr>
          <w:rFonts w:ascii="Times New Roman" w:hAnsi="Times New Roman" w:cs="Times New Roman"/>
          <w:sz w:val="24"/>
          <w:szCs w:val="24"/>
        </w:rPr>
        <w:t xml:space="preserve"> - </w:t>
      </w:r>
      <w:r w:rsidRPr="00050C23">
        <w:rPr>
          <w:rFonts w:ascii="Times New Roman" w:hAnsi="Times New Roman" w:cs="Times New Roman"/>
          <w:b/>
          <w:sz w:val="24"/>
          <w:szCs w:val="24"/>
        </w:rPr>
        <w:t xml:space="preserve">30 % </w:t>
      </w:r>
      <w:proofErr w:type="spellStart"/>
      <w:r w:rsidRPr="00050C23">
        <w:rPr>
          <w:rFonts w:ascii="Times New Roman" w:hAnsi="Times New Roman" w:cs="Times New Roman"/>
          <w:b/>
          <w:sz w:val="24"/>
          <w:szCs w:val="24"/>
        </w:rPr>
        <w:t>вартості</w:t>
      </w:r>
      <w:proofErr w:type="spellEnd"/>
      <w:r w:rsidRPr="00050C2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0C23">
        <w:rPr>
          <w:rFonts w:ascii="Times New Roman" w:hAnsi="Times New Roman" w:cs="Times New Roman"/>
          <w:sz w:val="24"/>
          <w:szCs w:val="24"/>
        </w:rPr>
        <w:t>заявленого</w:t>
      </w:r>
      <w:proofErr w:type="spellEnd"/>
      <w:r w:rsidRPr="0005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C23">
        <w:rPr>
          <w:rFonts w:ascii="Times New Roman" w:hAnsi="Times New Roman" w:cs="Times New Roman"/>
          <w:sz w:val="24"/>
          <w:szCs w:val="24"/>
        </w:rPr>
        <w:t>обсягу</w:t>
      </w:r>
      <w:proofErr w:type="spellEnd"/>
      <w:r w:rsidRPr="0005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C23">
        <w:rPr>
          <w:rFonts w:ascii="Times New Roman" w:hAnsi="Times New Roman" w:cs="Times New Roman"/>
          <w:sz w:val="24"/>
          <w:szCs w:val="24"/>
        </w:rPr>
        <w:t>споживання</w:t>
      </w:r>
      <w:proofErr w:type="spellEnd"/>
      <w:r w:rsidRPr="00050C2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д</w:t>
      </w:r>
      <w:r w:rsidRPr="00050C23">
        <w:rPr>
          <w:rFonts w:ascii="Times New Roman" w:hAnsi="Times New Roman" w:cs="Times New Roman"/>
          <w:b/>
          <w:sz w:val="24"/>
          <w:szCs w:val="24"/>
        </w:rPr>
        <w:t xml:space="preserve">о 30 числа </w:t>
      </w:r>
      <w:proofErr w:type="spellStart"/>
      <w:r w:rsidRPr="00050C23">
        <w:rPr>
          <w:rFonts w:ascii="Times New Roman" w:hAnsi="Times New Roman" w:cs="Times New Roman"/>
          <w:sz w:val="24"/>
          <w:szCs w:val="24"/>
        </w:rPr>
        <w:t>розрахункового</w:t>
      </w:r>
      <w:proofErr w:type="spellEnd"/>
      <w:r w:rsidRPr="0005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C23">
        <w:rPr>
          <w:rFonts w:ascii="Times New Roman" w:hAnsi="Times New Roman" w:cs="Times New Roman"/>
          <w:sz w:val="24"/>
          <w:szCs w:val="24"/>
        </w:rPr>
        <w:t>місяця</w:t>
      </w:r>
      <w:proofErr w:type="spellEnd"/>
      <w:r w:rsidRPr="00050C23">
        <w:rPr>
          <w:rFonts w:ascii="Times New Roman" w:hAnsi="Times New Roman" w:cs="Times New Roman"/>
          <w:sz w:val="24"/>
          <w:szCs w:val="24"/>
        </w:rPr>
        <w:t xml:space="preserve"> - </w:t>
      </w:r>
      <w:r w:rsidRPr="00050C23">
        <w:rPr>
          <w:rFonts w:ascii="Times New Roman" w:hAnsi="Times New Roman" w:cs="Times New Roman"/>
          <w:b/>
          <w:sz w:val="24"/>
          <w:szCs w:val="24"/>
        </w:rPr>
        <w:t xml:space="preserve">30 % </w:t>
      </w:r>
      <w:proofErr w:type="spellStart"/>
      <w:r w:rsidRPr="00050C23">
        <w:rPr>
          <w:rFonts w:ascii="Times New Roman" w:hAnsi="Times New Roman" w:cs="Times New Roman"/>
          <w:b/>
          <w:sz w:val="24"/>
          <w:szCs w:val="24"/>
        </w:rPr>
        <w:t>вартості</w:t>
      </w:r>
      <w:proofErr w:type="spellEnd"/>
      <w:r w:rsidRPr="00050C2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0C23">
        <w:rPr>
          <w:rFonts w:ascii="Times New Roman" w:hAnsi="Times New Roman" w:cs="Times New Roman"/>
          <w:sz w:val="24"/>
          <w:szCs w:val="24"/>
        </w:rPr>
        <w:t>заявленого</w:t>
      </w:r>
      <w:proofErr w:type="spellEnd"/>
      <w:r w:rsidRPr="0005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C23">
        <w:rPr>
          <w:rFonts w:ascii="Times New Roman" w:hAnsi="Times New Roman" w:cs="Times New Roman"/>
          <w:sz w:val="24"/>
          <w:szCs w:val="24"/>
        </w:rPr>
        <w:t>обсягу</w:t>
      </w:r>
      <w:proofErr w:type="spellEnd"/>
      <w:r w:rsidRPr="0005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C23">
        <w:rPr>
          <w:rFonts w:ascii="Times New Roman" w:hAnsi="Times New Roman" w:cs="Times New Roman"/>
          <w:sz w:val="24"/>
          <w:szCs w:val="24"/>
        </w:rPr>
        <w:t>споживання</w:t>
      </w:r>
      <w:proofErr w:type="spellEnd"/>
      <w:r w:rsidRPr="00050C23">
        <w:rPr>
          <w:rFonts w:ascii="Times New Roman" w:hAnsi="Times New Roman" w:cs="Times New Roman"/>
          <w:sz w:val="24"/>
          <w:szCs w:val="24"/>
        </w:rPr>
        <w:t>.</w:t>
      </w:r>
      <w:r w:rsidR="002D6736" w:rsidRPr="002D67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D6736" w:rsidRPr="00F40957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Остаточний платіж, по фактичному споживанню, здійснюється протягом 3-х робочих днів з моменту надання Постачальником Акту </w:t>
      </w:r>
      <w:r w:rsidR="002D6736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купівлі-продажу електричної енергії</w:t>
      </w:r>
      <w:r w:rsidR="002D6736" w:rsidRPr="001B3E1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AB7C1A2" w14:textId="27D4A9C2" w:rsidR="005E2C3F" w:rsidRPr="002D6736" w:rsidRDefault="005E2C3F" w:rsidP="005E2C3F">
      <w:pPr>
        <w:jc w:val="both"/>
        <w:rPr>
          <w:rFonts w:ascii="Times New Roman" w:hAnsi="Times New Roman"/>
          <w:b/>
          <w:lang w:eastAsia="uk-UA"/>
        </w:rPr>
      </w:pPr>
    </w:p>
    <w:p w14:paraId="636A4638" w14:textId="2212DAA2" w:rsidR="005E2C3F" w:rsidRPr="005E2C3F" w:rsidRDefault="005E2C3F" w:rsidP="005E2C3F">
      <w:pPr>
        <w:jc w:val="both"/>
        <w:rPr>
          <w:rFonts w:ascii="Times New Roman" w:hAnsi="Times New Roman"/>
          <w:b/>
          <w:lang w:val="uk-UA" w:eastAsia="uk-UA"/>
        </w:rPr>
      </w:pPr>
      <w:r>
        <w:rPr>
          <w:rFonts w:ascii="Times New Roman" w:hAnsi="Times New Roman"/>
          <w:b/>
          <w:lang w:val="uk-UA" w:eastAsia="uk-UA"/>
        </w:rPr>
        <w:t xml:space="preserve">Варіант 3. </w:t>
      </w:r>
      <w:r w:rsidRPr="00DC56F6">
        <w:rPr>
          <w:rFonts w:ascii="Times New Roman" w:hAnsi="Times New Roman"/>
          <w:sz w:val="24"/>
          <w:szCs w:val="24"/>
          <w:lang w:val="uk-UA" w:eastAsia="uk-UA"/>
        </w:rPr>
        <w:t xml:space="preserve"> Споживач сплачує за електричну енергію </w:t>
      </w:r>
      <w:r w:rsidRPr="002D6736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 факту місяця</w:t>
      </w:r>
      <w:r w:rsidRPr="00DC56F6">
        <w:rPr>
          <w:rFonts w:ascii="Times New Roman" w:hAnsi="Times New Roman" w:cs="Times New Roman"/>
          <w:sz w:val="24"/>
          <w:szCs w:val="24"/>
          <w:lang w:val="uk-UA"/>
        </w:rPr>
        <w:t xml:space="preserve"> споживання електричної енергії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D6736">
        <w:rPr>
          <w:rFonts w:ascii="Times New Roman" w:hAnsi="Times New Roman" w:cs="Times New Roman"/>
          <w:b/>
          <w:bCs/>
          <w:sz w:val="24"/>
          <w:szCs w:val="24"/>
          <w:lang w:val="uk-UA"/>
        </w:rPr>
        <w:t>до 5-го числа місяця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наступного за місяцем споживання; </w:t>
      </w:r>
    </w:p>
    <w:p w14:paraId="10E076A7" w14:textId="77777777" w:rsidR="005E2C3F" w:rsidRDefault="005E2C3F" w:rsidP="005E2C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E34AF9A" w14:textId="77777777" w:rsidR="005E2C3F" w:rsidRPr="00C438C5" w:rsidRDefault="005E2C3F" w:rsidP="005E2C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40957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2</w:t>
      </w:r>
      <w:r w:rsidRPr="00F40957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. Якщо сума здійсненої Споживачем оплати перевищує вартість вказаної в Акті 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купівлі-продажу </w:t>
      </w:r>
      <w:r w:rsidRPr="00BA2106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F40957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електричної енергії, надлишок перерахованих грошових коштів Постачальником </w:t>
      </w:r>
      <w:r w:rsidRPr="00F40957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lastRenderedPageBreak/>
        <w:t xml:space="preserve">зараховується як попередня оплата на наступний розрахунковий період або повертається Споживачу за його вимогою впродовж 5 (п’яти) банківських днів з дня надходження відповідної 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письмової вимоги Постачальнику.</w:t>
      </w:r>
    </w:p>
    <w:p w14:paraId="16414CA3" w14:textId="77777777" w:rsidR="005E2C3F" w:rsidRPr="00F40957" w:rsidRDefault="005E2C3F" w:rsidP="005E2C3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 w:rsidRPr="00F40957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 xml:space="preserve">Оплата послуг з розподілу здійснюється: </w:t>
      </w:r>
    </w:p>
    <w:p w14:paraId="6225CAB3" w14:textId="575E2E92" w:rsidR="005E2C3F" w:rsidRPr="00023A68" w:rsidRDefault="005E2C3F" w:rsidP="005E2C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0D9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3.1 Споживач здійснює плату за послугу з розподілу електричної енергії </w:t>
      </w:r>
      <w:r w:rsidR="002D6736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напряму оператору системи розподілу / через 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Постачальника</w:t>
      </w:r>
      <w:r w:rsidRPr="00D70D9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. Порядок оплати послуги з розподілу електричної енергії визначається згідно умов </w:t>
      </w:r>
      <w:r w:rsidRPr="00D70D92">
        <w:rPr>
          <w:rFonts w:ascii="Times New Roman" w:hAnsi="Times New Roman"/>
          <w:lang w:val="uk-UA"/>
        </w:rPr>
        <w:t xml:space="preserve">оператора </w:t>
      </w:r>
      <w:r w:rsidRPr="00D70D9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системи розподілу, що діє на території</w:t>
      </w:r>
      <w:r w:rsidRPr="00023A6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ліцензованої діяльності. </w:t>
      </w:r>
    </w:p>
    <w:p w14:paraId="5EDE2BCA" w14:textId="77777777" w:rsidR="005E2C3F" w:rsidRPr="00625D4A" w:rsidRDefault="005E2C3F" w:rsidP="005E2C3F">
      <w:pPr>
        <w:spacing w:after="0" w:line="240" w:lineRule="auto"/>
        <w:jc w:val="both"/>
        <w:rPr>
          <w:rFonts w:ascii="Times New Roman" w:hAnsi="Times New Roman"/>
          <w:lang w:val="uk-UA"/>
        </w:rPr>
      </w:pPr>
      <w:r w:rsidRPr="00625D4A">
        <w:rPr>
          <w:rFonts w:ascii="Times New Roman" w:hAnsi="Times New Roman"/>
          <w:b/>
          <w:lang w:val="uk-UA"/>
        </w:rPr>
        <w:t>4. Оплата послуг з передачі здійснюється</w:t>
      </w:r>
      <w:r w:rsidRPr="00625D4A">
        <w:rPr>
          <w:rFonts w:ascii="Times New Roman" w:hAnsi="Times New Roman"/>
          <w:lang w:val="uk-UA"/>
        </w:rPr>
        <w:t>:</w:t>
      </w:r>
    </w:p>
    <w:p w14:paraId="0C42BA67" w14:textId="77777777" w:rsidR="005E2C3F" w:rsidRDefault="005E2C3F" w:rsidP="005E2C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625D4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4.1 Споживач здійснює плату за послугу з передачі електричної енергії через Постачальника. Порядок оплати послуги з передачі електричної енергії визначається згі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дно  умов чинного законодавства.</w:t>
      </w:r>
    </w:p>
    <w:p w14:paraId="76F5C8F9" w14:textId="77777777" w:rsidR="005E2C3F" w:rsidRPr="00875D6E" w:rsidRDefault="005E2C3F" w:rsidP="005E2C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5. </w:t>
      </w:r>
      <w:r w:rsidRPr="000209A0">
        <w:rPr>
          <w:rFonts w:ascii="Times New Roman" w:hAnsi="Times New Roman"/>
          <w:b/>
          <w:lang w:val="uk-UA" w:eastAsia="uk-UA"/>
        </w:rPr>
        <w:t>Розмір неустойки за порушення строку оплати:</w:t>
      </w:r>
    </w:p>
    <w:p w14:paraId="4E2BE434" w14:textId="77777777" w:rsidR="005E2C3F" w:rsidRDefault="005E2C3F" w:rsidP="005E2C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5.1 </w:t>
      </w:r>
      <w:r w:rsidRPr="00F40957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У розмірі подвійної облікової ставки Національного банку України, що діяла в період, за який сплачується пеня, від суми несвоєчасно виконаного (не виконаного) грошового зобов’язання, за кожен день прострочення.</w:t>
      </w:r>
    </w:p>
    <w:p w14:paraId="04DE8087" w14:textId="77777777" w:rsidR="005E2C3F" w:rsidRPr="00875D6E" w:rsidRDefault="005E2C3F" w:rsidP="005E2C3F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/>
          <w:b/>
          <w:lang w:val="uk-UA" w:eastAsia="uk-UA"/>
        </w:rPr>
      </w:pPr>
      <w:r w:rsidRPr="00875D6E">
        <w:rPr>
          <w:rFonts w:ascii="Times New Roman" w:hAnsi="Times New Roman"/>
          <w:b/>
          <w:lang w:val="uk-UA" w:eastAsia="uk-UA"/>
        </w:rPr>
        <w:t>Розмір компенсації Споживачу за недодержання Постачальником якості надання комерційних послуг:</w:t>
      </w:r>
    </w:p>
    <w:p w14:paraId="66F56227" w14:textId="77777777" w:rsidR="005E2C3F" w:rsidRDefault="005E2C3F" w:rsidP="005E2C3F">
      <w:pPr>
        <w:pStyle w:val="a3"/>
        <w:numPr>
          <w:ilvl w:val="1"/>
          <w:numId w:val="3"/>
        </w:numPr>
        <w:ind w:left="0" w:firstLine="0"/>
        <w:jc w:val="both"/>
        <w:rPr>
          <w:rFonts w:ascii="Times New Roman" w:hAnsi="Times New Roman"/>
          <w:lang w:val="uk-UA" w:eastAsia="uk-UA"/>
        </w:rPr>
      </w:pPr>
      <w:r w:rsidRPr="00C50E70">
        <w:rPr>
          <w:rFonts w:ascii="Times New Roman" w:hAnsi="Times New Roman"/>
          <w:lang w:val="uk-UA" w:eastAsia="uk-UA"/>
        </w:rPr>
        <w:t>У розмірі встановленому Національною комісією, що здійснює державне регулювання у сферах енергетики та комунальних послуг (Регулятором).</w:t>
      </w:r>
    </w:p>
    <w:p w14:paraId="6EC36B53" w14:textId="77777777" w:rsidR="005E2C3F" w:rsidRDefault="005E2C3F" w:rsidP="005E2C3F">
      <w:pPr>
        <w:pStyle w:val="a3"/>
        <w:numPr>
          <w:ilvl w:val="0"/>
          <w:numId w:val="3"/>
        </w:numPr>
        <w:jc w:val="both"/>
        <w:rPr>
          <w:rFonts w:ascii="Times New Roman" w:hAnsi="Times New Roman"/>
          <w:b/>
          <w:bCs/>
          <w:lang w:val="uk-UA" w:eastAsia="uk-UA"/>
        </w:rPr>
      </w:pPr>
      <w:bookmarkStart w:id="0" w:name="_Hlk55469898"/>
      <w:bookmarkStart w:id="1" w:name="_Hlk55909147"/>
      <w:r w:rsidRPr="00D62ACF">
        <w:rPr>
          <w:rFonts w:ascii="Times New Roman" w:hAnsi="Times New Roman"/>
          <w:b/>
          <w:bCs/>
          <w:lang w:val="uk-UA" w:eastAsia="uk-UA"/>
        </w:rPr>
        <w:t>Донарахування за невідповідність заявленим обсягам споживання:</w:t>
      </w:r>
      <w:r>
        <w:rPr>
          <w:rFonts w:ascii="Times New Roman" w:hAnsi="Times New Roman"/>
          <w:b/>
          <w:bCs/>
          <w:lang w:val="uk-UA" w:eastAsia="uk-UA"/>
        </w:rPr>
        <w:t xml:space="preserve"> </w:t>
      </w:r>
    </w:p>
    <w:p w14:paraId="59F94457" w14:textId="77777777" w:rsidR="005E2C3F" w:rsidRPr="0005149C" w:rsidRDefault="005E2C3F" w:rsidP="005E2C3F">
      <w:pPr>
        <w:pStyle w:val="a3"/>
        <w:numPr>
          <w:ilvl w:val="1"/>
          <w:numId w:val="3"/>
        </w:numPr>
        <w:ind w:left="0" w:firstLine="0"/>
        <w:jc w:val="both"/>
        <w:rPr>
          <w:rFonts w:ascii="Times New Roman" w:hAnsi="Times New Roman"/>
          <w:lang w:val="uk-UA" w:eastAsia="uk-UA"/>
        </w:rPr>
      </w:pPr>
      <w:r w:rsidRPr="00D62ACF">
        <w:rPr>
          <w:rFonts w:ascii="Times New Roman" w:hAnsi="Times New Roman"/>
          <w:lang w:val="uk-UA" w:eastAsia="uk-UA"/>
        </w:rPr>
        <w:t>Постачальник не здійснює жодних нарахувань в разі  невідповідність фактичного обсягу споживання  заявленим обсягам споживання.</w:t>
      </w:r>
      <w:bookmarkEnd w:id="0"/>
    </w:p>
    <w:bookmarkEnd w:id="1"/>
    <w:p w14:paraId="4ABF9ABE" w14:textId="77777777" w:rsidR="005E2C3F" w:rsidRPr="00875D6E" w:rsidRDefault="005E2C3F" w:rsidP="005E2C3F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/>
          <w:lang w:val="uk-UA" w:eastAsia="uk-UA"/>
        </w:rPr>
      </w:pPr>
      <w:r w:rsidRPr="00875D6E">
        <w:rPr>
          <w:rFonts w:ascii="Times New Roman" w:hAnsi="Times New Roman"/>
          <w:b/>
          <w:lang w:val="uk-UA" w:eastAsia="uk-UA"/>
        </w:rPr>
        <w:t xml:space="preserve">Розмір штрафу за дострокове розірвання Споживачем Договору у випадках, не передбачених умовами Договору: </w:t>
      </w:r>
    </w:p>
    <w:p w14:paraId="33A03C66" w14:textId="77777777" w:rsidR="005E2C3F" w:rsidRPr="00D70D92" w:rsidRDefault="005E2C3F" w:rsidP="005E2C3F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7.1 </w:t>
      </w:r>
      <w:proofErr w:type="spellStart"/>
      <w:r w:rsidRPr="00C50E70">
        <w:rPr>
          <w:rFonts w:ascii="Times New Roman" w:hAnsi="Times New Roman" w:cs="Times New Roman"/>
          <w:sz w:val="24"/>
          <w:szCs w:val="24"/>
        </w:rPr>
        <w:t>Санкції</w:t>
      </w:r>
      <w:proofErr w:type="spellEnd"/>
      <w:r w:rsidRPr="00C50E7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C50E70">
        <w:rPr>
          <w:rFonts w:ascii="Times New Roman" w:hAnsi="Times New Roman" w:cs="Times New Roman"/>
          <w:sz w:val="24"/>
          <w:szCs w:val="24"/>
        </w:rPr>
        <w:t>дострокове</w:t>
      </w:r>
      <w:proofErr w:type="spellEnd"/>
      <w:r w:rsidRPr="00C5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E70">
        <w:rPr>
          <w:rFonts w:ascii="Times New Roman" w:hAnsi="Times New Roman" w:cs="Times New Roman"/>
          <w:sz w:val="24"/>
          <w:szCs w:val="24"/>
        </w:rPr>
        <w:t>припинення</w:t>
      </w:r>
      <w:proofErr w:type="spellEnd"/>
      <w:r w:rsidRPr="00C50E70">
        <w:rPr>
          <w:rFonts w:ascii="Times New Roman" w:hAnsi="Times New Roman" w:cs="Times New Roman"/>
          <w:sz w:val="24"/>
          <w:szCs w:val="24"/>
        </w:rPr>
        <w:t xml:space="preserve"> договору не </w:t>
      </w:r>
      <w:proofErr w:type="spellStart"/>
      <w:r w:rsidRPr="00C50E70">
        <w:rPr>
          <w:rFonts w:ascii="Times New Roman" w:hAnsi="Times New Roman" w:cs="Times New Roman"/>
          <w:sz w:val="24"/>
          <w:szCs w:val="24"/>
        </w:rPr>
        <w:t>нараховуються</w:t>
      </w:r>
      <w:proofErr w:type="spellEnd"/>
      <w:r w:rsidRPr="00C50E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0E70">
        <w:rPr>
          <w:rFonts w:ascii="Times New Roman" w:hAnsi="Times New Roman" w:cs="Times New Roman"/>
          <w:sz w:val="24"/>
          <w:szCs w:val="24"/>
        </w:rPr>
        <w:t>відсутні</w:t>
      </w:r>
      <w:proofErr w:type="spellEnd"/>
      <w:r w:rsidRPr="00C50E70">
        <w:rPr>
          <w:rFonts w:ascii="Times New Roman" w:hAnsi="Times New Roman" w:cs="Times New Roman"/>
          <w:sz w:val="24"/>
          <w:szCs w:val="24"/>
        </w:rPr>
        <w:t>)</w:t>
      </w:r>
      <w:r w:rsidRPr="00C50E7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C50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якщо повідомлення про таке </w:t>
      </w:r>
      <w:proofErr w:type="spellStart"/>
      <w:r w:rsidRPr="00C50E70">
        <w:rPr>
          <w:rFonts w:ascii="Times New Roman" w:hAnsi="Times New Roman" w:cs="Times New Roman"/>
          <w:sz w:val="24"/>
          <w:szCs w:val="24"/>
        </w:rPr>
        <w:t>дострокове</w:t>
      </w:r>
      <w:proofErr w:type="spellEnd"/>
      <w:r w:rsidRPr="00C50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E70">
        <w:rPr>
          <w:rFonts w:ascii="Times New Roman" w:hAnsi="Times New Roman" w:cs="Times New Roman"/>
          <w:sz w:val="24"/>
          <w:szCs w:val="24"/>
        </w:rPr>
        <w:t>припинення</w:t>
      </w:r>
      <w:proofErr w:type="spellEnd"/>
      <w:r w:rsidRPr="00C50E70">
        <w:rPr>
          <w:rFonts w:ascii="Times New Roman" w:hAnsi="Times New Roman" w:cs="Times New Roman"/>
          <w:sz w:val="24"/>
          <w:szCs w:val="24"/>
          <w:lang w:val="uk-UA"/>
        </w:rPr>
        <w:t xml:space="preserve"> надійшло</w:t>
      </w:r>
      <w:r w:rsidRPr="00C50E70">
        <w:rPr>
          <w:rFonts w:ascii="Times New Roman" w:hAnsi="Times New Roman" w:cs="Times New Roman"/>
          <w:sz w:val="24"/>
          <w:szCs w:val="24"/>
        </w:rPr>
        <w:t xml:space="preserve"> </w:t>
      </w:r>
      <w:r w:rsidRPr="00C50E70">
        <w:rPr>
          <w:rFonts w:ascii="Times New Roman" w:hAnsi="Times New Roman" w:cs="Times New Roman"/>
          <w:sz w:val="24"/>
          <w:szCs w:val="24"/>
          <w:lang w:val="uk-UA"/>
        </w:rPr>
        <w:t xml:space="preserve">не </w:t>
      </w:r>
      <w:r w:rsidRPr="00C50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пізніше ніж за 21 календарний день до дати початку нового розрахункового періоду.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14:paraId="2539D293" w14:textId="77777777" w:rsidR="005E2C3F" w:rsidRPr="00573F5F" w:rsidRDefault="005E2C3F" w:rsidP="005E2C3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8</w:t>
      </w:r>
      <w:r w:rsidRPr="00573F5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 xml:space="preserve">. Територія здійснення ліцензованої діяльності </w:t>
      </w:r>
    </w:p>
    <w:p w14:paraId="365009C0" w14:textId="77777777" w:rsidR="005E2C3F" w:rsidRPr="00D70D92" w:rsidRDefault="005E2C3F" w:rsidP="005E2C3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8.1 ТОВ «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Хайат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Естейт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» здійснює постачання електричної енергії на території  ліцензованої діяльності з розподілу/передачі електричної енергії енергорозподільчих підприємств України.</w:t>
      </w:r>
    </w:p>
    <w:p w14:paraId="3792D501" w14:textId="77777777" w:rsidR="005E2C3F" w:rsidRPr="00573F5F" w:rsidRDefault="005E2C3F" w:rsidP="005E2C3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9</w:t>
      </w:r>
      <w:r w:rsidRPr="00573F5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. Можливість надання пільг, субсидій.</w:t>
      </w:r>
    </w:p>
    <w:p w14:paraId="1702616E" w14:textId="77777777" w:rsidR="005E2C3F" w:rsidRPr="00D70D92" w:rsidRDefault="005E2C3F" w:rsidP="005E2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573F5F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9.1 </w:t>
      </w:r>
      <w:r w:rsidRPr="00573F5F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Не надаються.</w:t>
      </w:r>
    </w:p>
    <w:p w14:paraId="5160792C" w14:textId="77777777" w:rsidR="005E2C3F" w:rsidRPr="00573F5F" w:rsidRDefault="005E2C3F" w:rsidP="005E2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10</w:t>
      </w:r>
      <w:r w:rsidRPr="00573F5F"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  <w:t>Термін дії комерційної пропозиції:</w:t>
      </w:r>
    </w:p>
    <w:p w14:paraId="7D15805F" w14:textId="77777777" w:rsidR="005E2C3F" w:rsidRPr="009740D4" w:rsidRDefault="005E2C3F" w:rsidP="005E2C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10.1 </w:t>
      </w:r>
      <w:r w:rsidRPr="009740D4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Комерційна пропозиція 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дії до 31.12.2021 року.</w:t>
      </w:r>
    </w:p>
    <w:p w14:paraId="3CEAB239" w14:textId="77777777" w:rsidR="005E2C3F" w:rsidRDefault="005E2C3F" w:rsidP="005E2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12C41C56" w14:textId="77777777" w:rsidR="005E2C3F" w:rsidRDefault="005E2C3F" w:rsidP="005E2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87FCABD" w14:textId="77777777" w:rsidR="005E2C3F" w:rsidRPr="00F40957" w:rsidRDefault="005E2C3F" w:rsidP="005E2C3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uk-U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61"/>
        <w:gridCol w:w="4961"/>
      </w:tblGrid>
      <w:tr w:rsidR="005E2C3F" w:rsidRPr="00573F5F" w14:paraId="4F594EE4" w14:textId="77777777" w:rsidTr="00EC0E60">
        <w:tc>
          <w:tcPr>
            <w:tcW w:w="2500" w:type="pct"/>
            <w:shd w:val="clear" w:color="auto" w:fill="auto"/>
          </w:tcPr>
          <w:p w14:paraId="299170AE" w14:textId="77777777" w:rsidR="005E2C3F" w:rsidRPr="00F40957" w:rsidRDefault="005E2C3F" w:rsidP="00EC0E60">
            <w:pPr>
              <w:spacing w:after="0" w:line="240" w:lineRule="auto"/>
              <w:ind w:left="324" w:hanging="32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F409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Постачальник</w:t>
            </w:r>
            <w:r w:rsidRPr="00F409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uk-UA"/>
              </w:rPr>
              <w:t>:</w:t>
            </w:r>
          </w:p>
        </w:tc>
        <w:tc>
          <w:tcPr>
            <w:tcW w:w="2500" w:type="pct"/>
            <w:shd w:val="clear" w:color="auto" w:fill="auto"/>
          </w:tcPr>
          <w:p w14:paraId="4B9C89A5" w14:textId="77777777" w:rsidR="005E2C3F" w:rsidRPr="00F40957" w:rsidRDefault="005E2C3F" w:rsidP="00EC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uk-UA"/>
              </w:rPr>
              <w:t xml:space="preserve">          </w:t>
            </w:r>
            <w:r w:rsidRPr="00F409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uk-UA"/>
              </w:rPr>
              <w:t>Споживач</w:t>
            </w:r>
            <w:r w:rsidRPr="00F4095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:</w:t>
            </w:r>
          </w:p>
        </w:tc>
      </w:tr>
      <w:tr w:rsidR="005E2C3F" w:rsidRPr="00573F5F" w14:paraId="09C6DCBF" w14:textId="77777777" w:rsidTr="00EC0E60">
        <w:tc>
          <w:tcPr>
            <w:tcW w:w="2500" w:type="pct"/>
            <w:shd w:val="clear" w:color="auto" w:fill="auto"/>
          </w:tcPr>
          <w:p w14:paraId="30345367" w14:textId="77777777" w:rsidR="005E2C3F" w:rsidRPr="00F40957" w:rsidRDefault="005E2C3F" w:rsidP="00EC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F409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uk-UA"/>
              </w:rPr>
              <w:t>ТОВ «ХАЙАТ ЕСТЕЙТ»</w:t>
            </w:r>
          </w:p>
        </w:tc>
        <w:tc>
          <w:tcPr>
            <w:tcW w:w="2500" w:type="pct"/>
            <w:shd w:val="clear" w:color="auto" w:fill="auto"/>
          </w:tcPr>
          <w:p w14:paraId="62705056" w14:textId="77777777" w:rsidR="005E2C3F" w:rsidRPr="00F40957" w:rsidRDefault="005E2C3F" w:rsidP="00EC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F409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_____________</w:t>
            </w:r>
          </w:p>
        </w:tc>
      </w:tr>
      <w:tr w:rsidR="005E2C3F" w:rsidRPr="00F40957" w14:paraId="3DC5DCE5" w14:textId="77777777" w:rsidTr="00EC0E60">
        <w:tc>
          <w:tcPr>
            <w:tcW w:w="2500" w:type="pct"/>
            <w:shd w:val="clear" w:color="auto" w:fill="auto"/>
          </w:tcPr>
          <w:p w14:paraId="2D0F3546" w14:textId="77777777" w:rsidR="005E2C3F" w:rsidRDefault="005E2C3F" w:rsidP="00EC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</w:pPr>
          </w:p>
          <w:p w14:paraId="3B7B8683" w14:textId="77777777" w:rsidR="005E2C3F" w:rsidRPr="00F40957" w:rsidRDefault="005E2C3F" w:rsidP="00EC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  <w:t>Директор</w:t>
            </w:r>
            <w:r w:rsidRPr="003225C5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val="uk-UA" w:eastAsia="uk-UA"/>
              </w:rPr>
              <w:t xml:space="preserve">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  <w:t>Фененко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  <w:t xml:space="preserve"> П.О. </w:t>
            </w:r>
            <w:r w:rsidRPr="00F409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14:paraId="0CE41F64" w14:textId="77777777" w:rsidR="005E2C3F" w:rsidRDefault="005E2C3F" w:rsidP="00EC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</w:pPr>
          </w:p>
          <w:p w14:paraId="269503F7" w14:textId="77777777" w:rsidR="005E2C3F" w:rsidRPr="00933A44" w:rsidRDefault="005E2C3F" w:rsidP="00EC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uk-UA"/>
              </w:rPr>
              <w:t xml:space="preserve">        Директор     </w:t>
            </w:r>
            <w:r w:rsidRPr="00F409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__________ </w:t>
            </w:r>
          </w:p>
        </w:tc>
      </w:tr>
    </w:tbl>
    <w:p w14:paraId="6AB7FF93" w14:textId="77777777" w:rsidR="005E2C3F" w:rsidRPr="00C50E70" w:rsidRDefault="005E2C3F" w:rsidP="005E2C3F">
      <w:pPr>
        <w:tabs>
          <w:tab w:val="left" w:pos="641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uk-UA" w:eastAsia="uk-UA"/>
        </w:rPr>
        <w:t xml:space="preserve">                        </w:t>
      </w:r>
      <w:r w:rsidRPr="003225C5">
        <w:rPr>
          <w:rFonts w:ascii="Times New Roman" w:eastAsia="Times New Roman" w:hAnsi="Times New Roman" w:cs="Times New Roman"/>
          <w:i/>
          <w:sz w:val="20"/>
          <w:szCs w:val="20"/>
          <w:lang w:val="uk-UA" w:eastAsia="uk-UA"/>
        </w:rPr>
        <w:t>(підпис, МП)</w:t>
      </w:r>
      <w:r>
        <w:rPr>
          <w:rFonts w:ascii="Times New Roman" w:eastAsia="Times New Roman" w:hAnsi="Times New Roman" w:cs="Times New Roman"/>
          <w:i/>
          <w:sz w:val="20"/>
          <w:szCs w:val="20"/>
          <w:lang w:val="uk-UA" w:eastAsia="uk-UA"/>
        </w:rPr>
        <w:tab/>
        <w:t xml:space="preserve">                </w:t>
      </w:r>
      <w:r w:rsidRPr="003225C5">
        <w:rPr>
          <w:rFonts w:ascii="Times New Roman" w:eastAsia="Times New Roman" w:hAnsi="Times New Roman" w:cs="Times New Roman"/>
          <w:i/>
          <w:sz w:val="20"/>
          <w:szCs w:val="20"/>
          <w:lang w:val="uk-UA" w:eastAsia="uk-UA"/>
        </w:rPr>
        <w:t>(підпис, МП)</w:t>
      </w:r>
    </w:p>
    <w:p w14:paraId="2FD4A80F" w14:textId="77777777" w:rsidR="005E2C3F" w:rsidRDefault="005E2C3F" w:rsidP="005E2C3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C401262" w14:textId="77777777" w:rsidR="005E2C3F" w:rsidRDefault="005E2C3F" w:rsidP="005E2C3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10DDF4B" w14:textId="77777777" w:rsidR="005E2C3F" w:rsidRDefault="005E2C3F" w:rsidP="005E2C3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C3C01BB" w14:textId="77777777" w:rsidR="005E2C3F" w:rsidRDefault="005E2C3F" w:rsidP="005E2C3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51B59B3" w14:textId="77777777" w:rsidR="005E2C3F" w:rsidRDefault="005E2C3F" w:rsidP="005E2C3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7F3AE5A" w14:textId="77777777" w:rsidR="002D7BE0" w:rsidRDefault="002D7BE0" w:rsidP="005E2C3F">
      <w:pPr>
        <w:ind w:left="-993"/>
      </w:pPr>
    </w:p>
    <w:sectPr w:rsidR="002D7BE0" w:rsidSect="005E2C3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94E39"/>
    <w:multiLevelType w:val="multilevel"/>
    <w:tmpl w:val="6756C8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B422B29"/>
    <w:multiLevelType w:val="multilevel"/>
    <w:tmpl w:val="82546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2915B69"/>
    <w:multiLevelType w:val="multilevel"/>
    <w:tmpl w:val="9438D48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3F"/>
    <w:rsid w:val="002D6736"/>
    <w:rsid w:val="002D7BE0"/>
    <w:rsid w:val="005E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23E9"/>
  <w15:chartTrackingRefBased/>
  <w15:docId w15:val="{953FFE4D-33B2-4C78-973B-54286D05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C3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C3F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2021-02-13T11:52:00Z</dcterms:created>
  <dcterms:modified xsi:type="dcterms:W3CDTF">2021-02-13T12:05:00Z</dcterms:modified>
</cp:coreProperties>
</file>