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color w:val="0070C0"/>
          <w:sz w:val="36"/>
          <w:szCs w:val="36"/>
        </w:rPr>
      </w:pPr>
      <w:bookmarkStart w:id="0" w:name="_GoBack"/>
      <w:bookmarkEnd w:id="0"/>
      <w:r>
        <w:rPr>
          <w:rFonts w:eastAsia="Times New Roman" w:cs="Times New Roman" w:ascii="Chilanka" w:hAnsi="Chilanka"/>
          <w:b/>
          <w:bCs/>
          <w:i w:val="false"/>
          <w:iCs w:val="false"/>
          <w:color w:val="0070C0"/>
          <w:sz w:val="36"/>
          <w:szCs w:val="36"/>
        </w:rPr>
        <w:t xml:space="preserve">DATASET WINE </w:t>
      </w:r>
    </w:p>
    <w:p>
      <w:pPr>
        <w:pStyle w:val="Normal"/>
        <w:jc w:val="left"/>
        <w:rPr>
          <w:rFonts w:ascii="Times New Roman" w:hAnsi="Times New Roman" w:eastAsia="Times New Roman" w:cs="Times New Roman"/>
          <w:b w:val="false"/>
          <w:b w:val="false"/>
          <w:bCs w:val="false"/>
          <w:color w:val="auto"/>
          <w:sz w:val="22"/>
          <w:szCs w:val="22"/>
        </w:rPr>
      </w:pPr>
      <w:r>
        <w:rPr>
          <w:rFonts w:eastAsia="Times New Roman" w:cs="Times New Roman" w:ascii="Times New Roman" w:hAnsi="Times New Roman"/>
          <w:b w:val="false"/>
          <w:bCs w:val="false"/>
          <w:color w:val="auto"/>
          <w:sz w:val="22"/>
          <w:szCs w:val="22"/>
        </w:rPr>
        <w:t>Di seguito si riportano le osservazioni fatte durante l’analisi del dataset Wine, grazie all’impiego del software Orange Canvas.</w:t>
      </w:r>
    </w:p>
    <w:p>
      <w:pPr>
        <w:pStyle w:val="Normal"/>
        <w:jc w:val="left"/>
        <w:rPr>
          <w:rFonts w:ascii="Times New Roman" w:hAnsi="Times New Roman" w:eastAsia="Times New Roman" w:cs="Times New Roman"/>
          <w:b w:val="false"/>
          <w:b w:val="false"/>
          <w:bCs w:val="false"/>
          <w:color w:val="auto"/>
          <w:sz w:val="22"/>
          <w:szCs w:val="22"/>
        </w:rPr>
      </w:pPr>
      <w:r>
        <w:rPr>
          <w:rFonts w:eastAsia="Times New Roman" w:cs="Times New Roman" w:ascii="Times New Roman" w:hAnsi="Times New Roman"/>
          <w:b w:val="false"/>
          <w:bCs w:val="false"/>
          <w:color w:val="auto"/>
          <w:sz w:val="22"/>
          <w:szCs w:val="22"/>
        </w:rPr>
        <w:t xml:space="preserve">Si </w:t>
      </w:r>
      <w:r>
        <w:rPr>
          <w:rFonts w:eastAsia="Times New Roman" w:cs="Times New Roman" w:ascii="Times New Roman" w:hAnsi="Times New Roman"/>
          <w:color w:val="auto"/>
          <w:sz w:val="22"/>
          <w:szCs w:val="22"/>
          <w:lang w:val="it-IT"/>
        </w:rPr>
        <w:t>è</w:t>
      </w:r>
      <w:r>
        <w:rPr>
          <w:rFonts w:eastAsia="Times New Roman" w:cs="Times New Roman" w:ascii="Times New Roman" w:hAnsi="Times New Roman"/>
          <w:b w:val="false"/>
          <w:bCs w:val="false"/>
          <w:color w:val="auto"/>
          <w:sz w:val="22"/>
          <w:szCs w:val="22"/>
        </w:rPr>
        <w:t xml:space="preserve"> iniziato dando uno sguardo ai vari dati presenti nel database: 3 tipologie differenti di vini (la nostra variabile dipendente), e 13 attributi (le variabili indipendenti) rappresentati alcune caratteristiche chimiche del vino (intensit</w:t>
      </w:r>
      <w:r>
        <w:rPr>
          <w:rFonts w:eastAsia="Times New Roman" w:cs="Times New Roman" w:ascii="Times New Roman" w:hAnsi="Times New Roman"/>
          <w:color w:val="auto"/>
          <w:sz w:val="22"/>
          <w:szCs w:val="22"/>
          <w:lang w:val="it-IT"/>
        </w:rPr>
        <w:t>à</w:t>
      </w:r>
      <w:r>
        <w:rPr>
          <w:rFonts w:eastAsia="Times New Roman" w:cs="Times New Roman" w:ascii="Times New Roman" w:hAnsi="Times New Roman"/>
          <w:b w:val="false"/>
          <w:bCs w:val="false"/>
          <w:color w:val="auto"/>
          <w:sz w:val="22"/>
          <w:szCs w:val="22"/>
        </w:rPr>
        <w:t xml:space="preserve"> del colore, flavonoidi, alcol, acido malitico...). </w:t>
      </w:r>
    </w:p>
    <w:p>
      <w:pPr>
        <w:pStyle w:val="Normal"/>
        <w:jc w:val="left"/>
        <w:rPr>
          <w:rFonts w:ascii="Times New Roman" w:hAnsi="Times New Roman" w:eastAsia="Times New Roman" w:cs="Times New Roman"/>
          <w:b w:val="false"/>
          <w:b w:val="false"/>
          <w:bCs w:val="false"/>
          <w:color w:val="auto"/>
          <w:sz w:val="22"/>
          <w:szCs w:val="22"/>
        </w:rPr>
      </w:pPr>
      <w:r>
        <w:rPr>
          <w:rFonts w:eastAsia="Times New Roman" w:cs="Times New Roman" w:ascii="Times New Roman" w:hAnsi="Times New Roman"/>
          <w:b w:val="false"/>
          <w:bCs w:val="false"/>
          <w:color w:val="auto"/>
          <w:sz w:val="22"/>
          <w:szCs w:val="22"/>
        </w:rPr>
        <w:t xml:space="preserve">L’obiettivo </w:t>
      </w:r>
      <w:r>
        <w:rPr>
          <w:rFonts w:eastAsia="Times New Roman" w:cs="Times New Roman" w:ascii="Times New Roman" w:hAnsi="Times New Roman"/>
          <w:color w:val="auto"/>
          <w:sz w:val="22"/>
          <w:szCs w:val="22"/>
          <w:lang w:val="it-IT"/>
        </w:rPr>
        <w:t>è</w:t>
      </w:r>
      <w:r>
        <w:rPr>
          <w:rFonts w:eastAsia="Times New Roman" w:cs="Times New Roman" w:ascii="Times New Roman" w:hAnsi="Times New Roman"/>
          <w:b w:val="false"/>
          <w:bCs w:val="false"/>
          <w:color w:val="auto"/>
          <w:sz w:val="22"/>
          <w:szCs w:val="22"/>
        </w:rPr>
        <w:t xml:space="preserve"> quello di adottando l’algoritmo non supervisionato k-Means, essere in grado di predire in base alle variabili prese in esame di volta in volta, se si sta parlando del vino di tipo 1, 2 oppure 3.</w:t>
      </w:r>
    </w:p>
    <w:p>
      <w:pPr>
        <w:pStyle w:val="Normal"/>
        <w:jc w:val="left"/>
        <w:rPr/>
      </w:pPr>
      <w:r>
        <w:rPr>
          <w:rFonts w:eastAsia="Times New Roman" w:cs="Times New Roman" w:ascii="Times New Roman" w:hAnsi="Times New Roman"/>
          <w:b w:val="false"/>
          <w:bCs w:val="false"/>
          <w:color w:val="auto"/>
          <w:sz w:val="22"/>
          <w:szCs w:val="22"/>
        </w:rPr>
        <w:t xml:space="preserve">Innanzitutto avendo a disposizione una cospicua quantità di covariate, si è cercato di individuare quelle che effettivamente fossero portatrici di informazione utile alla trattazione del nostro problema: non è infatti poco frequente che più dati vogliano dire in realtà la medesima cosa, risultando quindi inutili a livello pratico. Si è quindi deciso di impiegare il metodo delle </w:t>
      </w:r>
      <w:r>
        <w:rPr>
          <w:rFonts w:eastAsia="Times New Roman" w:cs="Times New Roman" w:ascii="Times New Roman" w:hAnsi="Times New Roman"/>
          <w:b w:val="false"/>
          <w:bCs w:val="false"/>
          <w:i/>
          <w:iCs/>
          <w:color w:val="auto"/>
          <w:sz w:val="22"/>
          <w:szCs w:val="22"/>
        </w:rPr>
        <w:t>Principal</w:t>
      </w:r>
      <w:r>
        <w:rPr>
          <w:rFonts w:eastAsia="Times New Roman" w:cs="Times New Roman" w:ascii="Times New Roman" w:hAnsi="Times New Roman"/>
          <w:b w:val="false"/>
          <w:bCs w:val="false"/>
          <w:i/>
          <w:iCs/>
          <w:color w:val="auto"/>
          <w:sz w:val="22"/>
          <w:szCs w:val="22"/>
          <w:lang w:val="it-IT"/>
        </w:rPr>
        <w:t xml:space="preserve"> Component Analysis (PCA).</w:t>
      </w:r>
      <w:r>
        <w:rPr>
          <w:rFonts w:eastAsia="Times New Roman" w:cs="Times New Roman" w:ascii="Times New Roman" w:hAnsi="Times New Roman"/>
          <w:b w:val="false"/>
          <w:bCs w:val="false"/>
          <w:i w:val="false"/>
          <w:iCs w:val="false"/>
          <w:color w:val="auto"/>
          <w:sz w:val="22"/>
          <w:szCs w:val="22"/>
          <w:lang w:val="it-IT"/>
        </w:rPr>
        <w:t xml:space="preserve"> Tale strategia sfrutta il fatto che i punti possono essere trasformati in vettori</w:t>
      </w:r>
      <w:r>
        <w:rPr>
          <w:rFonts w:eastAsia="Times New Roman" w:cs="Times New Roman" w:ascii="Times New Roman" w:hAnsi="Times New Roman"/>
          <w:sz w:val="22"/>
          <w:szCs w:val="22"/>
          <w:lang w:val="it-IT"/>
        </w:rPr>
        <w:t xml:space="preserve"> tramite una trasformazione lineare delle variabili; in tal modo si ottengono delle nuove variabili che vengono proiettate nei vari assi del piano cartesiano in base al risultato della loro varianza: la nuova variabile con la maggiore varianza viene proiettata sul primo asse, la seconda per dimensione della varianza, sul secondo e così via. La riduzione della complessità avviene a questo punto limitandosi a trattenere le variabili che presentano le varianze più significative. </w:t>
      </w:r>
    </w:p>
    <w:p>
      <w:pPr>
        <w:pStyle w:val="Normal"/>
        <w:jc w:val="left"/>
        <w:rPr>
          <w:rFonts w:ascii="Times New Roman" w:hAnsi="Times New Roman" w:eastAsia="Times New Roman" w:cs="Times New Roman"/>
          <w:sz w:val="22"/>
          <w:szCs w:val="22"/>
          <w:lang w:val="it-IT"/>
        </w:rPr>
      </w:pPr>
      <w:r>
        <w:rPr>
          <w:rFonts w:eastAsia="Times New Roman" w:cs="Times New Roman" w:ascii="Times New Roman" w:hAnsi="Times New Roman"/>
          <w:sz w:val="22"/>
          <w:szCs w:val="22"/>
          <w:lang w:val="it-IT"/>
        </w:rPr>
        <w:t>Utilizzando il widget PCA si è provveduto a fare tale riduzione di dimensionalità: l’80% di varianza spiegata è stata ritenuta un buon valore soglia da impiegare, che ha permesso di ridurre il numero di variabili da 13 a 5.</w:t>
      </w:r>
    </w:p>
    <w:p>
      <w:pPr>
        <w:pStyle w:val="Normal"/>
        <w:jc w:val="left"/>
        <w:rPr/>
      </w:pPr>
      <w:r>
        <w:rPr>
          <w:rFonts w:eastAsia="Times New Roman" w:cs="Times New Roman" w:ascii="Times New Roman" w:hAnsi="Times New Roman"/>
          <w:sz w:val="22"/>
          <w:szCs w:val="22"/>
          <w:lang w:val="it-IT"/>
        </w:rPr>
        <w:t>Successivamente si è applicato l’algoritmo non supervisionato k-Means. A tal proposito si evidenzia come da un primo sguardo sulla distribuzione dei dati, si era già osservato che essi molto probabilmente risultavano essere un po’ troppo “sparpagliati” per poter adattarsi completamente al suddetto algoritmo, che presenta invece l’apice della sua performance su distribuzioni a grappolo e ben concentrare. Si è comunque ritenuta questa una buona opportunità per osservare come anche in situazioni non pienamente idonee esso si sarebbe comportato, esaminando inoltre quali siano gli strumenti e le strategie che si possono impiegare per individuare i punti dove l’algoritmo di clustering fallisce.</w:t>
      </w:r>
    </w:p>
    <w:p>
      <w:pPr>
        <w:pStyle w:val="Normal"/>
        <w:jc w:val="left"/>
        <w:rPr/>
      </w:pPr>
      <w:r>
        <w:rPr>
          <w:rFonts w:eastAsia="Times New Roman" w:cs="Times New Roman" w:ascii="Times New Roman" w:hAnsi="Times New Roman"/>
          <w:sz w:val="22"/>
          <w:szCs w:val="22"/>
          <w:lang w:val="it-IT"/>
        </w:rPr>
        <w:t>Per avere una visione più precisa della situazione si è applicato il widget Interactive k-Means che permette di mostrare il funzionamento dell’algoritmo di clustering. È stato quindi possibile vedere come stabilendo un numero di cluster pari a 3 (equivalente al numero di tipologie di vini), questo vada a posizionare i centroidi e successivamente a distribuirvi i vari punti attorno, assegnandovi l’appartenenza ad un cluster oppure ad un altro in base alla loro distanza. Confrontando tale distribuzione con quella di partenza già a questo punto si può notare come in realtà l’algoritmo attribuisca con un certo margine di errore i punti ai vari cluster.</w:t>
      </w:r>
    </w:p>
    <w:p>
      <w:pPr>
        <w:pStyle w:val="Normal"/>
        <w:jc w:val="left"/>
        <w:rPr>
          <w:rFonts w:ascii="Times New Roman" w:hAnsi="Times New Roman" w:eastAsia="Times New Roman" w:cs="Times New Roman"/>
          <w:sz w:val="22"/>
          <w:szCs w:val="22"/>
          <w:lang w:val="it-IT"/>
        </w:rPr>
      </w:pPr>
      <w:r>
        <w:rPr>
          <w:rFonts w:eastAsia="Times New Roman" w:cs="Times New Roman" w:ascii="Times New Roman" w:hAnsi="Times New Roman"/>
          <w:sz w:val="22"/>
          <w:szCs w:val="22"/>
          <w:lang w:val="it-IT"/>
        </w:rPr>
        <w:t>Successivamente si è andati ad applicare l’algoritmo non supervisionato. Gli esiti sono stati esaminati singolarmente, grazie al widget SelectRow che isolando un cluster alla volta ha permesso di vedere quanti mach o missmatch si fossero verificati in rapporto col grafico originario. Ci si è inoltre fatti aiutare al widget Distributions per avere una visione ancora più chiara del tutto.</w:t>
      </w:r>
    </w:p>
    <w:p>
      <w:pPr>
        <w:pStyle w:val="Normal"/>
        <w:jc w:val="left"/>
        <w:rPr>
          <w:rFonts w:ascii="Times New Roman" w:hAnsi="Times New Roman" w:eastAsia="Times New Roman" w:cs="Times New Roman"/>
          <w:sz w:val="22"/>
          <w:szCs w:val="22"/>
          <w:lang w:val="it-IT"/>
        </w:rPr>
      </w:pPr>
      <w:r>
        <w:rPr>
          <w:rFonts w:eastAsia="Times New Roman" w:cs="Times New Roman" w:ascii="Times New Roman" w:hAnsi="Times New Roman"/>
          <w:sz w:val="22"/>
          <w:szCs w:val="22"/>
          <w:lang w:val="it-IT"/>
        </w:rPr>
      </w:r>
    </w:p>
    <w:p>
      <w:pPr>
        <w:pStyle w:val="Normal"/>
        <w:jc w:val="left"/>
        <w:rPr/>
      </w:pPr>
      <w:r>
        <w:rPr>
          <w:rFonts w:eastAsia="Times New Roman" w:cs="Times New Roman" w:ascii="Times New Roman" w:hAnsi="Times New Roman"/>
          <w:sz w:val="22"/>
          <w:szCs w:val="22"/>
          <w:lang w:val="it-IT"/>
        </w:rPr>
        <w:t xml:space="preserve"> </w:t>
      </w:r>
      <w:r>
        <w:rPr>
          <w:rFonts w:eastAsia="Times New Roman" w:cs="Times New Roman" w:ascii="Times New Roman" w:hAnsi="Times New Roman"/>
          <w:sz w:val="22"/>
          <w:szCs w:val="22"/>
          <w:lang w:val="it-IT"/>
        </w:rPr>
        <w:t>A seguire si includono alcune immagini esplicative di quanto appena enunciato.</w:t>
      </w:r>
    </w:p>
    <w:p>
      <w:pPr>
        <w:pStyle w:val="Normal"/>
        <w:jc w:val="center"/>
        <w:rPr>
          <w:b w:val="false"/>
          <w:b w:val="false"/>
          <w:bCs w:val="false"/>
          <w:i/>
          <w:i/>
          <w:i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88710" cy="3481070"/>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6188710" cy="3481070"/>
                    </a:xfrm>
                    <a:prstGeom prst="rect">
                      <a:avLst/>
                    </a:prstGeom>
                  </pic:spPr>
                </pic:pic>
              </a:graphicData>
            </a:graphic>
          </wp:anchor>
        </w:drawing>
      </w:r>
      <w:r>
        <w:rPr>
          <w:rFonts w:ascii="Times New Roman" w:hAnsi="Times New Roman"/>
          <w:b w:val="false"/>
          <w:bCs w:val="false"/>
          <w:i/>
          <w:iCs/>
        </w:rPr>
        <w:t>F</w:t>
      </w:r>
      <w:r>
        <w:rPr>
          <w:rFonts w:ascii="Times New Roman" w:hAnsi="Times New Roman"/>
          <w:b w:val="false"/>
          <w:bCs w:val="false"/>
          <w:i/>
          <w:iCs/>
        </w:rPr>
        <w:t>igura 1:  Grafici dei dati  (Wine) – Orange Canvas</w:t>
      </w:r>
    </w:p>
    <w:p>
      <w:pPr>
        <w:pStyle w:val="Normal"/>
        <w:spacing w:beforeAutospacing="0" w:before="0" w:after="160"/>
        <w:jc w:val="left"/>
        <w:rPr/>
      </w:pPr>
      <w:r>
        <w:rPr>
          <w:rFonts w:eastAsia="Times New Roman" w:cs="Times New Roman" w:ascii="Times New Roman" w:hAnsi="Times New Roman"/>
        </w:rPr>
        <w:t>Come si pu</w:t>
      </w:r>
      <w:r>
        <w:rPr>
          <w:rFonts w:eastAsia="Times New Roman" w:cs="Times New Roman" w:ascii="Times New Roman" w:hAnsi="Times New Roman"/>
          <w:sz w:val="22"/>
          <w:szCs w:val="22"/>
          <w:lang w:val="it-IT"/>
        </w:rPr>
        <w:t>ò</w:t>
      </w:r>
      <w:r>
        <w:rPr>
          <w:rFonts w:eastAsia="Times New Roman" w:cs="Times New Roman" w:ascii="Times New Roman" w:hAnsi="Times New Roman"/>
        </w:rPr>
        <w:t xml:space="preserve"> notare a ciascuna famiglia di vino corrisponde un differente colore: azzurro, rosso o verde; appare chiaro come sia complicato in realt</w:t>
      </w:r>
      <w:r>
        <w:rPr>
          <w:rFonts w:eastAsia="Times New Roman" w:cs="Times New Roman" w:ascii="Times New Roman" w:hAnsi="Times New Roman"/>
          <w:sz w:val="22"/>
          <w:szCs w:val="22"/>
          <w:lang w:val="it-IT"/>
        </w:rPr>
        <w:t xml:space="preserve">à </w:t>
      </w:r>
      <w:r>
        <w:rPr>
          <w:rFonts w:eastAsia="Times New Roman" w:cs="Times New Roman" w:ascii="Times New Roman" w:hAnsi="Times New Roman"/>
        </w:rPr>
        <w:t xml:space="preserve">individuare una precisa separazione fra le classi, molti sono infatti i punti border-line o che entrano dentro l’area della classe sorella. </w:t>
      </w:r>
    </w:p>
    <w:p>
      <w:pPr>
        <w:pStyle w:val="Normal"/>
        <w:jc w:val="left"/>
        <w:rPr>
          <w:rFonts w:ascii="Times New Roman" w:hAnsi="Times New Roman" w:eastAsia="Times New Roman" w:cs="Times New Roman"/>
        </w:rPr>
      </w:pPr>
      <w:r>
        <w:rPr>
          <w:rFonts w:eastAsia="Times New Roman" w:cs="Times New Roman" w:ascii="Times New Roman" w:hAnsi="Times New Roman"/>
        </w:rPr>
        <w:t>Nel dettaglio si presenta:</w:t>
      </w:r>
    </w:p>
    <w:p>
      <w:pPr>
        <w:pStyle w:val="ListParagraph"/>
        <w:numPr>
          <w:ilvl w:val="0"/>
          <w:numId w:val="1"/>
        </w:numPr>
        <w:jc w:val="left"/>
        <w:rPr>
          <w:rFonts w:ascii="Times New Roman" w:hAnsi="Times New Roman" w:eastAsia="Times New Roman" w:cs="Times New Roman"/>
          <w:sz w:val="22"/>
          <w:szCs w:val="22"/>
        </w:rPr>
      </w:pPr>
      <w:r>
        <w:rPr>
          <w:rFonts w:eastAsia="Times New Roman" w:cs="Times New Roman" w:ascii="Times New Roman" w:hAnsi="Times New Roman"/>
        </w:rPr>
        <w:t>in alto: trasformazione dei dati una volta applicata la tecnica PCA;</w:t>
      </w:r>
    </w:p>
    <w:p>
      <w:pPr>
        <w:pStyle w:val="ListParagraph"/>
        <w:numPr>
          <w:ilvl w:val="0"/>
          <w:numId w:val="1"/>
        </w:numPr>
        <w:jc w:val="left"/>
        <w:rPr>
          <w:sz w:val="22"/>
          <w:szCs w:val="22"/>
        </w:rPr>
      </w:pPr>
      <w:r>
        <w:rPr>
          <w:rFonts w:eastAsia="Times New Roman" w:cs="Times New Roman" w:ascii="Times New Roman" w:hAnsi="Times New Roman"/>
        </w:rPr>
        <w:t xml:space="preserve"> </w:t>
      </w:r>
      <w:r>
        <w:rPr>
          <w:rFonts w:eastAsia="Times New Roman" w:cs="Times New Roman" w:ascii="Times New Roman" w:hAnsi="Times New Roman"/>
        </w:rPr>
        <w:t>sotto: redistribuzione a seguito dell’applicazione dell’algoritmo k-Means con evidenziazione dei centroidi;</w:t>
      </w:r>
    </w:p>
    <w:p>
      <w:pPr>
        <w:pStyle w:val="ListParagraph"/>
        <w:numPr>
          <w:ilvl w:val="0"/>
          <w:numId w:val="1"/>
        </w:numPr>
        <w:jc w:val="left"/>
        <w:rPr>
          <w:sz w:val="22"/>
          <w:szCs w:val="22"/>
        </w:rPr>
      </w:pPr>
      <w:r>
        <w:rPr>
          <w:rFonts w:eastAsia="Times New Roman" w:cs="Times New Roman" w:ascii="Times New Roman" w:hAnsi="Times New Roman"/>
        </w:rPr>
        <w:t xml:space="preserve"> </w:t>
      </w:r>
      <w:r>
        <w:rPr>
          <w:rFonts w:eastAsia="Times New Roman" w:cs="Times New Roman" w:ascii="Times New Roman" w:hAnsi="Times New Roman"/>
        </w:rPr>
        <w:t>a destra: in relazione alla classe 2 (rossa), come in realt</w:t>
      </w:r>
      <w:r>
        <w:rPr>
          <w:rFonts w:eastAsia="Times New Roman" w:cs="Times New Roman" w:ascii="Times New Roman" w:hAnsi="Times New Roman"/>
          <w:sz w:val="22"/>
          <w:szCs w:val="22"/>
          <w:lang w:val="it-IT"/>
        </w:rPr>
        <w:t>à</w:t>
      </w:r>
      <w:r>
        <w:rPr>
          <w:rFonts w:eastAsia="Times New Roman" w:cs="Times New Roman" w:ascii="Times New Roman" w:hAnsi="Times New Roman"/>
        </w:rPr>
        <w:t xml:space="preserve"> l’algoritmo vi consideri facenti parte anche alcuni punti verdi e altri blu, escludendone altri di rossi.</w:t>
      </w:r>
    </w:p>
    <w:p>
      <w:pPr>
        <w:pStyle w:val="Normal"/>
        <w:jc w:val="left"/>
        <w:rPr/>
      </w:pPr>
      <w:r>
        <w:rPr>
          <w:rFonts w:eastAsia="Times New Roman" w:cs="Times New Roman" w:ascii="Times New Roman" w:hAnsi="Times New Roman"/>
        </w:rPr>
        <w:t xml:space="preserve">Un altro argomento trattato che ha permesso di comprendere meglio il problema di attribuire ai vari punti il cluster corretto, </w:t>
      </w:r>
      <w:r>
        <w:rPr>
          <w:rFonts w:eastAsia="Times New Roman" w:cs="Times New Roman" w:ascii="Times New Roman" w:hAnsi="Times New Roman"/>
          <w:sz w:val="22"/>
          <w:szCs w:val="22"/>
          <w:lang w:val="it-IT"/>
        </w:rPr>
        <w:t>è</w:t>
      </w:r>
      <w:r>
        <w:rPr>
          <w:rFonts w:eastAsia="Times New Roman" w:cs="Times New Roman" w:ascii="Times New Roman" w:hAnsi="Times New Roman"/>
        </w:rPr>
        <w:t xml:space="preserve"> stato quello di </w:t>
      </w:r>
      <w:bookmarkStart w:id="1" w:name="docs-internal-guid-219b464a-7fff-565d-c4"/>
      <w:bookmarkEnd w:id="1"/>
      <w:r>
        <w:rPr>
          <w:rFonts w:eastAsia="Times New Roman" w:cs="Times New Roman" w:ascii="Times New Roman" w:hAnsi="Times New Roman"/>
          <w:b w:val="false"/>
          <w:i/>
          <w:iCs/>
          <w:caps w:val="false"/>
          <w:smallCaps w:val="false"/>
          <w:strike w:val="false"/>
          <w:dstrike w:val="false"/>
          <w:color w:val="000000"/>
          <w:sz w:val="22"/>
          <w:szCs w:val="22"/>
          <w:u w:val="none"/>
          <w:effect w:val="none"/>
        </w:rPr>
        <w:t>Silhouette</w:t>
      </w:r>
      <w:r>
        <w:rPr>
          <w:rFonts w:eastAsia="Times New Roman" w:cs="Times New Roman" w:ascii="Times New Roman" w:hAnsi="Times New Roman"/>
        </w:rPr>
        <w:t>.</w:t>
      </w:r>
    </w:p>
    <w:p>
      <w:pPr>
        <w:pStyle w:val="Normal"/>
        <w:jc w:val="left"/>
        <w:rPr/>
      </w:pPr>
      <w:r>
        <w:rPr>
          <w:rFonts w:eastAsia="Times New Roman" w:cs="Times New Roman" w:ascii="Times New Roman" w:hAnsi="Times New Roman"/>
        </w:rPr>
        <w:t xml:space="preserve">Indicatore di quanto un punto sia coeso rispetto al cluster attribuitogli, muovendosi in un intervallo da 0 ad 1, evidenzia come </w:t>
      </w:r>
      <w:r>
        <w:rPr>
          <w:rFonts w:eastAsia="Times New Roman" w:cs="Times New Roman" w:ascii="Times New Roman" w:hAnsi="Times New Roman"/>
          <w:sz w:val="22"/>
          <w:szCs w:val="22"/>
          <w:lang w:val="it-IT"/>
        </w:rPr>
        <w:t>più il valore tende a crescere e più significa che l'istanza si trova circondata da elementi dello stesso cluster, più invece diminuisce più sarà evidente che si sta parlando di un valore lontano dal cluster in esame  (o considerato anomalo nel caso di valori negativi).</w:t>
      </w:r>
    </w:p>
    <w:p>
      <w:pPr>
        <w:pStyle w:val="Normal"/>
        <w:bidi w:val="0"/>
        <w:spacing w:lineRule="auto" w:line="259" w:beforeAutospacing="0" w:before="0" w:afterAutospacing="0" w:after="160"/>
        <w:ind w:left="0" w:right="0" w:hanging="0"/>
        <w:jc w:val="left"/>
        <w:rPr/>
      </w:pPr>
      <w:r>
        <w:rPr>
          <w:rFonts w:eastAsia="Times New Roman" w:cs="Times New Roman" w:ascii="Times New Roman" w:hAnsi="Times New Roman"/>
        </w:rPr>
        <w:t xml:space="preserve">L’immagine sotto presenta il grafico inerente alle osservazioni, prive della trasformazione PCA, e a sinistra quello di </w:t>
      </w:r>
      <w:bookmarkStart w:id="2" w:name="docs-internal-guid-8c197215-7fff-e5be-20"/>
      <w:bookmarkEnd w:id="2"/>
      <w:r>
        <w:rPr>
          <w:rFonts w:eastAsia="Times New Roman" w:cs="Times New Roman" w:ascii="Times New Roman" w:hAnsi="Times New Roman"/>
          <w:b w:val="false"/>
          <w:i w:val="false"/>
          <w:caps w:val="false"/>
          <w:smallCaps w:val="false"/>
          <w:strike w:val="false"/>
          <w:dstrike w:val="false"/>
          <w:color w:val="000000"/>
          <w:sz w:val="22"/>
          <w:szCs w:val="22"/>
          <w:u w:val="none"/>
          <w:effect w:val="none"/>
        </w:rPr>
        <w:t>Silhouette</w:t>
      </w:r>
      <w:r>
        <w:rPr>
          <w:rFonts w:eastAsia="Times New Roman" w:cs="Times New Roman" w:ascii="Times New Roman" w:hAnsi="Times New Roman"/>
        </w:rPr>
        <w:t>. In particolare si sono evidenziati i valori negativi del primo tipo (azzurro), che nel grafico a destra si presentano molto vicini a quelli rossi.</w:t>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TableofFigures"/>
        <w:bidi w:val="0"/>
        <w:spacing w:lineRule="auto" w:line="259" w:beforeAutospacing="0" w:before="120" w:afterAutospacing="0" w:after="120"/>
        <w:ind w:left="0" w:right="0" w:hanging="0"/>
        <w:jc w:val="center"/>
        <w:rPr>
          <w:color w:val="auto"/>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88710" cy="2995930"/>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6188710" cy="2995930"/>
                    </a:xfrm>
                    <a:prstGeom prst="rect">
                      <a:avLst/>
                    </a:prstGeom>
                  </pic:spPr>
                </pic:pic>
              </a:graphicData>
            </a:graphic>
          </wp:anchor>
        </w:drawing>
      </w:r>
      <w:r>
        <w:rPr>
          <w:rFonts w:eastAsia="Times New Roman" w:cs="Times New Roman" w:ascii="Times New Roman" w:hAnsi="Times New Roman"/>
          <w:color w:val="auto"/>
          <w:sz w:val="22"/>
          <w:szCs w:val="22"/>
        </w:rPr>
        <w:t xml:space="preserve"> </w:t>
      </w:r>
      <w:r>
        <w:rPr>
          <w:rFonts w:eastAsia="Times New Roman" w:cs="Times New Roman" w:ascii="Times New Roman" w:hAnsi="Times New Roman"/>
          <w:color w:val="auto"/>
          <w:sz w:val="22"/>
          <w:szCs w:val="22"/>
        </w:rPr>
        <w:t>Figura 2: Silhouette Plot e relativo grafico dei dati  (Wine) - Orange Canvas</w:t>
      </w:r>
    </w:p>
    <w:p>
      <w:pPr>
        <w:pStyle w:val="Normal"/>
        <w:bidi w:val="0"/>
        <w:spacing w:lineRule="auto" w:line="259" w:beforeAutospacing="0" w:before="0" w:afterAutospacing="0" w:after="160"/>
        <w:ind w:left="0" w:right="0" w:hanging="0"/>
        <w:jc w:val="left"/>
        <w:rPr/>
      </w:pPr>
      <w:r>
        <w:rPr>
          <w:rFonts w:eastAsia="Times New Roman" w:cs="Times New Roman" w:ascii="Times New Roman" w:hAnsi="Times New Roman"/>
        </w:rPr>
        <w:t xml:space="preserve">In conclusione appare chiaro come l’algoritmo non supervisionato k-Means in tale circostanza faccia fatica ad individuare in modo corretto la classe di appartenenza di un dato: molte sono infatti le zone confuse che vedono la presenza di punti di colore diverso, ecco che un algoritmo basato sulle distanze non </w:t>
      </w:r>
      <w:r>
        <w:rPr>
          <w:rFonts w:eastAsia="Times New Roman" w:cs="Times New Roman" w:ascii="Times New Roman" w:hAnsi="Times New Roman"/>
          <w:sz w:val="22"/>
          <w:szCs w:val="22"/>
          <w:lang w:val="it-IT"/>
        </w:rPr>
        <w:t>è</w:t>
      </w:r>
      <w:r>
        <w:rPr>
          <w:rFonts w:eastAsia="Times New Roman" w:cs="Times New Roman" w:ascii="Times New Roman" w:hAnsi="Times New Roman"/>
        </w:rPr>
        <w:t xml:space="preserve"> probabilmente la scelta migliore. A seguire vengono presentati grazie al widget Distributions, le distribuzioni di ciascun cluster, dove ad esempio il cluster C3 che dovrebbe corrispondere alla classe verde, comprende anche dei punti che dovrebbero essere blu, escludendone tuttavia degli altri che dovrebbero invece farne parte. </w:t>
      </w:r>
    </w:p>
    <w:p>
      <w:pPr>
        <w:pStyle w:val="Normal"/>
        <w:bidi w:val="0"/>
        <w:spacing w:lineRule="auto" w:line="259" w:beforeAutospacing="0" w:before="0" w:afterAutospacing="0" w:after="160"/>
        <w:ind w:left="0" w:right="0" w:hanging="0"/>
        <w:jc w:val="left"/>
        <w:rPr/>
      </w:pPr>
      <w:r>
        <w:rPr>
          <w:rFonts w:eastAsia="Times New Roman" w:cs="Times New Roman" w:ascii="Times New Roman" w:hAnsi="Times New Roman"/>
        </w:rPr>
        <w:t xml:space="preserve">Nelle giornate precedenti inoltre si era lavorato sul dataset </w:t>
      </w:r>
      <w:r>
        <w:rPr>
          <w:rFonts w:eastAsia="Times New Roman" w:cs="Times New Roman" w:ascii="Times New Roman" w:hAnsi="Times New Roman"/>
          <w:i/>
          <w:iCs/>
        </w:rPr>
        <w:t>Iris</w:t>
      </w:r>
      <w:r>
        <w:rPr>
          <w:rFonts w:eastAsia="Times New Roman" w:cs="Times New Roman" w:ascii="Times New Roman" w:hAnsi="Times New Roman"/>
        </w:rPr>
        <w:t>, simile per difficoltà di comprensione dei dati ma con una distribuzione più “a insiemi” (anche se non completamente). In tale circostanza l’algoritmo in esame aveva presentato delle prestazioni migliori.</w:t>
      </w:r>
    </w:p>
    <w:p>
      <w:pPr>
        <w:pStyle w:val="Normal"/>
        <w:bidi w:val="0"/>
        <w:spacing w:lineRule="auto" w:line="259" w:beforeAutospacing="0" w:before="0" w:afterAutospacing="0" w:after="160"/>
        <w:ind w:left="0" w:right="0" w:hanging="0"/>
        <w:jc w:val="center"/>
        <w:rPr/>
      </w:pPr>
      <w:r>
        <w:drawing>
          <wp:anchor behindDoc="0" distT="0" distB="0" distL="0" distR="0" simplePos="0" locked="0" layoutInCell="1" allowOverlap="1" relativeHeight="4">
            <wp:simplePos x="0" y="0"/>
            <wp:positionH relativeFrom="column">
              <wp:posOffset>57150</wp:posOffset>
            </wp:positionH>
            <wp:positionV relativeFrom="paragraph">
              <wp:posOffset>42545</wp:posOffset>
            </wp:positionV>
            <wp:extent cx="6188710" cy="3481070"/>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4"/>
                    <a:stretch>
                      <a:fillRect/>
                    </a:stretch>
                  </pic:blipFill>
                  <pic:spPr bwMode="auto">
                    <a:xfrm>
                      <a:off x="0" y="0"/>
                      <a:ext cx="6188710" cy="3481070"/>
                    </a:xfrm>
                    <a:prstGeom prst="rect">
                      <a:avLst/>
                    </a:prstGeom>
                  </pic:spPr>
                </pic:pic>
              </a:graphicData>
            </a:graphic>
          </wp:anchor>
        </w:drawing>
      </w:r>
      <w:r>
        <w:rPr>
          <w:rFonts w:ascii="Times New Roman" w:hAnsi="Times New Roman"/>
          <w:i/>
          <w:iCs/>
        </w:rPr>
        <w:t>F</w:t>
      </w:r>
      <w:r>
        <w:rPr>
          <w:rFonts w:ascii="Times New Roman" w:hAnsi="Times New Roman"/>
          <w:i/>
          <w:iCs/>
        </w:rPr>
        <w:t>igura 3: Dstribuzione e grafico dei dati  (Wine) – Orange Canvas</w:t>
      </w:r>
    </w:p>
    <w:sectPr>
      <w:headerReference w:type="default" r:id="rId5"/>
      <w:footerReference w:type="default" r:id="rId6"/>
      <w:type w:val="nextPage"/>
      <w:pgSz w:w="11906" w:h="16838"/>
      <w:pgMar w:left="1080" w:right="108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Chilanka">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Intestazione"/>
            <w:bidi w:val="0"/>
            <w:ind w:left="-115" w:hanging="0"/>
            <w:jc w:val="left"/>
            <w:rPr/>
          </w:pPr>
          <w:r>
            <w:rPr/>
          </w:r>
        </w:p>
      </w:tc>
      <w:tc>
        <w:tcPr>
          <w:tcW w:w="3009" w:type="dxa"/>
          <w:tcBorders/>
          <w:shd w:fill="auto" w:val="clear"/>
        </w:tcPr>
        <w:p>
          <w:pPr>
            <w:pStyle w:val="Intestazione"/>
            <w:bidi w:val="0"/>
            <w:jc w:val="center"/>
            <w:rPr/>
          </w:pPr>
          <w:r>
            <w:rPr>
              <w:rFonts w:ascii="Times New Roman" w:hAnsi="Times New Roman"/>
              <w:i/>
              <w:iCs/>
            </w:rPr>
            <w:fldChar w:fldCharType="begin"/>
          </w:r>
          <w:r>
            <w:rPr>
              <w:i/>
              <w:iCs/>
              <w:rFonts w:ascii="Times New Roman" w:hAnsi="Times New Roman"/>
            </w:rPr>
            <w:instrText> PAGE </w:instrText>
          </w:r>
          <w:r>
            <w:rPr>
              <w:i/>
              <w:iCs/>
              <w:rFonts w:ascii="Times New Roman" w:hAnsi="Times New Roman"/>
            </w:rPr>
            <w:fldChar w:fldCharType="separate"/>
          </w:r>
          <w:r>
            <w:rPr>
              <w:i/>
              <w:iCs/>
              <w:rFonts w:ascii="Times New Roman" w:hAnsi="Times New Roman"/>
            </w:rPr>
            <w:t>3</w:t>
          </w:r>
          <w:r>
            <w:rPr>
              <w:i/>
              <w:iCs/>
              <w:rFonts w:ascii="Times New Roman" w:hAnsi="Times New Roman"/>
            </w:rPr>
            <w:fldChar w:fldCharType="end"/>
          </w:r>
        </w:p>
      </w:tc>
      <w:tc>
        <w:tcPr>
          <w:tcW w:w="3010" w:type="dxa"/>
          <w:tcBorders/>
          <w:shd w:fill="auto" w:val="clear"/>
        </w:tcPr>
        <w:p>
          <w:pPr>
            <w:pStyle w:val="Intestazione"/>
            <w:bidi w:val="0"/>
            <w:ind w:right="-115" w:hanging="0"/>
            <w:jc w:val="right"/>
            <w:rPr/>
          </w:pPr>
          <w:r>
            <w:rPr/>
          </w:r>
        </w:p>
      </w:tc>
    </w:tr>
  </w:tbl>
  <w:p>
    <w:pPr>
      <w:pStyle w:val="Pidipagina"/>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rHeight w:val="360" w:hRule="atLeast"/>
      </w:trPr>
      <w:tc>
        <w:tcPr>
          <w:tcW w:w="3009" w:type="dxa"/>
          <w:tcBorders/>
          <w:shd w:fill="auto" w:val="clear"/>
        </w:tcPr>
        <w:p>
          <w:pPr>
            <w:pStyle w:val="Intestazione"/>
            <w:bidi w:val="0"/>
            <w:ind w:hanging="0"/>
            <w:jc w:val="left"/>
            <w:rPr/>
          </w:pPr>
          <w:r>
            <w:rPr/>
          </w:r>
        </w:p>
      </w:tc>
      <w:tc>
        <w:tcPr>
          <w:tcW w:w="3009" w:type="dxa"/>
          <w:tcBorders/>
          <w:shd w:fill="auto" w:val="clear"/>
        </w:tcPr>
        <w:p>
          <w:pPr>
            <w:pStyle w:val="Intestazione"/>
            <w:bidi w:val="0"/>
            <w:jc w:val="center"/>
            <w:rPr/>
          </w:pPr>
          <w:r>
            <w:rPr/>
          </w:r>
        </w:p>
      </w:tc>
      <w:tc>
        <w:tcPr>
          <w:tcW w:w="3010" w:type="dxa"/>
          <w:tcBorders/>
          <w:shd w:fill="auto" w:val="clear"/>
        </w:tcPr>
        <w:p>
          <w:pPr>
            <w:pStyle w:val="Intestazione"/>
            <w:bidi w:val="0"/>
            <w:ind w:right="-115" w:hanging="0"/>
            <w:jc w:val="right"/>
            <w:rPr/>
          </w:pPr>
          <w:r>
            <w:rPr/>
          </w:r>
        </w:p>
      </w:tc>
    </w:tr>
  </w:tbl>
  <w:p>
    <w:pPr>
      <w:pStyle w:val="Intestazione"/>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ListLabel1">
    <w:name w:val="ListLabel 1"/>
    <w:qFormat/>
    <w:rPr>
      <w:rFonts w:ascii="Times New Roman" w:hAnsi="Times New Roman" w:cs="Symbol"/>
      <w:sz w:val="2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ascii="Times New Roman" w:hAnsi="Times New Roman" w:cs="Symbol"/>
      <w:sz w:val="22"/>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Times New Roman" w:hAnsi="Times New Roman" w:cs="Symbol"/>
      <w:sz w:val="22"/>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2"/>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Times New Roman" w:hAnsi="Times New Roman" w:cs="Symbol"/>
      <w:sz w:val="2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2"/>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Intestazione">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Pidipagina">
    <w:name w:val="Footer"/>
    <w:basedOn w:val="Normal"/>
    <w:link w:val="FooterChar"/>
    <w:uiPriority w:val="99"/>
    <w:unhideWhenUsed/>
    <w:pPr>
      <w:tabs>
        <w:tab w:val="center" w:pos="4680" w:leader="none"/>
        <w:tab w:val="right" w:pos="9360" w:leader="none"/>
      </w:tabs>
      <w:spacing w:lineRule="auto" w:line="240" w:before="0" w:after="0"/>
    </w:pPr>
    <w:rPr/>
  </w:style>
  <w:style w:type="paragraph" w:styleId="TableofFigures">
    <w:name w:val="Table of Figures"/>
    <w:basedOn w:val="Didascalia"/>
    <w:qFormat/>
    <w:pPr/>
    <w:rPr/>
  </w:style>
  <w:style w:type="paragraph" w:styleId="Testo">
    <w:name w:val="Testo"/>
    <w:basedOn w:val="Didascalia"/>
    <w:qFormat/>
    <w:pPr/>
    <w:rPr/>
  </w:style>
  <w:style w:type="paragraph" w:styleId="Contenutocornice">
    <w:name w:val="Contenuto cornic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LibreOffice/6.0.7.3$Linux_X86_64 LibreOffice_project/00m0$Build-3</Application>
  <Pages>3</Pages>
  <Words>956</Words>
  <Characters>5323</Characters>
  <CharactersWithSpaces>6268</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2020-06-12T09:10:04Z</dcterms:created>
  <dc:creator>valentina signor</dc:creator>
  <dc:description/>
  <dc:language>it-IT</dc:language>
  <cp:lastModifiedBy/>
  <dcterms:modified xsi:type="dcterms:W3CDTF">2020-06-12T23:51:11Z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