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3D5E"/>
          <w:sz w:val="24"/>
          <w:szCs w:val="24"/>
        </w:rPr>
        <w:t xml:space="preserve">Capítulo 4 - Desarrollo del Sprint 1 (secciones revisadas)</w:t>
      </w:r>
    </w:p>
    <w:p>
      <w:pPr>
        <w:spacing w:after="220"/>
      </w:pPr>
      <w:r>
        <w:rPr>
          <w:i/>
          <w:iCs/>
          <w:color w:val="6B7280"/>
          <w:sz w:val="18"/>
          <w:szCs w:val="18"/>
        </w:rPr>
        <w:t xml:space="preserve">Reemplazan a las secciones 4.1.5 y 4.1.6. La retrospectiva se realizó con la extensión Retrospectives (Microsoft DevLabs) de Azure DevOps y la plantilla Start-Stop-Continue. Ajuste la numeración de figuras y tablas según su ubicación en la tesis.</w:t>
      </w:r>
    </w:p>
    <w:p>
      <w:pPr>
        <w:pStyle w:val="Heading3"/>
      </w:pPr>
      <w:r>
        <w:t xml:space="preserve">4.1.5. Sprint Retrospective</w:t>
      </w:r>
    </w:p>
    <w:p>
      <w:pPr>
        <w:spacing w:after="150" w:line="360"/>
        <w:jc w:val="both"/>
      </w:pPr>
      <w:r>
        <w:t xml:space="preserve">La retrospectiva del Sprint 1 se realizó en Azure DevOps con la extensión Retrospectives (Microsoft DevLabs), que añade un tablero de retrospectivas dentro de Azure Boards. El equipo eligió la plantilla Start-Stop-Continue, cuyas tres columnas (Empezar, Dejar de hacer y Continuar) permiten separar lo que conviene incorporar, lo que conviene abandonar y lo que está funcionando y hay que mantener.</w:t>
      </w:r>
    </w:p>
    <w:p>
      <w:pPr>
        <w:spacing w:after="150" w:line="360"/>
        <w:jc w:val="both"/>
      </w:pPr>
      <w:r>
        <w:t xml:space="preserve">La dinámica sigue las cuatro fases que define la herramienta:</w:t>
      </w:r>
    </w:p>
    <w:p>
      <w:pPr>
        <w:pStyle w:val="ListParagraph"/>
        <w:numPr>
          <w:ilvl w:val="0"/>
          <w:numId w:val="2"/>
        </w:numPr>
        <w:spacing w:after="70" w:line="350"/>
        <w:jc w:val="both"/>
      </w:pPr>
      <w:r>
        <w:rPr>
          <w:b/>
          <w:bCs/>
        </w:rPr>
        <w:t xml:space="preserve">Collect (recolectar).</w:t>
      </w:r>
      <w:r>
        <w:t xml:space="preserve"> Cada integrante agrega tarjetas con el botón Add new card en la columna correspondiente, de forma anónima.</w:t>
      </w:r>
    </w:p>
    <w:p>
      <w:pPr>
        <w:pStyle w:val="ListParagraph"/>
        <w:numPr>
          <w:ilvl w:val="0"/>
          <w:numId w:val="2"/>
        </w:numPr>
        <w:spacing w:after="70" w:line="350"/>
        <w:jc w:val="both"/>
      </w:pPr>
      <w:r>
        <w:rPr>
          <w:b/>
          <w:bCs/>
        </w:rPr>
        <w:t xml:space="preserve">Group (agrupar).</w:t>
      </w:r>
      <w:r>
        <w:t xml:space="preserve"> Las tarjetas similares se arrastran juntas o se combinan con Group Feedback, para evitar repeticiones.</w:t>
      </w:r>
    </w:p>
    <w:p>
      <w:pPr>
        <w:pStyle w:val="ListParagraph"/>
        <w:numPr>
          <w:ilvl w:val="0"/>
          <w:numId w:val="2"/>
        </w:numPr>
        <w:spacing w:after="70" w:line="350"/>
        <w:jc w:val="both"/>
      </w:pPr>
      <w:r>
        <w:rPr>
          <w:b/>
          <w:bCs/>
        </w:rPr>
        <w:t xml:space="preserve">Vote (votar).</w:t>
      </w:r>
      <w:r>
        <w:t xml:space="preserve"> Cada participante reparte sus votos (Max Votes per User = 5) con los íconos de voto; el indicador Votes used muestra el consumo. Las tarjetas se ordenan por número de votos.</w:t>
      </w:r>
    </w:p>
    <w:p>
      <w:pPr>
        <w:pStyle w:val="ListParagraph"/>
        <w:numPr>
          <w:ilvl w:val="0"/>
          <w:numId w:val="2"/>
        </w:numPr>
        <w:spacing w:after="70" w:line="350"/>
        <w:jc w:val="both"/>
      </w:pPr>
      <w:r>
        <w:rPr>
          <w:b/>
          <w:bCs/>
        </w:rPr>
        <w:t xml:space="preserve">Act (actuar).</w:t>
      </w:r>
      <w:r>
        <w:t xml:space="preserve"> Sobre las tarjetas más votadas, el equipo usa Add work item para crear un elemento de trabajo en Azure Boards, que queda vinculado a la tarjeta y se arrastra como acción de mejora al backlog.</w:t>
      </w:r>
    </w:p>
    <w:p>
      <w:pPr>
        <w:spacing w:after="150" w:line="360"/>
        <w:jc w:val="both"/>
      </w:pPr>
      <w:r>
        <w:t xml:space="preserve">Participaron los cuatro integrantes del equipo (Product Owner, Scrum Master y los dos desarrolladores). La Figura 1 muestra el tablero en la fase Act, con las tarjetas, sus votos y los enlaces Add work item sobre las más votadas.</w:t>
      </w:r>
    </w:p>
    <w:p>
      <w:pPr>
        <w:keepNext/>
        <w:spacing w:after="0" w:before="200"/>
      </w:pPr>
      <w:r>
        <w:rPr>
          <w:b/>
          <w:bCs/>
        </w:rPr>
        <w:t xml:space="preserve">Figura </w:t>
      </w:r>
      <w:r>
        <w:t xml:space="preserve">1</w:t>
      </w:r>
    </w:p>
    <w:p>
      <w:pPr>
        <w:keepNext/>
        <w:spacing w:after="110"/>
      </w:pPr>
      <w:r>
        <w:rPr>
          <w:i/>
          <w:iCs/>
        </w:rPr>
        <w:t xml:space="preserve">Tablero de retrospectiva Start-Stop-Continue en Azure DevOps (Retrospectives, Microsoft DevLabs)</w:t>
      </w:r>
    </w:p>
    <w:p>
      <w:pPr>
        <w:keepNext/>
        <w:jc w:val="center"/>
      </w:pPr>
      <w:r>
        <w:drawing>
          <wp:inline distT="0" distB="0" distL="0" distR="0">
            <wp:extent cx="576262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 Captura de referencia de la extensión Retrospectives con los datos del Sprint 1.</w:t>
      </w:r>
    </w:p>
    <w:p>
      <w:pPr>
        <w:spacing w:after="150" w:line="360"/>
        <w:jc w:val="both"/>
      </w:pPr>
      <w:r>
        <w:t xml:space="preserve">La Tabla 1 recoge las tarjetas aportadas en cada columna con los votos obtenidos durante la fase Vote.</w:t>
      </w:r>
    </w:p>
    <w:p>
      <w:pPr>
        <w:keepNext/>
        <w:spacing w:after="0" w:before="200"/>
      </w:pPr>
      <w:r>
        <w:rPr>
          <w:b/>
          <w:bCs/>
        </w:rPr>
        <w:t xml:space="preserve">Tabla </w:t>
      </w:r>
      <w:r>
        <w:t xml:space="preserve">1</w:t>
      </w:r>
    </w:p>
    <w:p>
      <w:pPr>
        <w:keepNext/>
        <w:spacing w:after="110"/>
      </w:pPr>
      <w:r>
        <w:rPr>
          <w:i/>
          <w:iCs/>
        </w:rPr>
        <w:t xml:space="preserve">Tarjetas de la retrospectiva por columna (plantilla Start-Stop-Continue)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6"/>
        <w:gridCol w:w="6015"/>
        <w:gridCol w:w="859"/>
      </w:tblGrid>
      <w:tr>
        <w:trPr>
          <w:cantSplit/>
          <w:tblHeader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Tarjeta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Votos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Empezar (Start)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Unificar el motor de base de datos a MariaDB 11.4 en desarrollo.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Empezar (Start)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Versionar un juego de datos de demostración en el repositorio.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Empezar (Start)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Registrar los acuerdos de la retrospectiva como work items en Azure Boards.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Empezar (Start)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Gestionar el acceso a planta para validar la báscula real.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Dejar de hacer (Stop)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Desarrollar contra MySQL 8 y desplegar en MariaDB.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Dejar de hacer (Stop)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Fijar fechas en las pruebas, que las vuelve frágiles.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Dejar de hacer (Stop)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Dejar la definición de datos de prueba para el final.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Continuar (Continue)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Usar los simuladores scale-sim y erp-mock para desarrollar sin planta.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Continuar (Continue)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Mantener la cobertura igual o mayor al 90 % en la Definición de Terminado.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Continuar (Continue)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Inyectar la configuración por parámetro.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Continuar (Continue)</w:t>
            </w:r>
          </w:p>
        </w:tc>
        <w:tc>
          <w:tcPr>
            <w:tcW w:type="dxa" w:w="60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Verificar contra componentes reales, no contra mocks.</w:t>
            </w:r>
          </w:p>
        </w:tc>
        <w:tc>
          <w:tcPr>
            <w:tcW w:type="dxa" w:w="8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</w:tbl>
    <w:p>
      <w:pPr>
        <w:spacing w:after="23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spacing w:after="150" w:line="360"/>
        <w:jc w:val="both"/>
      </w:pPr>
      <w:r>
        <w:t xml:space="preserve">En la fase Act, las tarjetas más votadas de las columnas Empezar y Dejar de hacer se convirtieron en elementos de trabajo con Add work item. La Tabla 2 lista las acciones de mejora generadas, que quedaron vinculadas a su tarjeta y se incorporaron al Product Backlog en el refinamiento de la sección 4.1.6.</w:t>
      </w:r>
    </w:p>
    <w:p>
      <w:pPr>
        <w:keepNext/>
        <w:spacing w:after="0" w:before="200"/>
      </w:pPr>
      <w:r>
        <w:rPr>
          <w:b/>
          <w:bCs/>
        </w:rPr>
        <w:t xml:space="preserve">Tabla </w:t>
      </w:r>
      <w:r>
        <w:t xml:space="preserve">2</w:t>
      </w:r>
    </w:p>
    <w:p>
      <w:pPr>
        <w:keepNext/>
        <w:spacing w:after="110"/>
      </w:pPr>
      <w:r>
        <w:rPr>
          <w:i/>
          <w:iCs/>
        </w:rPr>
        <w:t xml:space="preserve">Elementos de acción generados en la fase Act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913"/>
        <w:gridCol w:w="1039"/>
        <w:gridCol w:w="1417"/>
        <w:gridCol w:w="851"/>
      </w:tblGrid>
      <w:tr>
        <w:trPr>
          <w:cantSplit/>
          <w:tblHeader/>
        </w:trPr>
        <w:tc>
          <w:tcPr>
            <w:tcW w:type="dxa" w:w="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9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Acción de mejora (work item)</w:t>
            </w:r>
          </w:p>
        </w:tc>
        <w:tc>
          <w:tcPr>
            <w:tcW w:type="dxa" w:w="10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1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AM-01</w:t>
            </w:r>
          </w:p>
        </w:tc>
        <w:tc>
          <w:tcPr>
            <w:tcW w:type="dxa" w:w="49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Migrar el entorno de desarrollo a MariaDB 11.4, el mismo motor del hosting.</w:t>
            </w:r>
          </w:p>
        </w:tc>
        <w:tc>
          <w:tcPr>
            <w:tcW w:type="dxa" w:w="10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Tarea</w:t>
            </w:r>
          </w:p>
        </w:tc>
        <w:tc>
          <w:tcPr>
            <w:tcW w:type="dxa" w:w="141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V. Silva</w:t>
            </w:r>
          </w:p>
        </w:tc>
        <w:tc>
          <w:tcPr>
            <w:tcW w:type="dxa" w:w="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AM-02</w:t>
            </w:r>
          </w:p>
        </w:tc>
        <w:tc>
          <w:tcPr>
            <w:tcW w:type="dxa" w:w="49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Corregir las dos pruebas frágiles por fecha para que usen marcas relativas.</w:t>
            </w:r>
          </w:p>
        </w:tc>
        <w:tc>
          <w:tcPr>
            <w:tcW w:type="dxa" w:w="10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Tarea</w:t>
            </w:r>
          </w:p>
        </w:tc>
        <w:tc>
          <w:tcPr>
            <w:tcW w:type="dxa" w:w="141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V. Hualpa</w:t>
            </w:r>
          </w:p>
        </w:tc>
        <w:tc>
          <w:tcPr>
            <w:tcW w:type="dxa" w:w="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AM-03</w:t>
            </w:r>
          </w:p>
        </w:tc>
        <w:tc>
          <w:tcPr>
            <w:tcW w:type="dxa" w:w="49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Crear y versionar un dataset de demostración (pesadas y órdenes) en el repositorio.</w:t>
            </w:r>
          </w:p>
        </w:tc>
        <w:tc>
          <w:tcPr>
            <w:tcW w:type="dxa" w:w="10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Tarea</w:t>
            </w:r>
          </w:p>
        </w:tc>
        <w:tc>
          <w:tcPr>
            <w:tcW w:type="dxa" w:w="141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V. Silva</w:t>
            </w:r>
          </w:p>
        </w:tc>
        <w:tc>
          <w:tcPr>
            <w:tcW w:type="dxa" w:w="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AM-04</w:t>
            </w:r>
          </w:p>
        </w:tc>
        <w:tc>
          <w:tcPr>
            <w:tcW w:type="dxa" w:w="49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Gestionar con QUINOR el acceso a planta para validar la báscula real.</w:t>
            </w:r>
          </w:p>
        </w:tc>
        <w:tc>
          <w:tcPr>
            <w:tcW w:type="dxa" w:w="10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Impedimento</w:t>
            </w:r>
          </w:p>
        </w:tc>
        <w:tc>
          <w:tcPr>
            <w:tcW w:type="dxa" w:w="141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C. Matta (PO)</w:t>
            </w:r>
          </w:p>
        </w:tc>
        <w:tc>
          <w:tcPr>
            <w:tcW w:type="dxa" w:w="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New</w:t>
            </w:r>
          </w:p>
        </w:tc>
      </w:tr>
    </w:tbl>
    <w:p>
      <w:pPr>
        <w:spacing w:after="23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 Los elementos se crearon desde las tarjetas con Add work item y se vincularon al tablero de la retrospectiva.</w:t>
      </w:r>
    </w:p>
    <w:p>
      <w:pPr>
        <w:pStyle w:val="Heading3"/>
      </w:pPr>
      <w:r>
        <w:t xml:space="preserve">4.1.6. Refinamiento del Product Backlog</w:t>
      </w:r>
    </w:p>
    <w:p>
      <w:pPr>
        <w:spacing w:after="150" w:line="360"/>
        <w:jc w:val="both"/>
      </w:pPr>
      <w:r>
        <w:t xml:space="preserve">Tras la retrospectiva, el equipo refinó el Product Backlog en Azure Boards. Los elementos de acción creados en la fase Act (Tabla 2) se incorporaron como elementos de trabajo y se priorizaron junto con las historias pendientes. La Tabla 3 recoge las actividades de refinamiento y la Tabla 4 el backlog refinado para los siguientes sprints del MVP.</w:t>
      </w:r>
    </w:p>
    <w:p>
      <w:pPr>
        <w:keepNext/>
        <w:spacing w:after="0" w:before="200"/>
      </w:pPr>
      <w:r>
        <w:rPr>
          <w:b/>
          <w:bCs/>
        </w:rPr>
        <w:t xml:space="preserve">Tabla </w:t>
      </w:r>
      <w:r>
        <w:t xml:space="preserve">3</w:t>
      </w:r>
    </w:p>
    <w:p>
      <w:pPr>
        <w:keepNext/>
        <w:spacing w:after="110"/>
      </w:pPr>
      <w:r>
        <w:rPr>
          <w:i/>
          <w:iCs/>
        </w:rPr>
        <w:t xml:space="preserve">Actividades de refinamiento del Product Backlog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5744"/>
      </w:tblGrid>
      <w:tr>
        <w:trPr>
          <w:cantSplit/>
          <w:tblHeader/>
        </w:trPr>
        <w:tc>
          <w:tcPr>
            <w:tcW w:type="dxa" w:w="33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57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 de las historias completadas</w:t>
            </w:r>
          </w:p>
        </w:tc>
        <w:tc>
          <w:tcPr>
            <w:tcW w:type="dxa" w:w="57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 confirmó que HU-01, HU-02, HU-04 y HU-14 quedaron Closed y aceptadas por el Product Owner.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Incorporación de las acciones de mejora</w:t>
            </w:r>
          </w:p>
        </w:tc>
        <w:tc>
          <w:tcPr>
            <w:tcW w:type="dxa" w:w="57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AM-01 a AM-04 se agregaron al backlog como elementos de trabajo vinculados al tablero de la retrospectiva.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Decisión técnica sobre el motor de base de datos</w:t>
            </w:r>
          </w:p>
        </w:tc>
        <w:tc>
          <w:tcPr>
            <w:tcW w:type="dxa" w:w="57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partir de AM-01, el entorno se migró de MySQL 8.4 a MariaDB 11.4 (el mismo motor del hosting) el 19/09/2026.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Repriorización</w:t>
            </w:r>
          </w:p>
        </w:tc>
        <w:tc>
          <w:tcPr>
            <w:tcW w:type="dxa" w:w="57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 priorizaron HU-03 (evento de discrepancia), HU-05 y HU-06 (video) para el Sprint 2, por ser el núcleo de la detección.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Afinamiento de criterios</w:t>
            </w:r>
          </w:p>
        </w:tc>
        <w:tc>
          <w:tcPr>
            <w:tcW w:type="dxa" w:w="57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 precisó el estado Sin clip de HU-06 y se dejó listo el contenedor redis para cuando entre HU-17.</w:t>
            </w:r>
          </w:p>
        </w:tc>
      </w:tr>
    </w:tbl>
    <w:p>
      <w:pPr>
        <w:spacing w:after="23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</w:t>
      </w:r>
    </w:p>
    <w:p>
      <w:pPr>
        <w:keepNext/>
        <w:spacing w:after="0" w:before="200"/>
      </w:pPr>
      <w:r>
        <w:rPr>
          <w:b/>
          <w:bCs/>
        </w:rPr>
        <w:t xml:space="preserve">Tabla </w:t>
      </w:r>
      <w:r>
        <w:t xml:space="preserve">4</w:t>
      </w:r>
    </w:p>
    <w:p>
      <w:pPr>
        <w:keepNext/>
        <w:spacing w:after="110"/>
      </w:pPr>
      <w:r>
        <w:rPr>
          <w:i/>
          <w:iCs/>
        </w:rPr>
        <w:t xml:space="preserve">Product Backlog refinado para los siguientes sprints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1"/>
        <w:gridCol w:w="4233"/>
        <w:gridCol w:w="1008"/>
        <w:gridCol w:w="806"/>
        <w:gridCol w:w="1612"/>
      </w:tblGrid>
      <w:tr>
        <w:trPr>
          <w:cantSplit/>
          <w:tblHeader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HU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HU-03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Evento de discrepancia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Planificada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HU-05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Grabación continua 72 h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Planificada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HU-06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Recorte del clip del evento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Planificada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HU-11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Bandeja de eventos con filtros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Planificada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HU-07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Conteo de sacos con YOLO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HU-08 a HU-10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Personas, severidad (VLM) y alerta por correo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6FA" w:color="auto" w:val="clear"/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4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HU-12, HU-13</w:t>
            </w:r>
          </w:p>
        </w:tc>
        <w:tc>
          <w:tcPr>
            <w:tcW w:type="dxa" w:w="423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Detalle y clasificación del evento</w:t>
            </w:r>
          </w:p>
        </w:tc>
        <w:tc>
          <w:tcPr>
            <w:tcW w:type="dxa" w:w="10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75"/>
              <w:bottom w:type="dxa" w:w="40"/>
              <w:right w:type="dxa" w:w="7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</w:tbl>
    <w:p>
      <w:pPr>
        <w:spacing w:after="23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 El detalle completo está en la hoja Historias del archivo de seguimiento.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120" w:before="22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0648a7c64b4773f2ef435cd26e13c9043fbaa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4 - 4.1.5 y 4.1.6 (Azure DevOps Retrospectives)</dc:title>
  <dc:creator>Víctor Hualpa Velarde, Víctor Silva Arana</dc:creator>
  <cp:lastModifiedBy>Un-named</cp:lastModifiedBy>
  <cp:revision>1</cp:revision>
  <dcterms:created xsi:type="dcterms:W3CDTF">2026-10-11T00:33:49.647Z</dcterms:created>
  <dcterms:modified xsi:type="dcterms:W3CDTF">2026-10-11T00:33:49.647Z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