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Centralized Application Monitoring</w:t>
      </w:r>
    </w:p>
    <w:p>
      <w:pPr>
        <w:spacing w:after="6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Key Metrics Reference — 4-Layer Observability Framework</w:t>
      </w:r>
    </w:p>
    <w:p>
      <w:pPr>
        <w:pBdr>
          <w:bottom w:val="single" w:color="2E75B6" w:sz="6" w:space="4"/>
        </w:pBd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Prometheus + Grafana  |  Designed for diverse application portfolios (legacy to modern)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Alert-worthy. Page the on-call engineer. Direct production impact.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Important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value. Investigate during business hours.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 to Have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 analysis and capacity planning. Review weekly.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Layer 1 — The Four Golden Signals + Health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Universal baseline for every application in the portfolio — legacy, modern, and SaaS. Collected automatically by the platform-provided shared client library. No additional instrumentation required from app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660"/>
        <w:gridCol w:w="1100"/>
        <w:gridCol w:w="13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/ Priority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PromQL / Exporter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Universal — applies to every application regardless of tech stack or platform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Latency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to serve a request. Track p50, p95, p99 separately — averages hide tail latency users experience.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histogram_quantile(0.99, sum(rate(http_request_duration_seconds_bucket[5m])) by (le))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p99 &gt; 1s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p99 &gt; 3s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/ Throughput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 per second or transactions per minute. Anomaly = deviation from established baseline.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rate(http_requests_total[5m])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±30% baseline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±60% baseline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Errors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of failed requests. Track 4xx and 5xx separately — different root causes, different responses.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rate(http_requests_total{status=~"5.."}[5m]) / rate(http_requests_total[5m])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5%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Saturation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full the service is — CPU, memory, connection pool, queue depth. The constraint limiting capacity.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hikaricp_connections_active / hikaricp_connections_max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85%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Health / Up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alive/dead signal per app instance. Added by the shared client library automatically. First alert to fire.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up{job="&lt;app-name&gt;"}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== 0 (down)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Layer 2 — Infrastructure &amp; Host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OS-level signals for every server, VM, or container. Collected centrally by the platform via node_exporter (Linux/Unix), windows_exporter (Windows), and cAdvisor (containers, applicable to the small number of containerised workloads). Zero configuration required from app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660"/>
        <w:gridCol w:w="1100"/>
        <w:gridCol w:w="13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/ Priority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PromQL / Exporter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CPU &amp; Memory — node_exporter (Linux/Unix) | windows_exporter (Windows) | cAdvisor (containers)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 Utilization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Per-core and aggregate. High steal % on VMs indicates noisy neighbors. Track iowait separately from user/system.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100 - avg(rate(node_cpu_seconds_total{mode="idle"}[5m]))*100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Memory Usage &amp; Swap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 set vs available. Any swap usage is a critical signal — apps hitting swap degrade catastrophically.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node_memory_MemAvailable_bytes / node_memory_MemTotal_bytes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20% free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Swap &gt; 0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Disk &amp; Storage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Disk I/O &amp; Saturation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Read/write throughput, IOPS, and disk queue length. Queue &gt; 1 sustained indicates a disk bottleneck.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rate(node_disk_io_time_seconds_total[5m])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&gt;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Queue &gt; 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Disk Space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 used per mount point. Predict fill time using rate of change — alert before you run out.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node_filesystem_avail_bytes / node_filesystem_size_bytes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20% free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&lt; 10% free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Network &amp; System Load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Network Throughput &amp; Errors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Bytes in/out per interface, packet drop rate, retransmit rate. Drops indicate saturation or hardware issues.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rate(node_network_transmit_bytes_total[5m])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 &gt; 0.1%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Load Average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1m/5m/15m load vs CPU core count. load/cores &gt; 1 means queuing is occurring.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node_load1 / count(node_cpu_seconds_total{mode="idle"})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1.0 ratio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2.0 ratio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Containers (applicable only to containerised apps — cAdvisor)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 CPU Usage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usage per container. Detects noisy containers that host-level metrics would obscure.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rate(container_cpu_usage_seconds_total{name!=""}[5m])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80% limit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95% limit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 Memory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set memory per container vs limit. OOM kills appear as sudden drops followed by restarts.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container_memory_working_set_bytes / container_spec_memory_limit_bytes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80% limit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90% limit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Layer 3 — Application Layer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Business-relevant signals requiring instrumentation inside the app. Split into two sub-tiers: (A) Universal metrics auto-collected by the shared client library for all HTTP-serving apps, and (B) Optional metrics that activate when the relevant framework is detected. Business transactions are team-defined and must be documented in the metrics catalog.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Sub-tier A — Universal (auto-collected by shared library)  |  Sub-tier B — Optional (framework-activated)  |  Business (team-defined)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660"/>
        <w:gridCol w:w="1100"/>
        <w:gridCol w:w="13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/ Priority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PromQL / Exporter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HTTP / Request metrics — auto-collected by shared client library for HTTP-serving apps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 Rate by Endpoint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Traffic broken down by route. Pinpoints which part of the app is under load or failing.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rate(http_requests_total{handler="/api/v1/..."}[5m])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Context-dependent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 Rate by Type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Classify errors: client (4xx), server (5xx), timeouts, exceptions. Different root causes need different responses.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http_requests_total{status="500"} / http_requests_total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2%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Apdex Score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Performance Index. Combines satisfied/tolerating/frustrated into a single 0-1 score for SLA reporting.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(satisfied + tolerating/2) / total_requests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&lt; 0.7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Runtime metrics — stack-specific, auto-collected via shared library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JVM Heap &amp; GC (.NET / Java)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Heap used vs max, GC pause duration and frequency. Long GC pauses cause user-visible latency spikes.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jvm_memory_used_bytes{area="heap"} / jvm_memory_max_bytes{area="heap"}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.NET CLR GC (Windows/.NET)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 0/1/2 collection counts and pause times. Gen 2 collections are expensive and block all threads.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dotnet_collection_count_total{generation="2"}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rising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Node.js Event Loop Lag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events wait in the queue. High lag means the event loop is blocked — CPU-bound code or bad I/O patterns.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nodejs_eventloop_lag_seconds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100ms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500ms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Worker / Thread Pool</w:t>
            </w:r>
          </w:p>
          <w:p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Good to Have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vs idle workers (Gunicorn/uWSGI). Pool exhaustion causes request queuing.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gunicorn_workers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90% busy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Dependencies &amp; async — universal, teams instrument via shared library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External Dependency Calls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and error rate for every downstream API, service, or database call. Third-party failures become your failures.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http_client_request_duration_seconds{upstream="payment-api"}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&gt; 500ms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Error &gt; 1%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Background Job Queues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depth, processing rate, failure rate, job age. A growing queue indicates consumer lag or processing failures.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queue_depth{queue="email-send"}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 &gt; 1000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Age &gt; 10 min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transactions — team-defined, documented in the metrics catalog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Transactions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Domain-specific KPIs: orders placed, logins, payments processed, reports generated. What the business actually cares about.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rate(orders_completed_total[5m])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30% drop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Layer 4 — Database &amp; Storage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Databases are the most common bottleneck and hardest to scale. Coverage is provided for SQL Server, Oracle, and PostgreSQL — the three primary database platforms in the organisation. Exporters are deployed and managed centrally by the platform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660"/>
        <w:gridCol w:w="1100"/>
        <w:gridCol w:w="13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/ Priority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PromQL / Exporter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 Server — windows_exporter (basic) + sql_exporter or custom query_exporter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Query Latency (p95, p99)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queries are user-facing. Use sql_exporter with dm_exec_query_stats. Track by query hash for top offenders.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histogram_quantile(0.99, rate(mssql_query_duration_seconds_bucket[5m]))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p99 &gt; 200ms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p99 &gt; 1s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 Connections vs Limit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Approaching max_connections causes connection refused errors that take down dependent applications.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mssql_connections / mssql_max_connections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Blocking &amp; Deadlocks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 contention degrades throughput non-linearly. Deadlocks surface as intermittent errors. Any deadlock warrants investigation.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mssql_deadlocks_total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increase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Buffer Cache Hit Ratio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pages served from memory vs disk. Low ratio means SQL Server needs more RAM or queries are doing full scans.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mssql_buffer_cache_hit_ratio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&lt; 90%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 Life Expectancy (PLE)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long a page stays in the buffer pool. Dropping PLE means memory pressure — data is being evicted faster than read.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mssql_page_life_expectancy_seconds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300s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&lt; 100s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Disk I/O &amp; Data File Growth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DB-level disk read/write latency. Auto-growth events are an emergency signal — pre-size databases to avoid them.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mssql_io_stall_seconds_total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&gt; 20ms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Latency &gt; 50ms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Failed Agent Jobs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Agent job failures. Failed jobs often indicate ETL issues, backup failures, or maintenance plan problems.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mssql_agent_job_failed_total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failure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Availability Group Lag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Always On AG — synchronisation lag means reads from secondaries return stale data and failover risk increases.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mssql_ag_secondary_lag_seconds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10s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60s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Oracle — oracledb_exporter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Query Latency (p95, p99)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via v$sql elapsed_time / executions. Slow queries with high buffer_gets indicate missing indexes or bad plans.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oracledb_wait_time_application_seconds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p99 &gt; 200ms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p99 &gt; 1s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 Sessions &amp; Wait Events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sessions broken by wait class (CPU, I/O, concurrency). The wait profile tells you exactly where time is spent.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oracledb_sessions_active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70% max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90% max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Tablespace Usage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used per tablespace. ORA-01653 (unable to extend) is a hard application crash. Alert with ample runway.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oracledb_tablespace_used_percent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Redo Log Switch Frequency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Excessive log switches indicate high DML volume or undersized redo logs, causing I/O pressure.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oracledb_log_switches_total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6/hour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20/hour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Invalid / Disabled Objects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packages or disabled constraints indicate failed deployments or schema drift. Catch before users do.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oracledb_invalid_objects_total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increase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Guard Lag (if used)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Standby apply lag determines the data loss window on failover. Tie to your RPO target.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oracledb_dataguard_lag_seconds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30s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300s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PostgreSQL — postgres_exporter (pg_exporter)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Query Latency (p95, p99)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via pg_stat_statements. Enable this extension on all PostgreSQL instances for query-level diagnostics.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histogram_quantile(0.99, rate(pg_stat_statements_total_exec_time_bucket[5m]))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p99 &gt; 100ms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p99 &gt; 500ms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 Connections vs Limit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Approaching max_connections causes 'too many connections' errors that drop the entire application.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pg_stat_activity_count / pg_settings_max_connections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Replication Lag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read replicas — lag means reads return stale data. High lag + primary failure = data loss window.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pg_replication_lag_seconds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10s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60s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Lock Waits &amp; Deadlocks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 contention degrades throughput non-linearly. Deadlocks surface as intermittent errors hard to reproduce.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pg_locks_count{mode="ExclusiveLock"}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increase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Bloat &amp; Vacuum Lag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 tuple accumulation from MVCC. Excessive bloat degrades query performance and causes table file growth.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pg_stat_user_tables_n_dead_tup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20% bloat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Disk &amp; Tablespace Growth</w:t>
            </w:r>
          </w:p>
          <w:p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Important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DB-specific disk metrics. Unexpected table growth indicates a leak or runaway batch job.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pg_database_size_bytes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80% disk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&gt; 90% disk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Notes &amp;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Warn/Critical thresholds are industry starting points. Run your stack for 2 weeks, establish baselines, then tune thresholds to match your actual workload behaviour and SLA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Exporters deployed centrally: node_exporter (Linux/Unix infra), windows_exporter (Windows infra + SQL Server basics), cAdvisor (containers), sql_exporter / query_exporter (SQL Server deep metrics), oracledb_exporter (Oracle), postgres_exporter (PostgreSQL), blackbox_exporter (SaaS / external probes).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Runtime metrics (JVM, .NET CLR, Node.js, Python) are automatically activated by the shared client library based on the detected runtime — no team configuration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SQL Server: enable the sql_exporter with dm_exec_query_stats, dm_os_wait_stats, and sys.dm_os_performance_counters queries for full coverage. Always On Availability Group metrics require additional configuration — contact the platform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Oracle: oracledb_exporter queries v$session, v$sql, dba_tablespace_usage_metrics, and v$dataguard_stats. The exporter requires a dedicated read-only monitoring user — provisioning is handled by the platform team via the DBA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PostgreSQL: enable the pg_stat_statements extension on all instances. The postgres_exporter connects via a dedicated pg_monitor role user managed by the platform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 transactions (Layer 3) must be registered in the metrics catalog with metric name, description, owning team, and SLO target. The platform team provisions a Grafana panel automatically on registration.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13680"/>
      </w:tabs>
    </w:pPr>
    <w:r>
      <w:rPr>
        <w:rFonts w:ascii="Arial" w:cs="Arial" w:eastAsia="Arial" w:hAnsi="Arial"/>
        <w:color w:val="666666"/>
        <w:sz w:val="16"/>
        <w:szCs w:val="16"/>
      </w:rPr>
      <w:t xml:space="preserve">Prometheus + Grafana | Designed for diverse application portfolios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tabs>
        <w:tab w:val="right" w:pos="13680"/>
      </w:tabs>
      <w:spacing w:after="80" w:before="80"/>
      <w:ind w:left="120" w:right="12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Centralized Application Monitoring — Metrics Reference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DDDDD"/>
        <w:sz w:val="16"/>
        <w:szCs w:val="16"/>
      </w:rPr>
      <w:t xml:space="preserve">Confidential /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2026-06-12T19:42:06.283Z</dcterms:created>
  <dcterms:modified xsi:type="dcterms:W3CDTF">2026-06-12T19:42:06.283Z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