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2669B5" w:rsidRPr="00C4090C">
        <w:t>0</w:t>
      </w:r>
      <w:r w:rsidR="007C1382" w:rsidRPr="00F05BA1">
        <w:t>.</w:t>
      </w:r>
      <w:r w:rsidR="005145CA" w:rsidRPr="00A62F03">
        <w:t>6</w:t>
      </w:r>
      <w:r w:rsidR="00AD248D" w:rsidRPr="00AD248D">
        <w:br/>
      </w:r>
      <w:r w:rsidR="005145CA">
        <w:t>Релиз 1.</w:t>
      </w:r>
      <w:r w:rsidR="005145CA" w:rsidRPr="00A62F03">
        <w:t>4.1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EndPr/>
      <w:sdtContent>
        <w:p w:rsidR="00567E1A" w:rsidRDefault="00567E1A">
          <w:pPr>
            <w:pStyle w:val="a9"/>
          </w:pPr>
          <w:r>
            <w:t>Оглавление</w:t>
          </w:r>
        </w:p>
        <w:bookmarkStart w:id="0" w:name="_GoBack"/>
        <w:bookmarkEnd w:id="0"/>
        <w:p w:rsidR="005405EB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9851" w:history="1">
            <w:r w:rsidR="005405EB" w:rsidRPr="00F054E2">
              <w:rPr>
                <w:rStyle w:val="a3"/>
                <w:noProof/>
              </w:rPr>
              <w:t>1 ОБЩИЕ СВЕДЕНИЯ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_Toc17189851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2" w:history="1">
            <w:r w:rsidRPr="00F054E2">
              <w:rPr>
                <w:rStyle w:val="a3"/>
                <w:noProof/>
              </w:rPr>
              <w:t>1.1 Сфера применения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3" w:history="1">
            <w:r w:rsidRPr="00F054E2">
              <w:rPr>
                <w:rStyle w:val="a3"/>
                <w:noProof/>
              </w:rPr>
              <w:t>1.2 Назначение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4" w:history="1">
            <w:r w:rsidRPr="00F054E2">
              <w:rPr>
                <w:rStyle w:val="a3"/>
                <w:noProof/>
              </w:rPr>
              <w:t>1.3 Архитектура технологического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5" w:history="1">
            <w:r w:rsidRPr="00F054E2">
              <w:rPr>
                <w:rStyle w:val="a3"/>
                <w:noProof/>
              </w:rPr>
              <w:t>1.4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6" w:history="1">
            <w:r w:rsidRPr="00F054E2">
              <w:rPr>
                <w:rStyle w:val="a3"/>
                <w:noProof/>
              </w:rPr>
              <w:t>1.5.Аутентификация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7" w:history="1">
            <w:r w:rsidRPr="00F054E2">
              <w:rPr>
                <w:rStyle w:val="a3"/>
                <w:noProof/>
              </w:rPr>
              <w:t>1.6. Реализация асинхронного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8" w:history="1">
            <w:r w:rsidRPr="00F054E2">
              <w:rPr>
                <w:rStyle w:val="a3"/>
                <w:noProof/>
              </w:rPr>
              <w:t>1.7. Сценарий продажи полиса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9" w:history="1">
            <w:r w:rsidRPr="00F054E2">
              <w:rPr>
                <w:rStyle w:val="a3"/>
                <w:noProof/>
              </w:rPr>
              <w:t>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0" w:history="1">
            <w:r w:rsidRPr="00F054E2">
              <w:rPr>
                <w:rStyle w:val="a3"/>
                <w:noProof/>
              </w:rPr>
              <w:t>2.1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1" w:history="1">
            <w:r w:rsidRPr="00F054E2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Pr="00F054E2">
              <w:rPr>
                <w:rStyle w:val="a3"/>
                <w:noProof/>
                <w:lang w:val="en-US"/>
              </w:rPr>
              <w:t>SavePolicy</w:t>
            </w:r>
            <w:r w:rsidRPr="00F054E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2" w:history="1">
            <w:r w:rsidRPr="00F054E2">
              <w:rPr>
                <w:rStyle w:val="a3"/>
                <w:noProof/>
              </w:rPr>
              <w:t xml:space="preserve">2.3 Подтверждение покупки полиса ( </w:t>
            </w:r>
            <w:r w:rsidRPr="00F054E2">
              <w:rPr>
                <w:rStyle w:val="a3"/>
                <w:noProof/>
                <w:lang w:val="en-US"/>
              </w:rPr>
              <w:t>SignPolicy</w:t>
            </w:r>
            <w:r w:rsidRPr="00F054E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3" w:history="1">
            <w:r w:rsidRPr="00F054E2">
              <w:rPr>
                <w:rStyle w:val="a3"/>
                <w:noProof/>
              </w:rPr>
              <w:t xml:space="preserve">2.4 Подтверждение оплаты полиса ОСАГО ( </w:t>
            </w:r>
            <w:r w:rsidRPr="00F054E2">
              <w:rPr>
                <w:rStyle w:val="a3"/>
                <w:noProof/>
                <w:lang w:val="en-US"/>
              </w:rPr>
              <w:t>buyPolicy</w:t>
            </w:r>
            <w:r w:rsidRPr="00F054E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4" w:history="1">
            <w:r w:rsidRPr="00F054E2">
              <w:rPr>
                <w:rStyle w:val="a3"/>
                <w:noProof/>
              </w:rPr>
              <w:t xml:space="preserve">2.5 Быстрый расчет премии ( </w:t>
            </w:r>
            <w:r w:rsidRPr="00F054E2">
              <w:rPr>
                <w:rStyle w:val="a3"/>
                <w:noProof/>
                <w:lang w:val="en-US"/>
              </w:rPr>
              <w:t>CalculatePolicy</w:t>
            </w:r>
            <w:r w:rsidRPr="00F054E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5" w:history="1">
            <w:r w:rsidRPr="00F054E2">
              <w:rPr>
                <w:rStyle w:val="a3"/>
                <w:noProof/>
                <w:lang w:val="en-US"/>
              </w:rPr>
              <w:t xml:space="preserve">3 </w:t>
            </w:r>
            <w:r w:rsidRPr="00F054E2">
              <w:rPr>
                <w:rStyle w:val="a3"/>
                <w:noProof/>
              </w:rPr>
              <w:t>Коды</w:t>
            </w:r>
            <w:r w:rsidRPr="00F054E2">
              <w:rPr>
                <w:rStyle w:val="a3"/>
                <w:noProof/>
                <w:lang w:val="en-US"/>
              </w:rPr>
              <w:t xml:space="preserve"> </w:t>
            </w:r>
            <w:r w:rsidRPr="00F054E2">
              <w:rPr>
                <w:rStyle w:val="a3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6" w:history="1">
            <w:r w:rsidRPr="00F054E2">
              <w:rPr>
                <w:rStyle w:val="a3"/>
                <w:noProof/>
                <w:lang w:val="en-US"/>
              </w:rPr>
              <w:t>4</w:t>
            </w:r>
            <w:r w:rsidRPr="00F054E2">
              <w:rPr>
                <w:rStyle w:val="a3"/>
                <w:noProof/>
              </w:rPr>
              <w:t xml:space="preserve">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7" w:history="1">
            <w:r w:rsidRPr="00F054E2">
              <w:rPr>
                <w:rStyle w:val="a3"/>
                <w:noProof/>
              </w:rPr>
              <w:t>Передача страховой суммы и страховой премии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8" w:history="1">
            <w:r w:rsidRPr="00F054E2">
              <w:rPr>
                <w:rStyle w:val="a3"/>
                <w:noProof/>
              </w:rPr>
              <w:t>Физ.лица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EB" w:rsidRDefault="005405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9" w:history="1">
            <w:r w:rsidRPr="00F054E2">
              <w:rPr>
                <w:rStyle w:val="a3"/>
                <w:noProof/>
              </w:rPr>
              <w:t>Объект страхования ( ТС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31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Pr="002116F9" w:rsidRDefault="002116F9" w:rsidP="002116F9">
      <w:pPr>
        <w:pStyle w:val="2"/>
      </w:pPr>
      <w:bookmarkStart w:id="1" w:name="_Toc17189851"/>
      <w:r w:rsidRPr="00F05BA1">
        <w:lastRenderedPageBreak/>
        <w:t xml:space="preserve">1 </w:t>
      </w:r>
      <w:r w:rsidR="00431579">
        <w:t>ОБЩИЕ СВЕДЕНИЯ</w:t>
      </w:r>
      <w:bookmarkEnd w:id="1"/>
    </w:p>
    <w:p w:rsidR="002116F9" w:rsidRPr="002116F9" w:rsidRDefault="002116F9" w:rsidP="002116F9">
      <w:pPr>
        <w:pStyle w:val="3"/>
      </w:pPr>
      <w:bookmarkStart w:id="2" w:name="_Toc17189852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2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3" w:name="_Toc17189853"/>
      <w:r w:rsidRPr="002F2BF9">
        <w:t xml:space="preserve">1.2 </w:t>
      </w:r>
      <w:r w:rsidR="00431579">
        <w:t>Назначение интерфейса</w:t>
      </w:r>
      <w:bookmarkEnd w:id="3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4" w:name="_Toc17189854"/>
      <w:r w:rsidRPr="002F2BF9">
        <w:t xml:space="preserve">1.3 </w:t>
      </w:r>
      <w:r w:rsidR="00431579">
        <w:t>Архитектура технологического интерфейса</w:t>
      </w:r>
      <w:bookmarkEnd w:id="4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5" w:name="_Toc17189855"/>
      <w:r w:rsidRPr="002116F9">
        <w:t xml:space="preserve">1.4 </w:t>
      </w:r>
      <w:r w:rsidR="00431579">
        <w:t>Обработка ошибок</w:t>
      </w:r>
      <w:bookmarkEnd w:id="5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6" w:name="_Toc17189856"/>
      <w:r>
        <w:t>1.5.Аутентификация и авторизация</w:t>
      </w:r>
      <w:bookmarkEnd w:id="6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7" w:name="_Toc17189857"/>
      <w:r w:rsidRPr="0020422B">
        <w:t>1.6. Реализа</w:t>
      </w:r>
      <w:r w:rsidR="00A85ED6">
        <w:t>ция асинхронного взаимодействия</w:t>
      </w:r>
      <w:bookmarkEnd w:id="7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&lt;messageId&gt;994333223-9162-4be2-9ebc-02d3706e17433&lt;/messageId&gt;</w:t>
      </w:r>
      <w:r w:rsidR="00B90DED">
        <w:br/>
        <w:t>Такой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8" w:name="_Toc17189858"/>
      <w:r w:rsidRPr="00A85ED6">
        <w:t>1.7. Сценарий продажи полиса</w:t>
      </w:r>
      <w:bookmarkEnd w:id="8"/>
    </w:p>
    <w:p w:rsidR="00A85ED6" w:rsidRPr="00A85ED6" w:rsidRDefault="00A85ED6" w:rsidP="00EB764C">
      <w:pPr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случае,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bookmarkStart w:id="9" w:name="_Toc17189859"/>
      <w:r w:rsidRPr="002116F9">
        <w:t xml:space="preserve">2 </w:t>
      </w:r>
      <w:r w:rsidR="00431579">
        <w:t>ОПИСАНИЕ ФУНКЦИЙ</w:t>
      </w:r>
      <w:bookmarkEnd w:id="9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>1. Логин ( 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C70EA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10" w:name="_Toc17189860"/>
      <w:r w:rsidRPr="002116F9">
        <w:t xml:space="preserve">2.1 </w:t>
      </w:r>
      <w:r>
        <w:t>Логин</w:t>
      </w:r>
      <w:bookmarkEnd w:id="10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st/partners/api/</w:t>
      </w:r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&lt;?xml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1" w:name="_Toc17189861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( </w:t>
      </w:r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1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( 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cxf/rest/partners/api</w:t>
      </w:r>
      <w:r>
        <w:rPr>
          <w:lang w:val="en-US"/>
        </w:rPr>
        <w:t>/v1/osago/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2D5D2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lastRenderedPageBreak/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( 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( 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см.Справочники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r w:rsidR="00714FF0" w:rsidRPr="00714FF0">
              <w:rPr>
                <w:sz w:val="16"/>
                <w:szCs w:val="16"/>
                <w:lang w:val="en-US"/>
              </w:rPr>
              <w:t>.</w:t>
            </w:r>
            <w:r w:rsidR="00D6594C">
              <w:rPr>
                <w:sz w:val="16"/>
                <w:szCs w:val="16"/>
              </w:rPr>
              <w:t xml:space="preserve"> ( не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( 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см.Справочники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( 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Физ,Юр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эл.почта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( 1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ТС.</w:t>
            </w:r>
            <w:r>
              <w:rPr>
                <w:sz w:val="16"/>
                <w:szCs w:val="16"/>
              </w:rPr>
              <w:br/>
            </w:r>
            <w:r w:rsidRPr="0048290A">
              <w:rPr>
                <w:sz w:val="16"/>
                <w:szCs w:val="16"/>
              </w:rPr>
              <w:t>единственный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 xml:space="preserve">Для категории В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 В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 В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 В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EB764C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EB764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( </w:t>
            </w:r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( </w:t>
            </w:r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EB764C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( 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52675">
              <w:rPr>
                <w:sz w:val="16"/>
                <w:szCs w:val="16"/>
              </w:rPr>
              <w:t xml:space="preserve"> ( 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>0 – неизвестно ( 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Полное</w:t>
            </w:r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( </w:t>
            </w:r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EB764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>0 – неизвестно ( 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EB764C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/БАЗОВЫЙ СЕССИОННЫЙ ЗАПРОС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&lt;!-- Данные по полису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&lt;model:dateStart&gt;2019-07-30T00:00:08+03:00&lt;/model:dateStart&gt;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B47F1B">
              <w:rPr>
                <w:sz w:val="16"/>
                <w:szCs w:val="16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>&gt; &lt;!-- Категрия ТС. Легоквые, Грузовый, прицепы и пр--&gt;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&lt;model:licensePlate&gt;О745ТЕ177&lt;/model:licensePlate&gt;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>&gt;&lt;!--Цели использования авто. Личная/Учебная/Такси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&lt;model:country&gt;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&lt;model:ownershipType&gt;&lt;!--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&gt;&lt;!-- Стоимость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Продаж)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A35FD2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A35FD2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 xml:space="preserve">Значение дополнительного реквизита:  Первые две цифры КЛАДР региона </w:t>
            </w:r>
            <w:r w:rsidRPr="00B47F1B">
              <w:rPr>
                <w:sz w:val="16"/>
                <w:szCs w:val="16"/>
              </w:rPr>
              <w:lastRenderedPageBreak/>
              <w:t>Продаж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47F1B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EB764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FE3680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C4090C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C4090C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A85ED6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A85ED6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A85ED6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A85ED6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 .Коэффициент наличия / отсутсвия лиц допущенных к управлению. 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 &lt;!-- Коэффициент бонус-малус в целом по Полису. Зависит  от наличия или отсутсвия страховых выплат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 &lt;!-- 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FE3680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&lt;/model:factor_kp&gt;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 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lastRenderedPageBreak/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&lt;model:manufacture&gt;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&lt;model:type&gt;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>Легоквые, Грузовый, прицепы и пр--&gt;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&lt;model:licensePlate&gt;К988УХ24&lt;/model:licensePlate&gt;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>&gt;&lt;!--Цели использования авто. Личная/Учебная/Такси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&lt;model:country&gt;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&lt;model:ownershipType&gt;&lt;!--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&gt;&lt;!-- Стоимость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&lt;model:engineType&gt;&lt;!--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 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2" w:name="_Toc17189862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( </w:t>
      </w:r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2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r w:rsidR="007C1876">
        <w:rPr>
          <w:lang w:val="en-US"/>
        </w:rPr>
        <w:t>OC</w:t>
      </w:r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cxf/rest/partners/api</w:t>
      </w:r>
      <w:r>
        <w:rPr>
          <w:lang w:val="en-US"/>
        </w:rPr>
        <w:t>/v1/osago/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EB764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&lt;?xml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3" w:name="_Toc17189863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( </w:t>
      </w:r>
      <w:r w:rsidR="009D6A15">
        <w:rPr>
          <w:lang w:val="en-US"/>
        </w:rPr>
        <w:t>buyPolicy</w:t>
      </w:r>
      <w:r w:rsidR="009D6A15" w:rsidRPr="009D6A15">
        <w:t xml:space="preserve"> )</w:t>
      </w:r>
      <w:bookmarkEnd w:id="13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cxf/rest/partners/api</w:t>
      </w:r>
      <w:r>
        <w:rPr>
          <w:lang w:val="en-US"/>
        </w:rPr>
        <w:t>/v1/osago/</w:t>
      </w:r>
      <w:r w:rsidRPr="00363950">
        <w:rPr>
          <w:lang w:val="en-US"/>
        </w:rPr>
        <w:t>Policy/</w:t>
      </w:r>
      <w:r w:rsidR="009D6A15">
        <w:rPr>
          <w:lang w:val="en-US"/>
        </w:rPr>
        <w:t>b</w:t>
      </w:r>
      <w:r w:rsidR="008A245F">
        <w:rPr>
          <w:lang w:val="en-US"/>
        </w:rPr>
        <w:t>u</w:t>
      </w:r>
      <w:r>
        <w:rPr>
          <w:lang w:val="en-US"/>
        </w:rPr>
        <w:t>y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r w:rsidRPr="00AB721F">
              <w:rPr>
                <w:sz w:val="16"/>
                <w:szCs w:val="16"/>
                <w:lang w:val="en-US"/>
              </w:rPr>
              <w:t>&lt;?xml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&lt;policy:buyPolicyRequest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r w:rsidRPr="00AB721F">
              <w:rPr>
                <w:sz w:val="16"/>
                <w:szCs w:val="16"/>
                <w:lang w:val="en-US"/>
              </w:rPr>
              <w:t>&lt;?xml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policy:buyPolicyRequest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  <w:tr w:rsidR="002E4BCA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r w:rsidRPr="00AB721F">
              <w:rPr>
                <w:sz w:val="16"/>
                <w:szCs w:val="16"/>
                <w:lang w:val="en-US"/>
              </w:rPr>
              <w:t>&lt;?xml version="1.0" encoding="UTF-8"?&gt;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&lt;policy:buyPolicyRequest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&lt;policy:buyPolicyResponse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&lt;/policy:buyPolicyResponse&gt;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EB764C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&lt;pol:buyPolicyResponse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5145CA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&lt;/pol:buyPolicyResponse&gt;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4" w:name="_Toc17189864"/>
      <w:r w:rsidRPr="002116F9">
        <w:lastRenderedPageBreak/>
        <w:t>2.</w:t>
      </w:r>
      <w:r w:rsidRPr="00DC019F">
        <w:t>5</w:t>
      </w:r>
      <w:r>
        <w:t xml:space="preserve"> Быстрый расчет премии ( </w:t>
      </w:r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4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( 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Условия страхования ( 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см.Справочники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см.Справочники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r w:rsidR="005665D9">
              <w:rPr>
                <w:sz w:val="16"/>
                <w:szCs w:val="16"/>
              </w:rPr>
              <w:t>( 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Физ,Юр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ТС.</w:t>
            </w:r>
            <w:r>
              <w:rPr>
                <w:sz w:val="16"/>
                <w:szCs w:val="16"/>
              </w:rPr>
              <w:br/>
            </w:r>
            <w:r w:rsidRPr="0048290A">
              <w:rPr>
                <w:sz w:val="16"/>
                <w:szCs w:val="16"/>
              </w:rPr>
              <w:t>единственный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( </w:t>
            </w:r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EB764C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EB764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&lt;!--</w:t>
            </w:r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&lt;!--</w:t>
            </w:r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5" w:name="_Toc17189865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5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«amount» в счете и основном блоке buyPolicy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В случае, если фактическая сумма оплаты, направленная в запросе buyPolicy,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Ошибки, связанная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6" w:name="_Toc17189866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6"/>
    </w:p>
    <w:p w:rsidR="00AB2862" w:rsidRDefault="00AB2862" w:rsidP="00AB2862">
      <w:bookmarkStart w:id="17" w:name="_Toc17189867"/>
      <w:r w:rsidRPr="00AB2862">
        <w:rPr>
          <w:rStyle w:val="30"/>
        </w:rPr>
        <w:t>Передача страховой суммы и страховой премии</w:t>
      </w:r>
      <w:bookmarkEnd w:id="17"/>
      <w:r>
        <w:br/>
        <w:t>Все суммы в запросах и ответах, в т.ч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8" w:name="_Toc17189868"/>
      <w:r>
        <w:t>Физ.лица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Эл. почта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9" w:name="_Toc17189869"/>
      <w:r>
        <w:t>Объект страхования</w:t>
      </w:r>
      <w:r w:rsidR="00D71AE1">
        <w:t xml:space="preserve"> ( ТС )</w:t>
      </w:r>
      <w:bookmarkEnd w:id="19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Pr="003554C0" w:rsidRDefault="003554C0" w:rsidP="003554C0"/>
    <w:sectPr w:rsidR="003554C0" w:rsidRPr="0035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3C61"/>
    <w:rsid w:val="0001289B"/>
    <w:rsid w:val="00012AB6"/>
    <w:rsid w:val="000175BC"/>
    <w:rsid w:val="00024B56"/>
    <w:rsid w:val="000472CC"/>
    <w:rsid w:val="000704CF"/>
    <w:rsid w:val="00073A2F"/>
    <w:rsid w:val="00074818"/>
    <w:rsid w:val="0007740D"/>
    <w:rsid w:val="00082320"/>
    <w:rsid w:val="0009444D"/>
    <w:rsid w:val="00095BA5"/>
    <w:rsid w:val="000A190A"/>
    <w:rsid w:val="000B3174"/>
    <w:rsid w:val="000B7170"/>
    <w:rsid w:val="000C1957"/>
    <w:rsid w:val="000D7482"/>
    <w:rsid w:val="000E0E9D"/>
    <w:rsid w:val="000E52EC"/>
    <w:rsid w:val="00101AF2"/>
    <w:rsid w:val="00106B5D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20422B"/>
    <w:rsid w:val="00210608"/>
    <w:rsid w:val="002116F9"/>
    <w:rsid w:val="00224646"/>
    <w:rsid w:val="00235FCF"/>
    <w:rsid w:val="00244C41"/>
    <w:rsid w:val="0025343C"/>
    <w:rsid w:val="0025388E"/>
    <w:rsid w:val="002669B5"/>
    <w:rsid w:val="0028270E"/>
    <w:rsid w:val="002A027B"/>
    <w:rsid w:val="002A090A"/>
    <w:rsid w:val="002B1285"/>
    <w:rsid w:val="002C0355"/>
    <w:rsid w:val="002C575A"/>
    <w:rsid w:val="002C5F1E"/>
    <w:rsid w:val="002D5D21"/>
    <w:rsid w:val="002E4BCA"/>
    <w:rsid w:val="002E5BBC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5145CA"/>
    <w:rsid w:val="00515566"/>
    <w:rsid w:val="005156F7"/>
    <w:rsid w:val="00523699"/>
    <w:rsid w:val="00536654"/>
    <w:rsid w:val="005405EB"/>
    <w:rsid w:val="00547F97"/>
    <w:rsid w:val="00552675"/>
    <w:rsid w:val="00554BDE"/>
    <w:rsid w:val="005665D9"/>
    <w:rsid w:val="00567E1A"/>
    <w:rsid w:val="005772AB"/>
    <w:rsid w:val="005A42E0"/>
    <w:rsid w:val="005D15D6"/>
    <w:rsid w:val="005E4D7A"/>
    <w:rsid w:val="005F157B"/>
    <w:rsid w:val="005F2D88"/>
    <w:rsid w:val="00642CAB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E2448"/>
    <w:rsid w:val="007F00AC"/>
    <w:rsid w:val="007F4AD5"/>
    <w:rsid w:val="007F5729"/>
    <w:rsid w:val="00871523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A06513"/>
    <w:rsid w:val="00A35FD2"/>
    <w:rsid w:val="00A423F8"/>
    <w:rsid w:val="00A43D0B"/>
    <w:rsid w:val="00A45C1C"/>
    <w:rsid w:val="00A62F03"/>
    <w:rsid w:val="00A7579D"/>
    <w:rsid w:val="00A7782E"/>
    <w:rsid w:val="00A85ED6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763E"/>
    <w:rsid w:val="00B17AD0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F44"/>
    <w:rsid w:val="00BE1823"/>
    <w:rsid w:val="00BF50AB"/>
    <w:rsid w:val="00C0029E"/>
    <w:rsid w:val="00C021DC"/>
    <w:rsid w:val="00C03319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B764C"/>
    <w:rsid w:val="00EE3FF3"/>
    <w:rsid w:val="00F05BA1"/>
    <w:rsid w:val="00F226AE"/>
    <w:rsid w:val="00F45F95"/>
    <w:rsid w:val="00F67108"/>
    <w:rsid w:val="00F742B7"/>
    <w:rsid w:val="00F9030F"/>
    <w:rsid w:val="00FB440C"/>
    <w:rsid w:val="00FB737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0A52-43D0-46E8-BF76-1FDFBE6C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11774</Words>
  <Characters>67118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78735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Шкляр Антон</cp:lastModifiedBy>
  <cp:revision>24</cp:revision>
  <cp:lastPrinted>2019-08-20T07:37:00Z</cp:lastPrinted>
  <dcterms:created xsi:type="dcterms:W3CDTF">2019-08-08T08:52:00Z</dcterms:created>
  <dcterms:modified xsi:type="dcterms:W3CDTF">2019-08-20T07:37:00Z</dcterms:modified>
</cp:coreProperties>
</file>