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B12AF" w14:textId="77777777" w:rsidR="006F048F" w:rsidRDefault="006F048F" w:rsidP="006F048F">
      <w:pPr>
        <w:rPr>
          <w:sz w:val="2"/>
          <w:szCs w:val="2"/>
        </w:rPr>
      </w:pPr>
      <w:bookmarkStart w:id="0" w:name="OLE_LINK1"/>
      <w:bookmarkStart w:id="1" w:name="OLE_LINK2"/>
      <w:r>
        <w:rPr>
          <w:noProof/>
        </w:rPr>
        <mc:AlternateContent>
          <mc:Choice Requires="wps">
            <w:drawing>
              <wp:anchor distT="0" distB="0" distL="0" distR="0" simplePos="0" relativeHeight="251679744" behindDoc="1" locked="0" layoutInCell="1" allowOverlap="1" wp14:anchorId="6851122C" wp14:editId="09331DD8">
                <wp:simplePos x="0" y="0"/>
                <wp:positionH relativeFrom="margin">
                  <wp:align>center</wp:align>
                </wp:positionH>
                <wp:positionV relativeFrom="page">
                  <wp:posOffset>2045677</wp:posOffset>
                </wp:positionV>
                <wp:extent cx="3938400" cy="622800"/>
                <wp:effectExtent l="0" t="0" r="0" b="0"/>
                <wp:wrapNone/>
                <wp:docPr id="412795868"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400" cy="622800"/>
                        </a:xfrm>
                        <a:prstGeom prst="rect">
                          <a:avLst/>
                        </a:prstGeom>
                      </wps:spPr>
                      <wps:txbx>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wps:txbx>
                      <wps:bodyPr wrap="square" lIns="0" tIns="0" rIns="0" bIns="0" rtlCol="0" upright="1">
                        <a:spAutoFit/>
                      </wps:bodyPr>
                    </wps:wsp>
                  </a:graphicData>
                </a:graphic>
                <wp14:sizeRelH relativeFrom="margin">
                  <wp14:pctWidth>0</wp14:pctWidth>
                </wp14:sizeRelH>
                <wp14:sizeRelV relativeFrom="margin">
                  <wp14:pctHeight>0</wp14:pctHeight>
                </wp14:sizeRelV>
              </wp:anchor>
            </w:drawing>
          </mc:Choice>
          <mc:Fallback>
            <w:pict>
              <v:shapetype w14:anchorId="6851122C" id="_x0000_t202" coordsize="21600,21600" o:spt="202" path="m,l,21600r21600,l21600,xe">
                <v:stroke joinstyle="miter"/>
                <v:path gradientshapeok="t" o:connecttype="rect"/>
              </v:shapetype>
              <v:shape id="Textbox 2" o:spid="_x0000_s1026" type="#_x0000_t202" style="position:absolute;left:0;text-align:left;margin-left:0;margin-top:161.1pt;width:310.1pt;height:49.0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" filled="f" stroked="f">
                <v:textbox style="mso-fit-shape-to-text:t" inset="0,0,0,0">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v:textbox>
                <w10:wrap anchorx="margin" anchory="page"/>
              </v:shape>
            </w:pict>
          </mc:Fallback>
        </mc:AlternateContent>
      </w:r>
      <w:r>
        <w:rPr>
          <w:noProof/>
        </w:rPr>
        <mc:AlternateContent>
          <mc:Choice Requires="wps">
            <w:drawing>
              <wp:anchor distT="0" distB="0" distL="0" distR="0" simplePos="0" relativeHeight="251678720" behindDoc="1" locked="0" layoutInCell="1" allowOverlap="1" wp14:anchorId="090CA49D" wp14:editId="4513D6E7">
                <wp:simplePos x="0" y="0"/>
                <wp:positionH relativeFrom="page">
                  <wp:posOffset>2081463</wp:posOffset>
                </wp:positionH>
                <wp:positionV relativeFrom="page">
                  <wp:posOffset>866274</wp:posOffset>
                </wp:positionV>
                <wp:extent cx="3489158" cy="546100"/>
                <wp:effectExtent l="0" t="0" r="0" b="0"/>
                <wp:wrapNone/>
                <wp:docPr id="84932997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9158" cy="546100"/>
                        </a:xfrm>
                        <a:prstGeom prst="rect">
                          <a:avLst/>
                        </a:prstGeom>
                      </wps:spPr>
                      <wps:txbx>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wps:txbx>
                      <wps:bodyPr wrap="square" lIns="0" tIns="0" rIns="0" bIns="0" rtlCol="0" upright="1">
                        <a:spAutoFit/>
                      </wps:bodyPr>
                    </wps:wsp>
                  </a:graphicData>
                </a:graphic>
                <wp14:sizeRelH relativeFrom="margin">
                  <wp14:pctWidth>0</wp14:pctWidth>
                </wp14:sizeRelH>
              </wp:anchor>
            </w:drawing>
          </mc:Choice>
          <mc:Fallback>
            <w:pict>
              <v:shape w14:anchorId="090CA49D" id="Textbox 1" o:spid="_x0000_s1027" type="#_x0000_t202" style="position:absolute;left:0;text-align:left;margin-left:163.9pt;margin-top:68.2pt;width:274.75pt;height:43pt;z-index:-25163776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" filled="f" stroked="f">
                <v:textbox style="mso-fit-shape-to-text:t" inset="0,0,0,0">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v:textbox>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25283AC7" wp14:editId="1363BC7D">
                <wp:simplePos x="0" y="0"/>
                <wp:positionH relativeFrom="page">
                  <wp:posOffset>2092991</wp:posOffset>
                </wp:positionH>
                <wp:positionV relativeFrom="page">
                  <wp:posOffset>3921366</wp:posOffset>
                </wp:positionV>
                <wp:extent cx="3409200" cy="604800"/>
                <wp:effectExtent l="0" t="0" r="0" b="0"/>
                <wp:wrapNone/>
                <wp:docPr id="179962468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9200" cy="604800"/>
                        </a:xfrm>
                        <a:prstGeom prst="rect">
                          <a:avLst/>
                        </a:prstGeom>
                      </wps:spPr>
                      <wps:txbx>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25283AC7" id="Textbox 3" o:spid="_x0000_s1028" type="#_x0000_t202" style="position:absolute;left:0;text-align:left;margin-left:164.8pt;margin-top:308.75pt;width:268.45pt;height:47.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" filled="f" stroked="f">
                <v:textbox style="mso-fit-shape-to-text:t" inset="0,0,0,0">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7442B2DE" wp14:editId="3DD4D5FA">
                <wp:simplePos x="0" y="0"/>
                <wp:positionH relativeFrom="page">
                  <wp:posOffset>3189730</wp:posOffset>
                </wp:positionH>
                <wp:positionV relativeFrom="page">
                  <wp:posOffset>4666057</wp:posOffset>
                </wp:positionV>
                <wp:extent cx="1200785" cy="175260"/>
                <wp:effectExtent l="0" t="0" r="0" b="0"/>
                <wp:wrapNone/>
                <wp:docPr id="79103016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175260"/>
                        </a:xfrm>
                        <a:prstGeom prst="rect">
                          <a:avLst/>
                        </a:prstGeom>
                      </wps:spPr>
                      <wps:txbx>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wps:txbx>
                      <wps:bodyPr wrap="square" lIns="0" tIns="0" rIns="0" bIns="0" rtlCol="0">
                        <a:noAutofit/>
                      </wps:bodyPr>
                    </wps:wsp>
                  </a:graphicData>
                </a:graphic>
              </wp:anchor>
            </w:drawing>
          </mc:Choice>
          <mc:Fallback>
            <w:pict>
              <v:shape w14:anchorId="7442B2DE" id="Textbox 4" o:spid="_x0000_s1029" type="#_x0000_t202" style="position:absolute;left:0;text-align:left;margin-left:251.15pt;margin-top:367.4pt;width:94.55pt;height:13.8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" filled="f" stroked="f">
                <v:textbox inset="0,0,0,0">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29219DE1" wp14:editId="09B29436">
                <wp:simplePos x="0" y="0"/>
                <wp:positionH relativeFrom="page">
                  <wp:posOffset>2896414</wp:posOffset>
                </wp:positionH>
                <wp:positionV relativeFrom="page">
                  <wp:posOffset>4977483</wp:posOffset>
                </wp:positionV>
                <wp:extent cx="1779270" cy="175260"/>
                <wp:effectExtent l="0" t="0" r="0" b="0"/>
                <wp:wrapNone/>
                <wp:docPr id="8021341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9270" cy="175260"/>
                        </a:xfrm>
                        <a:prstGeom prst="rect">
                          <a:avLst/>
                        </a:prstGeom>
                      </wps:spPr>
                      <wps:txbx>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wps:txbx>
                      <wps:bodyPr wrap="square" lIns="0" tIns="0" rIns="0" bIns="0" rtlCol="0">
                        <a:noAutofit/>
                      </wps:bodyPr>
                    </wps:wsp>
                  </a:graphicData>
                </a:graphic>
              </wp:anchor>
            </w:drawing>
          </mc:Choice>
          <mc:Fallback>
            <w:pict>
              <v:shape w14:anchorId="29219DE1" id="Textbox 5" o:spid="_x0000_s1030" type="#_x0000_t202" style="position:absolute;left:0;text-align:left;margin-left:228.05pt;margin-top:391.95pt;width:140.1pt;height:13.8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" filled="f" stroked="f">
                <v:textbox inset="0,0,0,0">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22EC9C6F" wp14:editId="6A3A065E">
                <wp:simplePos x="0" y="0"/>
                <wp:positionH relativeFrom="page">
                  <wp:posOffset>3487151</wp:posOffset>
                </wp:positionH>
                <wp:positionV relativeFrom="page">
                  <wp:posOffset>5288911</wp:posOffset>
                </wp:positionV>
                <wp:extent cx="595630" cy="175260"/>
                <wp:effectExtent l="0" t="0" r="0" b="0"/>
                <wp:wrapNone/>
                <wp:docPr id="188294760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75260"/>
                        </a:xfrm>
                        <a:prstGeom prst="rect">
                          <a:avLst/>
                        </a:prstGeom>
                      </wps:spPr>
                      <wps:txbx>
                        <w:txbxContent>
                          <w:p w14:paraId="18BE6080" w14:textId="77777777" w:rsidR="006F048F" w:rsidRDefault="006F048F" w:rsidP="006F048F">
                            <w:pPr>
                              <w:pStyle w:val="Textkrper"/>
                            </w:pPr>
                            <w:r>
                              <w:rPr>
                                <w:color w:val="030303"/>
                                <w:spacing w:val="-2"/>
                                <w:w w:val="105"/>
                              </w:rPr>
                              <w:t>vorgelegt</w:t>
                            </w:r>
                          </w:p>
                        </w:txbxContent>
                      </wps:txbx>
                      <wps:bodyPr wrap="square" lIns="0" tIns="0" rIns="0" bIns="0" rtlCol="0">
                        <a:noAutofit/>
                      </wps:bodyPr>
                    </wps:wsp>
                  </a:graphicData>
                </a:graphic>
              </wp:anchor>
            </w:drawing>
          </mc:Choice>
          <mc:Fallback>
            <w:pict>
              <v:shape w14:anchorId="22EC9C6F" id="Textbox 6" o:spid="_x0000_s1031" type="#_x0000_t202" style="position:absolute;left:0;text-align:left;margin-left:274.6pt;margin-top:416.45pt;width:46.9pt;height:13.8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" filled="f" stroked="f">
                <v:textbox inset="0,0,0,0">
                  <w:txbxContent>
                    <w:p w14:paraId="18BE6080" w14:textId="77777777" w:rsidR="006F048F" w:rsidRDefault="006F048F" w:rsidP="006F048F">
                      <w:pPr>
                        <w:pStyle w:val="Textkrper"/>
                      </w:pPr>
                      <w:r>
                        <w:rPr>
                          <w:color w:val="030303"/>
                          <w:spacing w:val="-2"/>
                          <w:w w:val="105"/>
                        </w:rPr>
                        <w:t>vorgelegt</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4F133F41" wp14:editId="306E8B2A">
                <wp:simplePos x="0" y="0"/>
                <wp:positionH relativeFrom="page">
                  <wp:posOffset>2343162</wp:posOffset>
                </wp:positionH>
                <wp:positionV relativeFrom="page">
                  <wp:posOffset>5600338</wp:posOffset>
                </wp:positionV>
                <wp:extent cx="2884805" cy="175260"/>
                <wp:effectExtent l="0" t="0" r="0" b="0"/>
                <wp:wrapNone/>
                <wp:docPr id="20057929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75260"/>
                        </a:xfrm>
                        <a:prstGeom prst="rect">
                          <a:avLst/>
                        </a:prstGeom>
                      </wps:spPr>
                      <wps:txbx>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wps:txbx>
                      <wps:bodyPr wrap="square" lIns="0" tIns="0" rIns="0" bIns="0" rtlCol="0">
                        <a:noAutofit/>
                      </wps:bodyPr>
                    </wps:wsp>
                  </a:graphicData>
                </a:graphic>
              </wp:anchor>
            </w:drawing>
          </mc:Choice>
          <mc:Fallback>
            <w:pict>
              <v:shape w14:anchorId="4F133F41" id="Textbox 7" o:spid="_x0000_s1032" type="#_x0000_t202" style="position:absolute;left:0;text-align:left;margin-left:184.5pt;margin-top:440.95pt;width:227.15pt;height:13.8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" filled="f" stroked="f">
                <v:textbox inset="0,0,0,0">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1BDD88FA" wp14:editId="1CDC9393">
                <wp:simplePos x="0" y="0"/>
                <wp:positionH relativeFrom="page">
                  <wp:posOffset>2622729</wp:posOffset>
                </wp:positionH>
                <wp:positionV relativeFrom="page">
                  <wp:posOffset>5911766</wp:posOffset>
                </wp:positionV>
                <wp:extent cx="2332355" cy="175260"/>
                <wp:effectExtent l="0" t="0" r="0" b="0"/>
                <wp:wrapNone/>
                <wp:docPr id="66211145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175260"/>
                        </a:xfrm>
                        <a:prstGeom prst="rect">
                          <a:avLst/>
                        </a:prstGeom>
                      </wps:spPr>
                      <wps:txbx>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wps:txbx>
                      <wps:bodyPr wrap="square" lIns="0" tIns="0" rIns="0" bIns="0" rtlCol="0">
                        <a:noAutofit/>
                      </wps:bodyPr>
                    </wps:wsp>
                  </a:graphicData>
                </a:graphic>
              </wp:anchor>
            </w:drawing>
          </mc:Choice>
          <mc:Fallback>
            <w:pict>
              <v:shape w14:anchorId="1BDD88FA" id="Textbox 8" o:spid="_x0000_s1033" type="#_x0000_t202" style="position:absolute;left:0;text-align:left;margin-left:206.5pt;margin-top:465.5pt;width:183.65pt;height:13.8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" filled="f" stroked="f">
                <v:textbox inset="0,0,0,0">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55161D15" wp14:editId="4C668EB0">
                <wp:simplePos x="0" y="0"/>
                <wp:positionH relativeFrom="page">
                  <wp:posOffset>3661307</wp:posOffset>
                </wp:positionH>
                <wp:positionV relativeFrom="page">
                  <wp:posOffset>6534622</wp:posOffset>
                </wp:positionV>
                <wp:extent cx="251460" cy="175260"/>
                <wp:effectExtent l="0" t="0" r="0" b="0"/>
                <wp:wrapNone/>
                <wp:docPr id="55065036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75260"/>
                        </a:xfrm>
                        <a:prstGeom prst="rect">
                          <a:avLst/>
                        </a:prstGeom>
                      </wps:spPr>
                      <wps:txbx>
                        <w:txbxContent>
                          <w:p w14:paraId="085BFBBA" w14:textId="77777777" w:rsidR="006F048F" w:rsidRDefault="006F048F" w:rsidP="006F048F">
                            <w:pPr>
                              <w:pStyle w:val="Textkrper"/>
                            </w:pPr>
                            <w:r>
                              <w:rPr>
                                <w:color w:val="030303"/>
                                <w:spacing w:val="-5"/>
                                <w:w w:val="105"/>
                              </w:rPr>
                              <w:t>von</w:t>
                            </w:r>
                          </w:p>
                        </w:txbxContent>
                      </wps:txbx>
                      <wps:bodyPr wrap="square" lIns="0" tIns="0" rIns="0" bIns="0" rtlCol="0">
                        <a:noAutofit/>
                      </wps:bodyPr>
                    </wps:wsp>
                  </a:graphicData>
                </a:graphic>
              </wp:anchor>
            </w:drawing>
          </mc:Choice>
          <mc:Fallback>
            <w:pict>
              <v:shape w14:anchorId="55161D15" id="Textbox 9" o:spid="_x0000_s1034" type="#_x0000_t202" style="position:absolute;left:0;text-align:left;margin-left:288.3pt;margin-top:514.55pt;width:19.8pt;height:13.8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" filled="f" stroked="f">
                <v:textbox inset="0,0,0,0">
                  <w:txbxContent>
                    <w:p w14:paraId="085BFBBA" w14:textId="77777777" w:rsidR="006F048F" w:rsidRDefault="006F048F" w:rsidP="006F048F">
                      <w:pPr>
                        <w:pStyle w:val="Textkrper"/>
                      </w:pPr>
                      <w:r>
                        <w:rPr>
                          <w:color w:val="030303"/>
                          <w:spacing w:val="-5"/>
                          <w:w w:val="105"/>
                        </w:rPr>
                        <w:t>von</w:t>
                      </w:r>
                    </w:p>
                  </w:txbxContent>
                </v:textbox>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157CCA89" wp14:editId="6F72A004">
                <wp:simplePos x="0" y="0"/>
                <wp:positionH relativeFrom="page">
                  <wp:posOffset>2431081</wp:posOffset>
                </wp:positionH>
                <wp:positionV relativeFrom="page">
                  <wp:posOffset>7093359</wp:posOffset>
                </wp:positionV>
                <wp:extent cx="2696845" cy="175260"/>
                <wp:effectExtent l="0" t="0" r="0" b="0"/>
                <wp:wrapNone/>
                <wp:docPr id="118285456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6845" cy="175260"/>
                        </a:xfrm>
                        <a:prstGeom prst="rect">
                          <a:avLst/>
                        </a:prstGeom>
                      </wps:spPr>
                      <wps:txbx>
                        <w:txbxContent>
                          <w:p w14:paraId="3EDF989B" w14:textId="77777777" w:rsidR="006F048F" w:rsidRDefault="006F048F" w:rsidP="006F048F">
                            <w:pPr>
                              <w:pStyle w:val="Textkrper"/>
                              <w:jc w:val="center"/>
                            </w:pPr>
                            <w:r>
                              <w:rPr>
                                <w:color w:val="030303"/>
                                <w:w w:val="105"/>
                              </w:rPr>
                              <w:t>Martin Jütz</w:t>
                            </w:r>
                          </w:p>
                        </w:txbxContent>
                      </wps:txbx>
                      <wps:bodyPr wrap="square" lIns="0" tIns="0" rIns="0" bIns="0" rtlCol="0">
                        <a:noAutofit/>
                      </wps:bodyPr>
                    </wps:wsp>
                  </a:graphicData>
                </a:graphic>
              </wp:anchor>
            </w:drawing>
          </mc:Choice>
          <mc:Fallback>
            <w:pict>
              <v:shape w14:anchorId="157CCA89" id="Textbox 10" o:spid="_x0000_s1035" type="#_x0000_t202" style="position:absolute;left:0;text-align:left;margin-left:191.4pt;margin-top:558.55pt;width:212.35pt;height:13.8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" filled="f" stroked="f">
                <v:textbox inset="0,0,0,0">
                  <w:txbxContent>
                    <w:p w14:paraId="3EDF989B" w14:textId="77777777" w:rsidR="006F048F" w:rsidRDefault="006F048F" w:rsidP="006F048F">
                      <w:pPr>
                        <w:pStyle w:val="Textkrper"/>
                        <w:jc w:val="center"/>
                      </w:pPr>
                      <w:r>
                        <w:rPr>
                          <w:color w:val="030303"/>
                          <w:w w:val="105"/>
                        </w:rPr>
                        <w:t>Martin Jütz</w:t>
                      </w:r>
                    </w:p>
                  </w:txbxContent>
                </v:textbox>
                <w10:wrap anchorx="page" anchory="page"/>
              </v:shape>
            </w:pict>
          </mc:Fallback>
        </mc:AlternateContent>
      </w:r>
      <w:r>
        <w:rPr>
          <w:noProof/>
        </w:rPr>
        <mc:AlternateContent>
          <mc:Choice Requires="wps">
            <w:drawing>
              <wp:anchor distT="0" distB="0" distL="0" distR="0" simplePos="0" relativeHeight="251688960" behindDoc="1" locked="0" layoutInCell="1" allowOverlap="1" wp14:anchorId="1B71A6C7" wp14:editId="7217D45E">
                <wp:simplePos x="0" y="0"/>
                <wp:positionH relativeFrom="page">
                  <wp:posOffset>3263956</wp:posOffset>
                </wp:positionH>
                <wp:positionV relativeFrom="page">
                  <wp:posOffset>7464325</wp:posOffset>
                </wp:positionV>
                <wp:extent cx="1033144" cy="175260"/>
                <wp:effectExtent l="0" t="0" r="0" b="0"/>
                <wp:wrapNone/>
                <wp:docPr id="132941397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144" cy="175260"/>
                        </a:xfrm>
                        <a:prstGeom prst="rect">
                          <a:avLst/>
                        </a:prstGeom>
                      </wps:spPr>
                      <wps:txbx>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wps:txbx>
                      <wps:bodyPr wrap="square" lIns="0" tIns="0" rIns="0" bIns="0" rtlCol="0" upright="1">
                        <a:spAutoFit/>
                      </wps:bodyPr>
                    </wps:wsp>
                  </a:graphicData>
                </a:graphic>
              </wp:anchor>
            </w:drawing>
          </mc:Choice>
          <mc:Fallback>
            <w:pict>
              <v:shape w14:anchorId="1B71A6C7" id="Textbox 11" o:spid="_x0000_s1036" type="#_x0000_t202" style="position:absolute;left:0;text-align:left;margin-left:257pt;margin-top:587.75pt;width:81.35pt;height:13.8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" filled="f" stroked="f">
                <v:textbox style="mso-fit-shape-to-text:t" inset="0,0,0,0">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173AFD35" wp14:editId="4D1092D3">
                <wp:simplePos x="0" y="0"/>
                <wp:positionH relativeFrom="page">
                  <wp:posOffset>2318948</wp:posOffset>
                </wp:positionH>
                <wp:positionV relativeFrom="page">
                  <wp:posOffset>9012304</wp:posOffset>
                </wp:positionV>
                <wp:extent cx="2933700" cy="175260"/>
                <wp:effectExtent l="0" t="0" r="0" b="0"/>
                <wp:wrapNone/>
                <wp:docPr id="835119965"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75260"/>
                        </a:xfrm>
                        <a:prstGeom prst="rect">
                          <a:avLst/>
                        </a:prstGeom>
                      </wps:spPr>
                      <wps:txbx>
                        <w:txbxContent>
                          <w:p w14:paraId="790DEC60" w14:textId="77777777" w:rsidR="006F048F" w:rsidRDefault="006F048F" w:rsidP="006F048F">
                            <w:pPr>
                              <w:pStyle w:val="Textkrper"/>
                              <w:jc w:val="center"/>
                            </w:pPr>
                            <w:r>
                              <w:rPr>
                                <w:color w:val="030303"/>
                                <w:w w:val="105"/>
                              </w:rPr>
                              <w:t>Dresden, 2024</w:t>
                            </w:r>
                          </w:p>
                        </w:txbxContent>
                      </wps:txbx>
                      <wps:bodyPr wrap="square" lIns="0" tIns="0" rIns="0" bIns="0" rtlCol="0">
                        <a:noAutofit/>
                      </wps:bodyPr>
                    </wps:wsp>
                  </a:graphicData>
                </a:graphic>
              </wp:anchor>
            </w:drawing>
          </mc:Choice>
          <mc:Fallback>
            <w:pict>
              <v:shape w14:anchorId="173AFD35" id="Textbox 12" o:spid="_x0000_s1037" type="#_x0000_t202" style="position:absolute;left:0;text-align:left;margin-left:182.6pt;margin-top:709.65pt;width:231pt;height:13.8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" filled="f" stroked="f">
                <v:textbox inset="0,0,0,0">
                  <w:txbxContent>
                    <w:p w14:paraId="790DEC60" w14:textId="77777777" w:rsidR="006F048F" w:rsidRDefault="006F048F" w:rsidP="006F048F">
                      <w:pPr>
                        <w:pStyle w:val="Textkrper"/>
                        <w:jc w:val="center"/>
                      </w:pPr>
                      <w:r>
                        <w:rPr>
                          <w:color w:val="030303"/>
                          <w:w w:val="105"/>
                        </w:rPr>
                        <w:t>Dresden, 2024</w:t>
                      </w:r>
                    </w:p>
                  </w:txbxContent>
                </v:textbox>
                <w10:wrap anchorx="page" anchory="page"/>
              </v:shape>
            </w:pict>
          </mc:Fallback>
        </mc:AlternateContent>
      </w:r>
    </w:p>
    <w:p w14:paraId="2A489732" w14:textId="77777777" w:rsidR="006F048F" w:rsidRDefault="006F048F" w:rsidP="006F048F">
      <w:pPr>
        <w:rPr>
          <w:sz w:val="2"/>
          <w:szCs w:val="2"/>
        </w:rPr>
        <w:sectPr w:rsidR="006F048F" w:rsidSect="00AB18EC">
          <w:type w:val="continuous"/>
          <w:pgSz w:w="11910" w:h="16850"/>
          <w:pgMar w:top="1360" w:right="1260" w:bottom="280" w:left="1280" w:header="720" w:footer="720" w:gutter="0"/>
          <w:cols w:space="720"/>
        </w:sectPr>
      </w:pPr>
    </w:p>
    <w:p w14:paraId="3DDD27EA" w14:textId="77777777" w:rsidR="006F048F" w:rsidRDefault="006F048F" w:rsidP="006F048F">
      <w:pPr>
        <w:rPr>
          <w:sz w:val="2"/>
          <w:szCs w:val="2"/>
        </w:rPr>
      </w:pPr>
      <w:r>
        <w:rPr>
          <w:noProof/>
        </w:rPr>
        <w:lastRenderedPageBreak/>
        <mc:AlternateContent>
          <mc:Choice Requires="wps">
            <w:drawing>
              <wp:anchor distT="0" distB="0" distL="0" distR="0" simplePos="0" relativeHeight="251694080" behindDoc="1" locked="0" layoutInCell="1" allowOverlap="1" wp14:anchorId="0FDD87D1" wp14:editId="40B00443">
                <wp:simplePos x="0" y="0"/>
                <wp:positionH relativeFrom="page">
                  <wp:posOffset>4073979</wp:posOffset>
                </wp:positionH>
                <wp:positionV relativeFrom="page">
                  <wp:posOffset>4237264</wp:posOffset>
                </wp:positionV>
                <wp:extent cx="2563585" cy="353695"/>
                <wp:effectExtent l="0" t="0" r="0" b="0"/>
                <wp:wrapNone/>
                <wp:docPr id="1703638939"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3585" cy="353695"/>
                        </a:xfrm>
                        <a:prstGeom prst="rect">
                          <a:avLst/>
                        </a:prstGeom>
                      </wps:spPr>
                      <wps:txbx>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wps:txbx>
                      <wps:bodyPr wrap="square" lIns="0" tIns="0" rIns="0" bIns="0" rtlCol="0">
                        <a:noAutofit/>
                      </wps:bodyPr>
                    </wps:wsp>
                  </a:graphicData>
                </a:graphic>
                <wp14:sizeRelH relativeFrom="margin">
                  <wp14:pctWidth>0</wp14:pctWidth>
                </wp14:sizeRelH>
              </wp:anchor>
            </w:drawing>
          </mc:Choice>
          <mc:Fallback>
            <w:pict>
              <v:shape w14:anchorId="0FDD87D1" id="Textbox 17" o:spid="_x0000_s1038" type="#_x0000_t202" style="position:absolute;left:0;text-align:left;margin-left:320.8pt;margin-top:333.65pt;width:201.85pt;height:27.85pt;z-index:-2516224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" filled="f" stroked="f">
                <v:textbox inset="0,0,0,0">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v:textbox>
                <w10:wrap anchorx="page" anchory="page"/>
              </v:shape>
            </w:pict>
          </mc:Fallback>
        </mc:AlternateContent>
      </w:r>
      <w:r>
        <w:rPr>
          <w:noProof/>
        </w:rPr>
        <mc:AlternateContent>
          <mc:Choice Requires="wps">
            <w:drawing>
              <wp:anchor distT="0" distB="0" distL="0" distR="0" simplePos="0" relativeHeight="251691008" behindDoc="1" locked="0" layoutInCell="1" allowOverlap="1" wp14:anchorId="3BA0660B" wp14:editId="13777676">
                <wp:simplePos x="0" y="0"/>
                <wp:positionH relativeFrom="page">
                  <wp:posOffset>1123210</wp:posOffset>
                </wp:positionH>
                <wp:positionV relativeFrom="page">
                  <wp:posOffset>1547199</wp:posOffset>
                </wp:positionV>
                <wp:extent cx="889635" cy="175260"/>
                <wp:effectExtent l="0" t="0" r="0" b="0"/>
                <wp:wrapNone/>
                <wp:docPr id="237275967"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75260"/>
                        </a:xfrm>
                        <a:prstGeom prst="rect">
                          <a:avLst/>
                        </a:prstGeom>
                      </wps:spPr>
                      <wps:txbx>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wps:txbx>
                      <wps:bodyPr wrap="square" lIns="0" tIns="0" rIns="0" bIns="0" rtlCol="0">
                        <a:noAutofit/>
                      </wps:bodyPr>
                    </wps:wsp>
                  </a:graphicData>
                </a:graphic>
              </wp:anchor>
            </w:drawing>
          </mc:Choice>
          <mc:Fallback>
            <w:pict>
              <v:shape w14:anchorId="3BA0660B" id="Textbox 14" o:spid="_x0000_s1039" type="#_x0000_t202" style="position:absolute;left:0;text-align:left;margin-left:88.45pt;margin-top:121.85pt;width:70.05pt;height:13.8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" filled="f" stroked="f">
                <v:textbox inset="0,0,0,0">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690844C3" wp14:editId="7D42DA02">
                <wp:simplePos x="0" y="0"/>
                <wp:positionH relativeFrom="page">
                  <wp:posOffset>1120109</wp:posOffset>
                </wp:positionH>
                <wp:positionV relativeFrom="page">
                  <wp:posOffset>2050979</wp:posOffset>
                </wp:positionV>
                <wp:extent cx="892810" cy="175260"/>
                <wp:effectExtent l="0" t="0" r="0" b="0"/>
                <wp:wrapNone/>
                <wp:docPr id="53875927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175260"/>
                        </a:xfrm>
                        <a:prstGeom prst="rect">
                          <a:avLst/>
                        </a:prstGeom>
                      </wps:spPr>
                      <wps:txbx>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wps:txbx>
                      <wps:bodyPr wrap="square" lIns="0" tIns="0" rIns="0" bIns="0" rtlCol="0">
                        <a:noAutofit/>
                      </wps:bodyPr>
                    </wps:wsp>
                  </a:graphicData>
                </a:graphic>
              </wp:anchor>
            </w:drawing>
          </mc:Choice>
          <mc:Fallback>
            <w:pict>
              <v:shape w14:anchorId="690844C3" id="Textbox 15" o:spid="_x0000_s1040" type="#_x0000_t202" style="position:absolute;left:0;text-align:left;margin-left:88.2pt;margin-top:161.5pt;width:70.3pt;height:13.8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" filled="f" stroked="f">
                <v:textbox inset="0,0,0,0">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v:textbox>
                <w10:wrap anchorx="page" anchory="page"/>
              </v:shape>
            </w:pict>
          </mc:Fallback>
        </mc:AlternateContent>
      </w:r>
      <w:r>
        <w:rPr>
          <w:noProof/>
        </w:rPr>
        <mc:AlternateContent>
          <mc:Choice Requires="wps">
            <w:drawing>
              <wp:anchor distT="0" distB="0" distL="0" distR="0" simplePos="0" relativeHeight="251693056" behindDoc="1" locked="0" layoutInCell="1" allowOverlap="1" wp14:anchorId="08B27185" wp14:editId="40B9B948">
                <wp:simplePos x="0" y="0"/>
                <wp:positionH relativeFrom="page">
                  <wp:posOffset>882504</wp:posOffset>
                </wp:positionH>
                <wp:positionV relativeFrom="page">
                  <wp:posOffset>3232573</wp:posOffset>
                </wp:positionV>
                <wp:extent cx="3208020" cy="175260"/>
                <wp:effectExtent l="0" t="0" r="0" b="0"/>
                <wp:wrapNone/>
                <wp:docPr id="760569767"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020" cy="175260"/>
                        </a:xfrm>
                        <a:prstGeom prst="rect">
                          <a:avLst/>
                        </a:prstGeom>
                      </wps:spPr>
                      <wps:txbx>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wps:txbx>
                      <wps:bodyPr wrap="square" lIns="0" tIns="0" rIns="0" bIns="0" rtlCol="0">
                        <a:noAutofit/>
                      </wps:bodyPr>
                    </wps:wsp>
                  </a:graphicData>
                </a:graphic>
              </wp:anchor>
            </w:drawing>
          </mc:Choice>
          <mc:Fallback>
            <w:pict>
              <v:shape w14:anchorId="08B27185" id="Textbox 16" o:spid="_x0000_s1041" type="#_x0000_t202" style="position:absolute;left:0;text-align:left;margin-left:69.5pt;margin-top:254.55pt;width:252.6pt;height:13.8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" filled="f" stroked="f">
                <v:textbox inset="0,0,0,0">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3005E150" wp14:editId="6CA191F3">
                <wp:simplePos x="0" y="0"/>
                <wp:positionH relativeFrom="page">
                  <wp:posOffset>890366</wp:posOffset>
                </wp:positionH>
                <wp:positionV relativeFrom="page">
                  <wp:posOffset>7290292</wp:posOffset>
                </wp:positionV>
                <wp:extent cx="773430" cy="175260"/>
                <wp:effectExtent l="0" t="0" r="0" b="0"/>
                <wp:wrapNone/>
                <wp:docPr id="1748045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75260"/>
                        </a:xfrm>
                        <a:prstGeom prst="rect">
                          <a:avLst/>
                        </a:prstGeom>
                      </wps:spPr>
                      <wps:txbx>
                        <w:txbxContent>
                          <w:p w14:paraId="4B55E868" w14:textId="77777777" w:rsidR="006F048F" w:rsidRDefault="006F048F" w:rsidP="006F048F">
                            <w:pPr>
                              <w:pStyle w:val="Textkrper"/>
                            </w:pPr>
                            <w:r>
                              <w:rPr>
                                <w:color w:val="050505"/>
                                <w:spacing w:val="-2"/>
                                <w:w w:val="105"/>
                                <w:u w:val="thick" w:color="050505"/>
                              </w:rPr>
                              <w:t>Anmerkung:</w:t>
                            </w:r>
                          </w:p>
                        </w:txbxContent>
                      </wps:txbx>
                      <wps:bodyPr wrap="square" lIns="0" tIns="0" rIns="0" bIns="0" rtlCol="0">
                        <a:noAutofit/>
                      </wps:bodyPr>
                    </wps:wsp>
                  </a:graphicData>
                </a:graphic>
              </wp:anchor>
            </w:drawing>
          </mc:Choice>
          <mc:Fallback>
            <w:pict>
              <v:shape w14:anchorId="3005E150" id="Textbox 18" o:spid="_x0000_s1042" type="#_x0000_t202" style="position:absolute;left:0;text-align:left;margin-left:70.1pt;margin-top:574.05pt;width:60.9pt;height:13.8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" filled="f" stroked="f">
                <v:textbox inset="0,0,0,0">
                  <w:txbxContent>
                    <w:p w14:paraId="4B55E868" w14:textId="77777777" w:rsidR="006F048F" w:rsidRDefault="006F048F" w:rsidP="006F048F">
                      <w:pPr>
                        <w:pStyle w:val="Textkrper"/>
                      </w:pPr>
                      <w:r>
                        <w:rPr>
                          <w:color w:val="050505"/>
                          <w:spacing w:val="-2"/>
                          <w:w w:val="105"/>
                          <w:u w:val="thick" w:color="050505"/>
                        </w:rPr>
                        <w:t>Anmerkung:</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0D6919F5" wp14:editId="14157717">
                <wp:simplePos x="0" y="0"/>
                <wp:positionH relativeFrom="page">
                  <wp:posOffset>885244</wp:posOffset>
                </wp:positionH>
                <wp:positionV relativeFrom="page">
                  <wp:posOffset>7624619</wp:posOffset>
                </wp:positionV>
                <wp:extent cx="5802630" cy="852805"/>
                <wp:effectExtent l="0" t="0" r="0" b="0"/>
                <wp:wrapNone/>
                <wp:docPr id="683432382"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2630" cy="852805"/>
                        </a:xfrm>
                        <a:prstGeom prst="rect">
                          <a:avLst/>
                        </a:prstGeom>
                      </wps:spPr>
                      <wps:txbx>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wps:txbx>
                      <wps:bodyPr wrap="square" lIns="0" tIns="0" rIns="0" bIns="0" rtlCol="0">
                        <a:noAutofit/>
                      </wps:bodyPr>
                    </wps:wsp>
                  </a:graphicData>
                </a:graphic>
              </wp:anchor>
            </w:drawing>
          </mc:Choice>
          <mc:Fallback>
            <w:pict>
              <v:shape w14:anchorId="0D6919F5" id="Textbox 19" o:spid="_x0000_s1043" type="#_x0000_t202" style="position:absolute;left:0;text-align:left;margin-left:69.7pt;margin-top:600.35pt;width:456.9pt;height:67.15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" filled="f" stroked="f">
                <v:textbox inset="0,0,0,0">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v:textbox>
                <w10:wrap anchorx="page" anchory="page"/>
              </v:shape>
            </w:pict>
          </mc:Fallback>
        </mc:AlternateContent>
      </w:r>
    </w:p>
    <w:p w14:paraId="3A67A6C3" w14:textId="77777777" w:rsidR="00631762" w:rsidRDefault="00631762">
      <w:pPr>
        <w:spacing w:after="0"/>
        <w:jc w:val="left"/>
        <w:rPr>
          <w:rStyle w:val="Buchtitel"/>
          <w:rFonts w:eastAsiaTheme="majorEastAsia" w:cstheme="majorBidi"/>
        </w:rPr>
      </w:pPr>
      <w:r>
        <w:rPr>
          <w:rStyle w:val="Buchtitel"/>
        </w:rPr>
        <w:br w:type="page"/>
      </w:r>
    </w:p>
    <w:p w14:paraId="6090ACFB" w14:textId="11518646" w:rsidR="006C46DC" w:rsidRPr="006C46DC" w:rsidRDefault="006C46DC" w:rsidP="006C46DC">
      <w:pPr>
        <w:jc w:val="left"/>
        <w:rPr>
          <w:b/>
          <w:bCs/>
          <w:i/>
          <w:iCs/>
        </w:rPr>
      </w:pPr>
      <w:r w:rsidRPr="006C46DC">
        <w:rPr>
          <w:b/>
          <w:bCs/>
          <w:i/>
          <w:iCs/>
        </w:rPr>
        <w:lastRenderedPageBreak/>
        <w:t>Kurzfassung</w:t>
      </w:r>
    </w:p>
    <w:p w14:paraId="29490E73" w14:textId="19185BED" w:rsidR="006C46DC" w:rsidRPr="00812C16" w:rsidRDefault="006C46DC" w:rsidP="006C46DC">
      <w:pPr>
        <w:rPr>
          <w:rFonts w:cs="Arial"/>
          <w:lang w:eastAsia="de-DE"/>
        </w:rPr>
      </w:pPr>
      <w:r w:rsidRPr="00812C16">
        <w:rPr>
          <w:rFonts w:cs="Arial"/>
          <w:b/>
          <w:bCs/>
          <w:lang w:eastAsia="de-DE"/>
        </w:rPr>
        <w:t>Motivation.</w:t>
      </w:r>
      <w:r w:rsidRPr="00812C16">
        <w:rPr>
          <w:rFonts w:cs="Arial"/>
          <w:lang w:eastAsia="de-DE"/>
        </w:rPr>
        <w:t xml:space="preserve"> Patienten mit lokal fortgeschrittenen Kopf-Hals-Plattenepithelkarzinomen erhalten standardmäßig eine primäre oder postoperative Radiochemotherapie. Dabei zeigen Patienten mit der gleichen Tumorentität und analogen Staging und Grading nicht selten einen sehr unterschiedlichen klinischen Verlauf bezüglich des Überlebens, Metastasierung und Ansprechen auf die Standardtherapie. Deshalb ist es wichtig geeignete klinische Parameter und biologische Eigenschaften des Tumorgewebes zur besseren Prognoseschätzung und Individuellen Therapieoptimierung zu finden</w:t>
      </w:r>
      <w:r w:rsidR="000112D9">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Baumann &amp; Krause, 2010</w:t>
      </w:r>
      <w:r w:rsidR="000112D9">
        <w:rPr>
          <w:rFonts w:cs="Arial"/>
          <w:noProof/>
          <w:lang w:eastAsia="de-DE"/>
        </w:rPr>
        <w:t xml:space="preserve">; </w:t>
      </w:r>
      <w:r w:rsidR="009D0F7A" w:rsidRPr="002A19C6">
        <w:t>Lohaus et al., 2014</w:t>
      </w:r>
      <w:r w:rsidR="000112D9">
        <w:rPr>
          <w:rFonts w:cs="Arial"/>
          <w:noProof/>
          <w:lang w:eastAsia="de-DE"/>
        </w:rPr>
        <w:t>)</w:t>
      </w:r>
      <w:r w:rsidR="000112D9">
        <w:rPr>
          <w:rFonts w:cs="Arial"/>
          <w:lang w:eastAsia="de-DE"/>
        </w:rPr>
        <w:fldChar w:fldCharType="end"/>
      </w:r>
      <w:r w:rsidRPr="00812C16">
        <w:rPr>
          <w:rFonts w:cs="Arial"/>
          <w:lang w:eastAsia="de-DE"/>
        </w:rPr>
        <w:t>. Dieses Projekt ist Teil einer multizentrischen Studie der Radioonkologie-Gruppe des Deutschen Konsortiums für Translationale Krebsforschung (DKTK-ROG).</w:t>
      </w:r>
    </w:p>
    <w:p w14:paraId="72BC0F84" w14:textId="77777777" w:rsidR="006C46DC" w:rsidRPr="00812C16" w:rsidRDefault="006C46DC" w:rsidP="006C46DC">
      <w:pPr>
        <w:rPr>
          <w:rFonts w:cs="Arial"/>
          <w:lang w:eastAsia="de-DE"/>
        </w:rPr>
      </w:pPr>
      <w:r w:rsidRPr="00812C16">
        <w:rPr>
          <w:rFonts w:cs="Arial"/>
          <w:b/>
          <w:bCs/>
          <w:lang w:eastAsia="de-DE"/>
        </w:rPr>
        <w:t>Fragestellung.</w:t>
      </w:r>
      <w:r w:rsidRPr="00812C16">
        <w:rPr>
          <w:rFonts w:cs="Arial"/>
          <w:lang w:eastAsia="de-DE"/>
        </w:rPr>
        <w:t xml:space="preserve"> In diesem Projekt soll untersucht werden, inwieweit CD44 als potenzieller Tumorstammzellmarker in Patienten mit lokal fortgeschrittenem Kopf-Hals-Plattenepithelkarzinomen nach postoperativer Radiochemotherapie eine prognostische Rolle spielt. Für die weitere Stratifizierung soll darüber hinaus, die CD44-Expression getrennt für die Patientenkollektive mit HPV16 DNA-positiven und -negativen Tumoren analysiert werden. </w:t>
      </w:r>
    </w:p>
    <w:p w14:paraId="33AC2E92" w14:textId="00CA158E" w:rsidR="006C46DC" w:rsidRPr="00812C16" w:rsidRDefault="006C46DC" w:rsidP="006C46DC">
      <w:pPr>
        <w:rPr>
          <w:rFonts w:cs="Arial"/>
          <w:lang w:eastAsia="de-DE"/>
        </w:rPr>
      </w:pPr>
      <w:r w:rsidRPr="00812C16">
        <w:rPr>
          <w:rFonts w:cs="Arial"/>
          <w:b/>
          <w:bCs/>
          <w:lang w:eastAsia="de-DE"/>
        </w:rPr>
        <w:t>Methodik.</w:t>
      </w:r>
      <w:r w:rsidRPr="00812C16">
        <w:rPr>
          <w:rFonts w:cs="Arial"/>
          <w:lang w:eastAsia="de-DE"/>
        </w:rPr>
        <w:t xml:space="preserve"> An allen acht DKTK-Standorten wurden insgesamt 221 Patienten mit Mundhöhlen-, Oropharynx- und Hypopharynxkarzinomen in diese retrospektive Studie eingeschlossen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Lohaus et al., 2014</w:t>
      </w:r>
      <w:r w:rsidR="000112D9">
        <w:rPr>
          <w:rFonts w:cs="Arial"/>
          <w:noProof/>
          <w:lang w:eastAsia="de-DE"/>
        </w:rPr>
        <w:t>)</w:t>
      </w:r>
      <w:r w:rsidR="000112D9">
        <w:rPr>
          <w:rFonts w:cs="Arial"/>
          <w:lang w:eastAsia="de-DE"/>
        </w:rPr>
        <w:fldChar w:fldCharType="end"/>
      </w:r>
      <w:r w:rsidRPr="00812C16">
        <w:rPr>
          <w:rFonts w:cs="Arial"/>
          <w:lang w:eastAsia="de-DE"/>
        </w:rPr>
        <w:t xml:space="preserve">. Alle Patienten haben im Zeitraum von 2005 bis 2010 eine postoperative Cisplatin-haltige Radiochemotherapie erhalten. In FFPE-Material von 195 Primärtumoren wurde die Proteinexpression von CD44 durch immunhistochemische Färbung an Tissue-Micro-Arrays untersucht. </w:t>
      </w:r>
    </w:p>
    <w:p w14:paraId="6F835501" w14:textId="77777777" w:rsidR="006C46DC" w:rsidRPr="00812C16" w:rsidRDefault="006C46DC" w:rsidP="006C46DC">
      <w:pPr>
        <w:rPr>
          <w:rFonts w:cs="Arial"/>
          <w:lang w:eastAsia="de-DE"/>
        </w:rPr>
      </w:pPr>
      <w:r w:rsidRPr="00812C16">
        <w:rPr>
          <w:rFonts w:cs="Arial"/>
          <w:b/>
          <w:bCs/>
          <w:lang w:eastAsia="de-DE"/>
        </w:rPr>
        <w:t>Ergebnis.</w:t>
      </w:r>
      <w:r w:rsidRPr="00812C16">
        <w:rPr>
          <w:rFonts w:cs="Arial"/>
          <w:lang w:eastAsia="de-DE"/>
        </w:rPr>
        <w:t xml:space="preserve"> Um die prognostische Relevanz von CD44 für lokal fortgeschrittene Kopf-Hals-Plattenepithelkarzinome bei postoperativer Radiochemotherapie zu überprüfen, wurde in dieser Arbeit die CD44-Proteinexpression im prätherapeutischen Tumorgewebematerial mit verschiedenen klinischen Endpunkten korreliert. Univariate Analysen zeigten eine signifikante Assoziation der CD44-Proteinexpression mit der loko-regionären Tumorkontrolle (p = 0,008), aber nicht mit den sekundären Endpunkten Fernmetastasen-freies Überleben (p = 0,075) oder Gesamtüberleben (p = 0,089). Ähnliche Effekte zeigten univariate Analysen der Subgruppe der HPV16 DNA-negativen Kopf-Hals-Plattenepithelkarzinomen.  Patienten dieser Subgruppe zeigten einen statistischen Trend für eine bessere loko-regionäre Tumorkontrolle im </w:t>
      </w:r>
      <w:r w:rsidRPr="00812C16">
        <w:rPr>
          <w:rFonts w:cs="Arial"/>
          <w:lang w:eastAsia="de-DE"/>
        </w:rPr>
        <w:lastRenderedPageBreak/>
        <w:t xml:space="preserve">Vergleich zu Patienten mit HPV16 DNA-negativen und CD44 positiven Tumoren (p = 0,05). Die CD44 Assoziation mit den sekundären Endpunkten in dieser Subgruppe waren nicht signifikant. </w:t>
      </w:r>
    </w:p>
    <w:p w14:paraId="1C60E986" w14:textId="77777777" w:rsidR="006C46DC" w:rsidRPr="00812C16" w:rsidRDefault="006C46DC" w:rsidP="006C46DC">
      <w:pPr>
        <w:rPr>
          <w:rFonts w:cs="Arial"/>
          <w:lang w:eastAsia="de-DE"/>
        </w:rPr>
      </w:pPr>
      <w:r w:rsidRPr="00812C16">
        <w:rPr>
          <w:rFonts w:cs="Arial"/>
          <w:b/>
          <w:bCs/>
          <w:lang w:eastAsia="de-DE"/>
        </w:rPr>
        <w:t>Schlussfolgerung.</w:t>
      </w:r>
      <w:r w:rsidRPr="00812C16">
        <w:rPr>
          <w:rFonts w:cs="Arial"/>
          <w:lang w:eastAsia="de-DE"/>
        </w:rPr>
        <w:t xml:space="preserve"> Wir konnten zeigen, dass eine Überexpression von CD44 in lokal fortgeschrittenen Kopf-Hals-Plattenepithelkarzinomen mit einer schlechten loko-regionären Kontrolle nach postoperativer Radiochemotherapie assoziiert ist. Zudem stellen Tumorstammzellen neben dem HPV-Status der Tumoren möglicherweise einen weiteren Stratifizierungsparameter zur Individualisierung der postoperativen Radiochemotherapie in Patienten mit Kopf-Halsplattenepithelkarzinomen dar. Zur weiteren Evaluierung der klinischen Anwendbarkeit sollten die gewonnen Ergebnisse in prospektiven Validierungsstudien unter standardisierten Bedingungen weiter geprüft werden.</w:t>
      </w:r>
    </w:p>
    <w:p w14:paraId="74E9E789" w14:textId="77777777" w:rsidR="006C46DC" w:rsidRPr="006F048F" w:rsidRDefault="006C46DC" w:rsidP="006C46DC">
      <w:pPr>
        <w:spacing w:after="0"/>
        <w:jc w:val="left"/>
        <w:rPr>
          <w:rFonts w:cs="Arial"/>
          <w:lang w:eastAsia="de-DE"/>
        </w:rPr>
      </w:pPr>
      <w:r w:rsidRPr="006F048F">
        <w:rPr>
          <w:rFonts w:cs="Arial"/>
          <w:lang w:eastAsia="de-DE"/>
        </w:rPr>
        <w:br w:type="page"/>
      </w:r>
    </w:p>
    <w:p w14:paraId="34A04362" w14:textId="5FC5934B" w:rsidR="006F39DF" w:rsidRPr="00F37999" w:rsidRDefault="0046038E" w:rsidP="002F7A7E">
      <w:pPr>
        <w:pStyle w:val="Untertitel"/>
      </w:pPr>
      <w:r w:rsidRPr="00812C16">
        <w:lastRenderedPageBreak/>
        <w:t>Inhaltsverzeichnis</w:t>
      </w:r>
    </w:p>
    <w:p w14:paraId="6121C7EE" w14:textId="52E688E6" w:rsidR="006C46DC" w:rsidRPr="001466B2" w:rsidRDefault="000718CD">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r w:rsidRPr="001466B2">
        <w:rPr>
          <w:rFonts w:asciiTheme="minorHAnsi" w:hAnsiTheme="minorHAnsi" w:cs="Arial"/>
          <w:b w:val="0"/>
          <w:bCs w:val="0"/>
          <w:caps w:val="0"/>
          <w:sz w:val="20"/>
          <w:szCs w:val="20"/>
          <w:u w:val="single"/>
        </w:rPr>
        <w:fldChar w:fldCharType="begin"/>
      </w:r>
      <w:r w:rsidRPr="001466B2">
        <w:rPr>
          <w:rFonts w:asciiTheme="minorHAnsi" w:hAnsiTheme="minorHAnsi" w:cs="Arial"/>
          <w:b w:val="0"/>
          <w:bCs w:val="0"/>
          <w:caps w:val="0"/>
          <w:sz w:val="20"/>
          <w:szCs w:val="20"/>
          <w:u w:val="single"/>
        </w:rPr>
        <w:instrText xml:space="preserve"> TOC \o "1-3" \h \z \u </w:instrText>
      </w:r>
      <w:r w:rsidRPr="001466B2">
        <w:rPr>
          <w:rFonts w:asciiTheme="minorHAnsi" w:hAnsiTheme="minorHAnsi" w:cs="Arial"/>
          <w:b w:val="0"/>
          <w:bCs w:val="0"/>
          <w:caps w:val="0"/>
          <w:sz w:val="20"/>
          <w:szCs w:val="20"/>
          <w:u w:val="single"/>
        </w:rPr>
        <w:fldChar w:fldCharType="separate"/>
      </w:r>
      <w:hyperlink w:anchor="_Toc158006509" w:history="1">
        <w:r w:rsidR="006C46DC" w:rsidRPr="001466B2">
          <w:rPr>
            <w:rStyle w:val="Hyperlink"/>
            <w:noProof/>
          </w:rPr>
          <w:t>1</w:t>
        </w:r>
        <w:r w:rsidR="006C46DC" w:rsidRPr="001466B2">
          <w:rPr>
            <w:rFonts w:asciiTheme="minorHAnsi" w:eastAsiaTheme="minorEastAsia" w:hAnsiTheme="minorHAnsi" w:cstheme="minorBidi"/>
            <w:b w:val="0"/>
            <w:bCs w:val="0"/>
            <w:caps w:val="0"/>
            <w:noProof/>
            <w:kern w:val="2"/>
            <w:lang w:eastAsia="de-DE"/>
            <w14:ligatures w14:val="standardContextual"/>
          </w:rPr>
          <w:tab/>
        </w:r>
        <w:r w:rsidR="006C46DC" w:rsidRPr="001466B2">
          <w:rPr>
            <w:rStyle w:val="Hyperlink"/>
            <w:rFonts w:cs="Arial"/>
            <w:noProof/>
          </w:rPr>
          <w:t>Hintergrund</w:t>
        </w:r>
        <w:r w:rsidR="006C46DC" w:rsidRPr="001466B2">
          <w:rPr>
            <w:noProof/>
            <w:webHidden/>
          </w:rPr>
          <w:tab/>
        </w:r>
        <w:r w:rsidR="006C46DC" w:rsidRPr="001466B2">
          <w:rPr>
            <w:noProof/>
            <w:webHidden/>
          </w:rPr>
          <w:fldChar w:fldCharType="begin"/>
        </w:r>
        <w:r w:rsidR="006C46DC" w:rsidRPr="001466B2">
          <w:rPr>
            <w:noProof/>
            <w:webHidden/>
          </w:rPr>
          <w:instrText xml:space="preserve"> PAGEREF _Toc158006509 \h </w:instrText>
        </w:r>
        <w:r w:rsidR="006C46DC" w:rsidRPr="001466B2">
          <w:rPr>
            <w:noProof/>
            <w:webHidden/>
          </w:rPr>
        </w:r>
        <w:r w:rsidR="006C46DC" w:rsidRPr="001466B2">
          <w:rPr>
            <w:noProof/>
            <w:webHidden/>
          </w:rPr>
          <w:fldChar w:fldCharType="separate"/>
        </w:r>
        <w:r w:rsidR="00F67803" w:rsidRPr="001466B2">
          <w:rPr>
            <w:noProof/>
            <w:webHidden/>
          </w:rPr>
          <w:t>- 7 -</w:t>
        </w:r>
        <w:r w:rsidR="006C46DC" w:rsidRPr="001466B2">
          <w:rPr>
            <w:noProof/>
            <w:webHidden/>
          </w:rPr>
          <w:fldChar w:fldCharType="end"/>
        </w:r>
      </w:hyperlink>
    </w:p>
    <w:p w14:paraId="67FFE9F9" w14:textId="4461B65A"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0" w:history="1">
        <w:r w:rsidRPr="001466B2">
          <w:rPr>
            <w:rStyle w:val="Hyperlink"/>
            <w:noProof/>
          </w:rPr>
          <w:t>1.1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Kopf-Hals-Plattenepithelkarzinom</w:t>
        </w:r>
        <w:r w:rsidRPr="001466B2">
          <w:rPr>
            <w:noProof/>
            <w:webHidden/>
          </w:rPr>
          <w:tab/>
        </w:r>
        <w:r w:rsidRPr="001466B2">
          <w:rPr>
            <w:noProof/>
            <w:webHidden/>
          </w:rPr>
          <w:fldChar w:fldCharType="begin"/>
        </w:r>
        <w:r w:rsidRPr="001466B2">
          <w:rPr>
            <w:noProof/>
            <w:webHidden/>
          </w:rPr>
          <w:instrText xml:space="preserve"> PAGEREF _Toc158006510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BFE09A" w14:textId="7BB1B03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1" w:history="1">
        <w:r w:rsidRPr="001466B2">
          <w:rPr>
            <w:rStyle w:val="Hyperlink"/>
            <w:noProof/>
          </w:rPr>
          <w:t>1.1.1</w:t>
        </w:r>
        <w:r w:rsidRPr="001466B2">
          <w:rPr>
            <w:rFonts w:eastAsiaTheme="minorEastAsia" w:cstheme="minorBidi"/>
            <w:noProof/>
            <w:kern w:val="2"/>
            <w:sz w:val="24"/>
            <w:szCs w:val="24"/>
            <w:lang w:eastAsia="de-DE"/>
            <w14:ligatures w14:val="standardContextual"/>
          </w:rPr>
          <w:tab/>
        </w:r>
        <w:r w:rsidRPr="001466B2">
          <w:rPr>
            <w:rStyle w:val="Hyperlink"/>
            <w:noProof/>
          </w:rPr>
          <w:t>Epidemiologie</w:t>
        </w:r>
        <w:r w:rsidRPr="001466B2">
          <w:rPr>
            <w:noProof/>
            <w:webHidden/>
          </w:rPr>
          <w:tab/>
        </w:r>
        <w:r w:rsidRPr="001466B2">
          <w:rPr>
            <w:noProof/>
            <w:webHidden/>
          </w:rPr>
          <w:fldChar w:fldCharType="begin"/>
        </w:r>
        <w:r w:rsidRPr="001466B2">
          <w:rPr>
            <w:noProof/>
            <w:webHidden/>
          </w:rPr>
          <w:instrText xml:space="preserve"> PAGEREF _Toc158006511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186A68" w14:textId="649E7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2" w:history="1">
        <w:r w:rsidRPr="001466B2">
          <w:rPr>
            <w:rStyle w:val="Hyperlink"/>
            <w:noProof/>
          </w:rPr>
          <w:t>1.1.2</w:t>
        </w:r>
        <w:r w:rsidRPr="001466B2">
          <w:rPr>
            <w:rFonts w:eastAsiaTheme="minorEastAsia" w:cstheme="minorBidi"/>
            <w:noProof/>
            <w:kern w:val="2"/>
            <w:sz w:val="24"/>
            <w:szCs w:val="24"/>
            <w:lang w:eastAsia="de-DE"/>
            <w14:ligatures w14:val="standardContextual"/>
          </w:rPr>
          <w:tab/>
        </w:r>
        <w:r w:rsidRPr="001466B2">
          <w:rPr>
            <w:rStyle w:val="Hyperlink"/>
            <w:noProof/>
          </w:rPr>
          <w:t>Ätiologie und Risikofaktore</w:t>
        </w:r>
        <w:r w:rsidRPr="001466B2">
          <w:rPr>
            <w:noProof/>
            <w:webHidden/>
          </w:rPr>
          <w:tab/>
        </w:r>
        <w:r w:rsidRPr="001466B2">
          <w:rPr>
            <w:noProof/>
            <w:webHidden/>
          </w:rPr>
          <w:fldChar w:fldCharType="begin"/>
        </w:r>
        <w:r w:rsidRPr="001466B2">
          <w:rPr>
            <w:noProof/>
            <w:webHidden/>
          </w:rPr>
          <w:instrText xml:space="preserve"> PAGEREF _Toc158006512 \h </w:instrText>
        </w:r>
        <w:r w:rsidRPr="001466B2">
          <w:rPr>
            <w:noProof/>
            <w:webHidden/>
          </w:rPr>
        </w:r>
        <w:r w:rsidRPr="001466B2">
          <w:rPr>
            <w:noProof/>
            <w:webHidden/>
          </w:rPr>
          <w:fldChar w:fldCharType="separate"/>
        </w:r>
        <w:r w:rsidR="00F67803" w:rsidRPr="001466B2">
          <w:rPr>
            <w:noProof/>
            <w:webHidden/>
          </w:rPr>
          <w:t>- 8 -</w:t>
        </w:r>
        <w:r w:rsidRPr="001466B2">
          <w:rPr>
            <w:noProof/>
            <w:webHidden/>
          </w:rPr>
          <w:fldChar w:fldCharType="end"/>
        </w:r>
      </w:hyperlink>
    </w:p>
    <w:p w14:paraId="46B6F84A" w14:textId="4CD8862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3" w:history="1">
        <w:r w:rsidRPr="001466B2">
          <w:rPr>
            <w:rStyle w:val="Hyperlink"/>
            <w:noProof/>
          </w:rPr>
          <w:t>1.1.3</w:t>
        </w:r>
        <w:r w:rsidRPr="001466B2">
          <w:rPr>
            <w:rFonts w:eastAsiaTheme="minorEastAsia" w:cstheme="minorBidi"/>
            <w:noProof/>
            <w:kern w:val="2"/>
            <w:sz w:val="24"/>
            <w:szCs w:val="24"/>
            <w:lang w:eastAsia="de-DE"/>
            <w14:ligatures w14:val="standardContextual"/>
          </w:rPr>
          <w:tab/>
        </w:r>
        <w:r w:rsidRPr="001466B2">
          <w:rPr>
            <w:rStyle w:val="Hyperlink"/>
            <w:noProof/>
          </w:rPr>
          <w:t>Pathogenese</w:t>
        </w:r>
        <w:r w:rsidRPr="001466B2">
          <w:rPr>
            <w:noProof/>
            <w:webHidden/>
          </w:rPr>
          <w:tab/>
        </w:r>
        <w:r w:rsidRPr="001466B2">
          <w:rPr>
            <w:noProof/>
            <w:webHidden/>
          </w:rPr>
          <w:fldChar w:fldCharType="begin"/>
        </w:r>
        <w:r w:rsidRPr="001466B2">
          <w:rPr>
            <w:noProof/>
            <w:webHidden/>
          </w:rPr>
          <w:instrText xml:space="preserve"> PAGEREF _Toc158006513 \h </w:instrText>
        </w:r>
        <w:r w:rsidRPr="001466B2">
          <w:rPr>
            <w:noProof/>
            <w:webHidden/>
          </w:rPr>
        </w:r>
        <w:r w:rsidRPr="001466B2">
          <w:rPr>
            <w:noProof/>
            <w:webHidden/>
          </w:rPr>
          <w:fldChar w:fldCharType="separate"/>
        </w:r>
        <w:r w:rsidR="00F67803" w:rsidRPr="001466B2">
          <w:rPr>
            <w:noProof/>
            <w:webHidden/>
          </w:rPr>
          <w:t>- 12 -</w:t>
        </w:r>
        <w:r w:rsidRPr="001466B2">
          <w:rPr>
            <w:noProof/>
            <w:webHidden/>
          </w:rPr>
          <w:fldChar w:fldCharType="end"/>
        </w:r>
      </w:hyperlink>
    </w:p>
    <w:p w14:paraId="746006EC" w14:textId="1130C12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4" w:history="1">
        <w:r w:rsidRPr="001466B2">
          <w:rPr>
            <w:rStyle w:val="Hyperlink"/>
            <w:noProof/>
          </w:rPr>
          <w:t>1.1.4</w:t>
        </w:r>
        <w:r w:rsidRPr="001466B2">
          <w:rPr>
            <w:rFonts w:eastAsiaTheme="minorEastAsia" w:cstheme="minorBidi"/>
            <w:noProof/>
            <w:kern w:val="2"/>
            <w:sz w:val="24"/>
            <w:szCs w:val="24"/>
            <w:lang w:eastAsia="de-DE"/>
            <w14:ligatures w14:val="standardContextual"/>
          </w:rPr>
          <w:tab/>
        </w:r>
        <w:r w:rsidRPr="001466B2">
          <w:rPr>
            <w:rStyle w:val="Hyperlink"/>
            <w:noProof/>
          </w:rPr>
          <w:t>Anatomie, Histopathologie und Tumorklassifikation</w:t>
        </w:r>
        <w:r w:rsidRPr="001466B2">
          <w:rPr>
            <w:noProof/>
            <w:webHidden/>
          </w:rPr>
          <w:tab/>
        </w:r>
        <w:r w:rsidRPr="001466B2">
          <w:rPr>
            <w:noProof/>
            <w:webHidden/>
          </w:rPr>
          <w:fldChar w:fldCharType="begin"/>
        </w:r>
        <w:r w:rsidRPr="001466B2">
          <w:rPr>
            <w:noProof/>
            <w:webHidden/>
          </w:rPr>
          <w:instrText xml:space="preserve"> PAGEREF _Toc158006514 \h </w:instrText>
        </w:r>
        <w:r w:rsidRPr="001466B2">
          <w:rPr>
            <w:noProof/>
            <w:webHidden/>
          </w:rPr>
        </w:r>
        <w:r w:rsidRPr="001466B2">
          <w:rPr>
            <w:noProof/>
            <w:webHidden/>
          </w:rPr>
          <w:fldChar w:fldCharType="separate"/>
        </w:r>
        <w:r w:rsidR="00F67803" w:rsidRPr="001466B2">
          <w:rPr>
            <w:noProof/>
            <w:webHidden/>
          </w:rPr>
          <w:t>- 13 -</w:t>
        </w:r>
        <w:r w:rsidRPr="001466B2">
          <w:rPr>
            <w:noProof/>
            <w:webHidden/>
          </w:rPr>
          <w:fldChar w:fldCharType="end"/>
        </w:r>
      </w:hyperlink>
    </w:p>
    <w:p w14:paraId="22F675FC" w14:textId="4D7CCC37"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5" w:history="1">
        <w:r w:rsidRPr="001466B2">
          <w:rPr>
            <w:rStyle w:val="Hyperlink"/>
            <w:noProof/>
          </w:rPr>
          <w:t>1.1.5</w:t>
        </w:r>
        <w:r w:rsidRPr="001466B2">
          <w:rPr>
            <w:rFonts w:eastAsiaTheme="minorEastAsia" w:cstheme="minorBidi"/>
            <w:noProof/>
            <w:kern w:val="2"/>
            <w:sz w:val="24"/>
            <w:szCs w:val="24"/>
            <w:lang w:eastAsia="de-DE"/>
            <w14:ligatures w14:val="standardContextual"/>
          </w:rPr>
          <w:tab/>
        </w:r>
        <w:r w:rsidRPr="001466B2">
          <w:rPr>
            <w:rStyle w:val="Hyperlink"/>
            <w:noProof/>
          </w:rPr>
          <w:t>Klassifikation und Stadien nach AJCC</w:t>
        </w:r>
        <w:r w:rsidRPr="001466B2">
          <w:rPr>
            <w:noProof/>
            <w:webHidden/>
          </w:rPr>
          <w:tab/>
        </w:r>
        <w:r w:rsidRPr="001466B2">
          <w:rPr>
            <w:noProof/>
            <w:webHidden/>
          </w:rPr>
          <w:fldChar w:fldCharType="begin"/>
        </w:r>
        <w:r w:rsidRPr="001466B2">
          <w:rPr>
            <w:noProof/>
            <w:webHidden/>
          </w:rPr>
          <w:instrText xml:space="preserve"> PAGEREF _Toc158006515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64190DE6" w14:textId="438112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6" w:history="1">
        <w:r w:rsidRPr="001466B2">
          <w:rPr>
            <w:rStyle w:val="Hyperlink"/>
            <w:noProof/>
          </w:rPr>
          <w:t>1.1.6</w:t>
        </w:r>
        <w:r w:rsidRPr="001466B2">
          <w:rPr>
            <w:rFonts w:eastAsiaTheme="minorEastAsia" w:cstheme="minorBidi"/>
            <w:noProof/>
            <w:kern w:val="2"/>
            <w:sz w:val="24"/>
            <w:szCs w:val="24"/>
            <w:lang w:eastAsia="de-DE"/>
            <w14:ligatures w14:val="standardContextual"/>
          </w:rPr>
          <w:tab/>
        </w:r>
        <w:r w:rsidRPr="001466B2">
          <w:rPr>
            <w:rStyle w:val="Hyperlink"/>
            <w:noProof/>
          </w:rPr>
          <w:t>Diagnostik &amp; Staging</w:t>
        </w:r>
        <w:r w:rsidRPr="001466B2">
          <w:rPr>
            <w:noProof/>
            <w:webHidden/>
          </w:rPr>
          <w:tab/>
        </w:r>
        <w:r w:rsidRPr="001466B2">
          <w:rPr>
            <w:noProof/>
            <w:webHidden/>
          </w:rPr>
          <w:fldChar w:fldCharType="begin"/>
        </w:r>
        <w:r w:rsidRPr="001466B2">
          <w:rPr>
            <w:noProof/>
            <w:webHidden/>
          </w:rPr>
          <w:instrText xml:space="preserve"> PAGEREF _Toc158006516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30372A17" w14:textId="58E58EC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7" w:history="1">
        <w:r w:rsidRPr="001466B2">
          <w:rPr>
            <w:rStyle w:val="Hyperlink"/>
            <w:noProof/>
          </w:rPr>
          <w:t>1.1.7</w:t>
        </w:r>
        <w:r w:rsidRPr="001466B2">
          <w:rPr>
            <w:rFonts w:eastAsiaTheme="minorEastAsia" w:cstheme="minorBidi"/>
            <w:noProof/>
            <w:kern w:val="2"/>
            <w:sz w:val="24"/>
            <w:szCs w:val="24"/>
            <w:lang w:eastAsia="de-DE"/>
            <w14:ligatures w14:val="standardContextual"/>
          </w:rPr>
          <w:tab/>
        </w:r>
        <w:r w:rsidRPr="001466B2">
          <w:rPr>
            <w:rStyle w:val="Hyperlink"/>
            <w:noProof/>
          </w:rPr>
          <w:t>Therapie</w:t>
        </w:r>
        <w:r w:rsidRPr="001466B2">
          <w:rPr>
            <w:noProof/>
            <w:webHidden/>
          </w:rPr>
          <w:tab/>
        </w:r>
        <w:r w:rsidRPr="001466B2">
          <w:rPr>
            <w:noProof/>
            <w:webHidden/>
          </w:rPr>
          <w:fldChar w:fldCharType="begin"/>
        </w:r>
        <w:r w:rsidRPr="001466B2">
          <w:rPr>
            <w:noProof/>
            <w:webHidden/>
          </w:rPr>
          <w:instrText xml:space="preserve"> PAGEREF _Toc158006517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4F567FA8" w14:textId="69B9173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8" w:history="1">
        <w:r w:rsidRPr="001466B2">
          <w:rPr>
            <w:rStyle w:val="Hyperlink"/>
            <w:noProof/>
          </w:rPr>
          <w:t>1.1.8</w:t>
        </w:r>
        <w:r w:rsidRPr="001466B2">
          <w:rPr>
            <w:rFonts w:eastAsiaTheme="minorEastAsia" w:cstheme="minorBidi"/>
            <w:noProof/>
            <w:kern w:val="2"/>
            <w:sz w:val="24"/>
            <w:szCs w:val="24"/>
            <w:lang w:eastAsia="de-DE"/>
            <w14:ligatures w14:val="standardContextual"/>
          </w:rPr>
          <w:tab/>
        </w:r>
        <w:r w:rsidRPr="001466B2">
          <w:rPr>
            <w:rStyle w:val="Hyperlink"/>
            <w:noProof/>
          </w:rPr>
          <w:t>Prognose</w:t>
        </w:r>
        <w:r w:rsidRPr="001466B2">
          <w:rPr>
            <w:noProof/>
            <w:webHidden/>
          </w:rPr>
          <w:tab/>
        </w:r>
        <w:r w:rsidRPr="001466B2">
          <w:rPr>
            <w:noProof/>
            <w:webHidden/>
          </w:rPr>
          <w:fldChar w:fldCharType="begin"/>
        </w:r>
        <w:r w:rsidRPr="001466B2">
          <w:rPr>
            <w:noProof/>
            <w:webHidden/>
          </w:rPr>
          <w:instrText xml:space="preserve"> PAGEREF _Toc158006518 \h </w:instrText>
        </w:r>
        <w:r w:rsidRPr="001466B2">
          <w:rPr>
            <w:noProof/>
            <w:webHidden/>
          </w:rPr>
        </w:r>
        <w:r w:rsidRPr="001466B2">
          <w:rPr>
            <w:noProof/>
            <w:webHidden/>
          </w:rPr>
          <w:fldChar w:fldCharType="separate"/>
        </w:r>
        <w:r w:rsidR="00F67803" w:rsidRPr="001466B2">
          <w:rPr>
            <w:noProof/>
            <w:webHidden/>
          </w:rPr>
          <w:t>- 25 -</w:t>
        </w:r>
        <w:r w:rsidRPr="001466B2">
          <w:rPr>
            <w:noProof/>
            <w:webHidden/>
          </w:rPr>
          <w:fldChar w:fldCharType="end"/>
        </w:r>
      </w:hyperlink>
    </w:p>
    <w:p w14:paraId="446C3EED" w14:textId="1127324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9" w:history="1">
        <w:r w:rsidRPr="001466B2">
          <w:rPr>
            <w:rStyle w:val="Hyperlink"/>
            <w:noProof/>
          </w:rPr>
          <w:t>1.2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&amp; Tumorstammzelltheorie</w:t>
        </w:r>
        <w:r w:rsidRPr="001466B2">
          <w:rPr>
            <w:noProof/>
            <w:webHidden/>
          </w:rPr>
          <w:tab/>
        </w:r>
        <w:r w:rsidRPr="001466B2">
          <w:rPr>
            <w:noProof/>
            <w:webHidden/>
          </w:rPr>
          <w:fldChar w:fldCharType="begin"/>
        </w:r>
        <w:r w:rsidRPr="001466B2">
          <w:rPr>
            <w:noProof/>
            <w:webHidden/>
          </w:rPr>
          <w:instrText xml:space="preserve"> PAGEREF _Toc158006519 \h </w:instrText>
        </w:r>
        <w:r w:rsidRPr="001466B2">
          <w:rPr>
            <w:noProof/>
            <w:webHidden/>
          </w:rPr>
        </w:r>
        <w:r w:rsidRPr="001466B2">
          <w:rPr>
            <w:noProof/>
            <w:webHidden/>
          </w:rPr>
          <w:fldChar w:fldCharType="separate"/>
        </w:r>
        <w:r w:rsidR="00F67803" w:rsidRPr="001466B2">
          <w:rPr>
            <w:noProof/>
            <w:webHidden/>
          </w:rPr>
          <w:t>- 30 -</w:t>
        </w:r>
        <w:r w:rsidRPr="001466B2">
          <w:rPr>
            <w:noProof/>
            <w:webHidden/>
          </w:rPr>
          <w:fldChar w:fldCharType="end"/>
        </w:r>
      </w:hyperlink>
    </w:p>
    <w:p w14:paraId="07B6DD59" w14:textId="26B7AED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0" w:history="1">
        <w:r w:rsidRPr="001466B2">
          <w:rPr>
            <w:rStyle w:val="Hyperlink"/>
            <w:noProof/>
          </w:rPr>
          <w:t>1.3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als Biomarker für die Individualisierung in der Strahlentherapie</w:t>
        </w:r>
        <w:r w:rsidRPr="001466B2">
          <w:rPr>
            <w:noProof/>
            <w:webHidden/>
          </w:rPr>
          <w:tab/>
        </w:r>
        <w:r w:rsidRPr="001466B2">
          <w:rPr>
            <w:noProof/>
            <w:webHidden/>
          </w:rPr>
          <w:fldChar w:fldCharType="begin"/>
        </w:r>
        <w:r w:rsidRPr="001466B2">
          <w:rPr>
            <w:noProof/>
            <w:webHidden/>
          </w:rPr>
          <w:instrText xml:space="preserve"> PAGEREF _Toc158006520 \h </w:instrText>
        </w:r>
        <w:r w:rsidRPr="001466B2">
          <w:rPr>
            <w:noProof/>
            <w:webHidden/>
          </w:rPr>
        </w:r>
        <w:r w:rsidRPr="001466B2">
          <w:rPr>
            <w:noProof/>
            <w:webHidden/>
          </w:rPr>
          <w:fldChar w:fldCharType="separate"/>
        </w:r>
        <w:r w:rsidR="00F67803" w:rsidRPr="001466B2">
          <w:rPr>
            <w:noProof/>
            <w:webHidden/>
          </w:rPr>
          <w:t>- 31 -</w:t>
        </w:r>
        <w:r w:rsidRPr="001466B2">
          <w:rPr>
            <w:noProof/>
            <w:webHidden/>
          </w:rPr>
          <w:fldChar w:fldCharType="end"/>
        </w:r>
      </w:hyperlink>
    </w:p>
    <w:p w14:paraId="0D564B3E" w14:textId="721F3234"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1" w:history="1">
        <w:r w:rsidRPr="001466B2">
          <w:rPr>
            <w:rStyle w:val="Hyperlink"/>
            <w:noProof/>
          </w:rPr>
          <w:t>1.4</w:t>
        </w:r>
        <w:r w:rsidRPr="001466B2">
          <w:rPr>
            <w:rFonts w:eastAsiaTheme="minorEastAsia" w:cstheme="minorBidi"/>
            <w:b w:val="0"/>
            <w:bCs w:val="0"/>
            <w:noProof/>
            <w:kern w:val="2"/>
            <w:sz w:val="24"/>
            <w:szCs w:val="24"/>
            <w:lang w:eastAsia="de-DE"/>
            <w14:ligatures w14:val="standardContextual"/>
          </w:rPr>
          <w:tab/>
        </w:r>
        <w:r w:rsidRPr="001466B2">
          <w:rPr>
            <w:rStyle w:val="Hyperlink"/>
            <w:noProof/>
            <w:shd w:val="clear" w:color="auto" w:fill="242424"/>
          </w:rPr>
          <w:t>Forschungsstand und Forschungslücken</w:t>
        </w:r>
        <w:r w:rsidRPr="001466B2">
          <w:rPr>
            <w:noProof/>
            <w:webHidden/>
          </w:rPr>
          <w:tab/>
        </w:r>
        <w:r w:rsidRPr="001466B2">
          <w:rPr>
            <w:noProof/>
            <w:webHidden/>
          </w:rPr>
          <w:fldChar w:fldCharType="begin"/>
        </w:r>
        <w:r w:rsidRPr="001466B2">
          <w:rPr>
            <w:noProof/>
            <w:webHidden/>
          </w:rPr>
          <w:instrText xml:space="preserve"> PAGEREF _Toc158006521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42914DEF" w14:textId="77D7EF15"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2" w:history="1">
        <w:r w:rsidRPr="001466B2">
          <w:rPr>
            <w:rStyle w:val="Hyperlink"/>
            <w:noProof/>
          </w:rPr>
          <w:t>1.4.1</w:t>
        </w:r>
        <w:r w:rsidRPr="001466B2">
          <w:rPr>
            <w:rFonts w:eastAsiaTheme="minorEastAsia" w:cstheme="minorBidi"/>
            <w:noProof/>
            <w:kern w:val="2"/>
            <w:sz w:val="24"/>
            <w:szCs w:val="24"/>
            <w:lang w:eastAsia="de-DE"/>
            <w14:ligatures w14:val="standardContextual"/>
          </w:rPr>
          <w:tab/>
        </w:r>
        <w:r w:rsidRPr="001466B2">
          <w:rPr>
            <w:rStyle w:val="Hyperlink"/>
            <w:noProof/>
          </w:rPr>
          <w:t>Aktuelle Erkenntnisse zur Rolle von CD44 in HNSCC</w:t>
        </w:r>
        <w:r w:rsidRPr="001466B2">
          <w:rPr>
            <w:noProof/>
            <w:webHidden/>
          </w:rPr>
          <w:tab/>
        </w:r>
        <w:r w:rsidRPr="001466B2">
          <w:rPr>
            <w:noProof/>
            <w:webHidden/>
          </w:rPr>
          <w:fldChar w:fldCharType="begin"/>
        </w:r>
        <w:r w:rsidRPr="001466B2">
          <w:rPr>
            <w:noProof/>
            <w:webHidden/>
          </w:rPr>
          <w:instrText xml:space="preserve"> PAGEREF _Toc158006522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5B679D71" w14:textId="2B8B696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3" w:history="1">
        <w:r w:rsidRPr="001466B2">
          <w:rPr>
            <w:rStyle w:val="Hyperlink"/>
            <w:noProof/>
          </w:rPr>
          <w:t>1.4.2</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Vorhandene Studien zur CD44-Expression und klinischen Endpunkten bei HNSCC</w:t>
        </w:r>
        <w:r w:rsidRPr="001466B2">
          <w:rPr>
            <w:noProof/>
            <w:webHidden/>
          </w:rPr>
          <w:tab/>
        </w:r>
        <w:r w:rsidRPr="001466B2">
          <w:rPr>
            <w:noProof/>
            <w:webHidden/>
          </w:rPr>
          <w:fldChar w:fldCharType="begin"/>
        </w:r>
        <w:r w:rsidRPr="001466B2">
          <w:rPr>
            <w:noProof/>
            <w:webHidden/>
          </w:rPr>
          <w:instrText xml:space="preserve"> PAGEREF _Toc158006523 \h </w:instrText>
        </w:r>
        <w:r w:rsidRPr="001466B2">
          <w:rPr>
            <w:noProof/>
            <w:webHidden/>
          </w:rPr>
        </w:r>
        <w:r w:rsidRPr="001466B2">
          <w:rPr>
            <w:noProof/>
            <w:webHidden/>
          </w:rPr>
          <w:fldChar w:fldCharType="separate"/>
        </w:r>
        <w:r w:rsidR="00F67803" w:rsidRPr="001466B2">
          <w:rPr>
            <w:noProof/>
            <w:webHidden/>
          </w:rPr>
          <w:t>- 34 -</w:t>
        </w:r>
        <w:r w:rsidRPr="001466B2">
          <w:rPr>
            <w:noProof/>
            <w:webHidden/>
          </w:rPr>
          <w:fldChar w:fldCharType="end"/>
        </w:r>
      </w:hyperlink>
    </w:p>
    <w:p w14:paraId="310FED2A" w14:textId="46BBD5F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4" w:history="1">
        <w:r w:rsidRPr="001466B2">
          <w:rPr>
            <w:rStyle w:val="Hyperlink"/>
            <w:noProof/>
          </w:rPr>
          <w:t>1.4.3</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Forschungslücken</w:t>
        </w:r>
        <w:r w:rsidRPr="001466B2">
          <w:rPr>
            <w:noProof/>
            <w:webHidden/>
          </w:rPr>
          <w:tab/>
        </w:r>
        <w:r w:rsidRPr="001466B2">
          <w:rPr>
            <w:noProof/>
            <w:webHidden/>
          </w:rPr>
          <w:fldChar w:fldCharType="begin"/>
        </w:r>
        <w:r w:rsidRPr="001466B2">
          <w:rPr>
            <w:noProof/>
            <w:webHidden/>
          </w:rPr>
          <w:instrText xml:space="preserve"> PAGEREF _Toc158006524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4B0A3A6D" w14:textId="2DBF35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5" w:history="1">
        <w:r w:rsidRPr="001466B2">
          <w:rPr>
            <w:rStyle w:val="Hyperlink"/>
            <w:noProof/>
          </w:rPr>
          <w:t>2</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Fragestellung/Hypothese</w:t>
        </w:r>
        <w:r w:rsidRPr="001466B2">
          <w:rPr>
            <w:noProof/>
            <w:webHidden/>
          </w:rPr>
          <w:tab/>
        </w:r>
        <w:r w:rsidRPr="001466B2">
          <w:rPr>
            <w:noProof/>
            <w:webHidden/>
          </w:rPr>
          <w:fldChar w:fldCharType="begin"/>
        </w:r>
        <w:r w:rsidRPr="001466B2">
          <w:rPr>
            <w:noProof/>
            <w:webHidden/>
          </w:rPr>
          <w:instrText xml:space="preserve"> PAGEREF _Toc158006525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62703D17" w14:textId="61A14A30"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6" w:history="1">
        <w:r w:rsidRPr="001466B2">
          <w:rPr>
            <w:rStyle w:val="Hyperlink"/>
            <w:noProof/>
          </w:rPr>
          <w:t>3</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Material und Methoden</w:t>
        </w:r>
        <w:r w:rsidRPr="001466B2">
          <w:rPr>
            <w:noProof/>
            <w:webHidden/>
          </w:rPr>
          <w:tab/>
        </w:r>
        <w:r w:rsidRPr="001466B2">
          <w:rPr>
            <w:noProof/>
            <w:webHidden/>
          </w:rPr>
          <w:fldChar w:fldCharType="begin"/>
        </w:r>
        <w:r w:rsidRPr="001466B2">
          <w:rPr>
            <w:noProof/>
            <w:webHidden/>
          </w:rPr>
          <w:instrText xml:space="preserve"> PAGEREF _Toc158006526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47EDD" w14:textId="5FA7C789"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7" w:history="1">
        <w:r w:rsidRPr="001466B2">
          <w:rPr>
            <w:rStyle w:val="Hyperlink"/>
            <w:noProof/>
          </w:rPr>
          <w:t>3.1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Studiendesign</w:t>
        </w:r>
        <w:r w:rsidRPr="001466B2">
          <w:rPr>
            <w:noProof/>
            <w:webHidden/>
          </w:rPr>
          <w:tab/>
        </w:r>
        <w:r w:rsidRPr="001466B2">
          <w:rPr>
            <w:noProof/>
            <w:webHidden/>
          </w:rPr>
          <w:fldChar w:fldCharType="begin"/>
        </w:r>
        <w:r w:rsidRPr="001466B2">
          <w:rPr>
            <w:noProof/>
            <w:webHidden/>
          </w:rPr>
          <w:instrText xml:space="preserve"> PAGEREF _Toc158006527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3A028" w14:textId="6013A30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8" w:history="1">
        <w:r w:rsidRPr="001466B2">
          <w:rPr>
            <w:rStyle w:val="Hyperlink"/>
            <w:noProof/>
          </w:rPr>
          <w:t>3.2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Patientenkollektiv und Tumormaterial</w:t>
        </w:r>
        <w:r w:rsidRPr="001466B2">
          <w:rPr>
            <w:noProof/>
            <w:webHidden/>
          </w:rPr>
          <w:tab/>
        </w:r>
        <w:r w:rsidRPr="001466B2">
          <w:rPr>
            <w:noProof/>
            <w:webHidden/>
          </w:rPr>
          <w:fldChar w:fldCharType="begin"/>
        </w:r>
        <w:r w:rsidRPr="001466B2">
          <w:rPr>
            <w:noProof/>
            <w:webHidden/>
          </w:rPr>
          <w:instrText xml:space="preserve"> PAGEREF _Toc158006528 \h </w:instrText>
        </w:r>
        <w:r w:rsidRPr="001466B2">
          <w:rPr>
            <w:noProof/>
            <w:webHidden/>
          </w:rPr>
        </w:r>
        <w:r w:rsidRPr="001466B2">
          <w:rPr>
            <w:noProof/>
            <w:webHidden/>
          </w:rPr>
          <w:fldChar w:fldCharType="separate"/>
        </w:r>
        <w:r w:rsidR="00F67803" w:rsidRPr="001466B2">
          <w:rPr>
            <w:noProof/>
            <w:webHidden/>
          </w:rPr>
          <w:t>- 42 -</w:t>
        </w:r>
        <w:r w:rsidRPr="001466B2">
          <w:rPr>
            <w:noProof/>
            <w:webHidden/>
          </w:rPr>
          <w:fldChar w:fldCharType="end"/>
        </w:r>
      </w:hyperlink>
    </w:p>
    <w:p w14:paraId="6583D706" w14:textId="7F916E9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9" w:history="1">
        <w:r w:rsidRPr="001466B2">
          <w:rPr>
            <w:rStyle w:val="Hyperlink"/>
            <w:noProof/>
          </w:rPr>
          <w:t>3.3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Immunhistologische Analysen</w:t>
        </w:r>
        <w:r w:rsidRPr="001466B2">
          <w:rPr>
            <w:noProof/>
            <w:webHidden/>
          </w:rPr>
          <w:tab/>
        </w:r>
        <w:r w:rsidRPr="001466B2">
          <w:rPr>
            <w:noProof/>
            <w:webHidden/>
          </w:rPr>
          <w:fldChar w:fldCharType="begin"/>
        </w:r>
        <w:r w:rsidRPr="001466B2">
          <w:rPr>
            <w:noProof/>
            <w:webHidden/>
          </w:rPr>
          <w:instrText xml:space="preserve"> PAGEREF _Toc158006529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0DDCFFBD" w14:textId="3CE0B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0" w:history="1">
        <w:r w:rsidRPr="001466B2">
          <w:rPr>
            <w:rStyle w:val="Hyperlink"/>
            <w:noProof/>
          </w:rPr>
          <w:t>3.3.1</w:t>
        </w:r>
        <w:r w:rsidRPr="001466B2">
          <w:rPr>
            <w:rFonts w:eastAsiaTheme="minorEastAsia" w:cstheme="minorBidi"/>
            <w:noProof/>
            <w:kern w:val="2"/>
            <w:sz w:val="24"/>
            <w:szCs w:val="24"/>
            <w:lang w:eastAsia="de-DE"/>
            <w14:ligatures w14:val="standardContextual"/>
          </w:rPr>
          <w:tab/>
        </w:r>
        <w:r w:rsidRPr="001466B2">
          <w:rPr>
            <w:rStyle w:val="Hyperlink"/>
            <w:noProof/>
          </w:rPr>
          <w:t>Tissue-Microarray</w:t>
        </w:r>
        <w:r w:rsidRPr="001466B2">
          <w:rPr>
            <w:noProof/>
            <w:webHidden/>
          </w:rPr>
          <w:tab/>
        </w:r>
        <w:r w:rsidRPr="001466B2">
          <w:rPr>
            <w:noProof/>
            <w:webHidden/>
          </w:rPr>
          <w:fldChar w:fldCharType="begin"/>
        </w:r>
        <w:r w:rsidRPr="001466B2">
          <w:rPr>
            <w:noProof/>
            <w:webHidden/>
          </w:rPr>
          <w:instrText xml:space="preserve"> PAGEREF _Toc158006530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724BA11E" w14:textId="3D4E7D8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1" w:history="1">
        <w:r w:rsidRPr="001466B2">
          <w:rPr>
            <w:rStyle w:val="Hyperlink"/>
            <w:noProof/>
          </w:rPr>
          <w:t>3.3.2</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Reaktionen</w:t>
        </w:r>
        <w:r w:rsidRPr="001466B2">
          <w:rPr>
            <w:noProof/>
            <w:webHidden/>
          </w:rPr>
          <w:tab/>
        </w:r>
        <w:r w:rsidRPr="001466B2">
          <w:rPr>
            <w:noProof/>
            <w:webHidden/>
          </w:rPr>
          <w:fldChar w:fldCharType="begin"/>
        </w:r>
        <w:r w:rsidRPr="001466B2">
          <w:rPr>
            <w:noProof/>
            <w:webHidden/>
          </w:rPr>
          <w:instrText xml:space="preserve"> PAGEREF _Toc158006531 \h </w:instrText>
        </w:r>
        <w:r w:rsidRPr="001466B2">
          <w:rPr>
            <w:noProof/>
            <w:webHidden/>
          </w:rPr>
        </w:r>
        <w:r w:rsidRPr="001466B2">
          <w:rPr>
            <w:noProof/>
            <w:webHidden/>
          </w:rPr>
          <w:fldChar w:fldCharType="separate"/>
        </w:r>
        <w:r w:rsidR="00F67803" w:rsidRPr="001466B2">
          <w:rPr>
            <w:noProof/>
            <w:webHidden/>
          </w:rPr>
          <w:t>- 45 -</w:t>
        </w:r>
        <w:r w:rsidRPr="001466B2">
          <w:rPr>
            <w:noProof/>
            <w:webHidden/>
          </w:rPr>
          <w:fldChar w:fldCharType="end"/>
        </w:r>
      </w:hyperlink>
    </w:p>
    <w:p w14:paraId="5A70E339" w14:textId="4370EA63"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2" w:history="1">
        <w:r w:rsidRPr="001466B2">
          <w:rPr>
            <w:rStyle w:val="Hyperlink"/>
            <w:noProof/>
          </w:rPr>
          <w:t>3.3.3</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Auswertung</w:t>
        </w:r>
        <w:r w:rsidRPr="001466B2">
          <w:rPr>
            <w:noProof/>
            <w:webHidden/>
          </w:rPr>
          <w:tab/>
        </w:r>
        <w:r w:rsidRPr="001466B2">
          <w:rPr>
            <w:noProof/>
            <w:webHidden/>
          </w:rPr>
          <w:fldChar w:fldCharType="begin"/>
        </w:r>
        <w:r w:rsidRPr="001466B2">
          <w:rPr>
            <w:noProof/>
            <w:webHidden/>
          </w:rPr>
          <w:instrText xml:space="preserve"> PAGEREF _Toc158006532 \h </w:instrText>
        </w:r>
        <w:r w:rsidRPr="001466B2">
          <w:rPr>
            <w:noProof/>
            <w:webHidden/>
          </w:rPr>
        </w:r>
        <w:r w:rsidRPr="001466B2">
          <w:rPr>
            <w:noProof/>
            <w:webHidden/>
          </w:rPr>
          <w:fldChar w:fldCharType="separate"/>
        </w:r>
        <w:r w:rsidR="00F67803" w:rsidRPr="001466B2">
          <w:rPr>
            <w:noProof/>
            <w:webHidden/>
          </w:rPr>
          <w:t>- 46 -</w:t>
        </w:r>
        <w:r w:rsidRPr="001466B2">
          <w:rPr>
            <w:noProof/>
            <w:webHidden/>
          </w:rPr>
          <w:fldChar w:fldCharType="end"/>
        </w:r>
      </w:hyperlink>
    </w:p>
    <w:p w14:paraId="37C9EE21" w14:textId="74FD304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3" w:history="1">
        <w:r w:rsidRPr="001466B2">
          <w:rPr>
            <w:rStyle w:val="Hyperlink"/>
            <w:noProof/>
          </w:rPr>
          <w:t>3.4</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Statistische Methoden und klinische Endpunkte</w:t>
        </w:r>
        <w:r w:rsidRPr="001466B2">
          <w:rPr>
            <w:noProof/>
            <w:webHidden/>
          </w:rPr>
          <w:tab/>
        </w:r>
        <w:r w:rsidRPr="001466B2">
          <w:rPr>
            <w:noProof/>
            <w:webHidden/>
          </w:rPr>
          <w:fldChar w:fldCharType="begin"/>
        </w:r>
        <w:r w:rsidRPr="001466B2">
          <w:rPr>
            <w:noProof/>
            <w:webHidden/>
          </w:rPr>
          <w:instrText xml:space="preserve"> PAGEREF _Toc158006533 \h </w:instrText>
        </w:r>
        <w:r w:rsidRPr="001466B2">
          <w:rPr>
            <w:noProof/>
            <w:webHidden/>
          </w:rPr>
        </w:r>
        <w:r w:rsidRPr="001466B2">
          <w:rPr>
            <w:noProof/>
            <w:webHidden/>
          </w:rPr>
          <w:fldChar w:fldCharType="separate"/>
        </w:r>
        <w:r w:rsidR="00F67803" w:rsidRPr="001466B2">
          <w:rPr>
            <w:noProof/>
            <w:webHidden/>
          </w:rPr>
          <w:t>- 47 -</w:t>
        </w:r>
        <w:r w:rsidRPr="001466B2">
          <w:rPr>
            <w:noProof/>
            <w:webHidden/>
          </w:rPr>
          <w:fldChar w:fldCharType="end"/>
        </w:r>
      </w:hyperlink>
    </w:p>
    <w:p w14:paraId="58C13B75" w14:textId="6CF63738"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34" w:history="1">
        <w:r w:rsidRPr="001466B2">
          <w:rPr>
            <w:rStyle w:val="Hyperlink"/>
            <w:noProof/>
          </w:rPr>
          <w:t>4</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Ergebnisse</w:t>
        </w:r>
        <w:r w:rsidRPr="001466B2">
          <w:rPr>
            <w:noProof/>
            <w:webHidden/>
          </w:rPr>
          <w:tab/>
        </w:r>
        <w:r w:rsidRPr="001466B2">
          <w:rPr>
            <w:noProof/>
            <w:webHidden/>
          </w:rPr>
          <w:fldChar w:fldCharType="begin"/>
        </w:r>
        <w:r w:rsidRPr="001466B2">
          <w:rPr>
            <w:noProof/>
            <w:webHidden/>
          </w:rPr>
          <w:instrText xml:space="preserve"> PAGEREF _Toc158006534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0812DEAF" w14:textId="7B57F36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5" w:history="1">
        <w:r w:rsidRPr="001466B2">
          <w:rPr>
            <w:rStyle w:val="Hyperlink"/>
            <w:noProof/>
          </w:rPr>
          <w:t>4.1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Deskriptive Analyse der Studienpopulation</w:t>
        </w:r>
        <w:r w:rsidRPr="001466B2">
          <w:rPr>
            <w:noProof/>
            <w:webHidden/>
          </w:rPr>
          <w:tab/>
        </w:r>
        <w:r w:rsidRPr="001466B2">
          <w:rPr>
            <w:noProof/>
            <w:webHidden/>
          </w:rPr>
          <w:fldChar w:fldCharType="begin"/>
        </w:r>
        <w:r w:rsidRPr="001466B2">
          <w:rPr>
            <w:noProof/>
            <w:webHidden/>
          </w:rPr>
          <w:instrText xml:space="preserve"> PAGEREF _Toc158006535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56F5979F" w14:textId="6595376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6" w:history="1">
        <w:r w:rsidRPr="001466B2">
          <w:rPr>
            <w:rStyle w:val="Hyperlink"/>
            <w:noProof/>
          </w:rPr>
          <w:t>4.1.1</w:t>
        </w:r>
        <w:r w:rsidRPr="001466B2">
          <w:rPr>
            <w:rFonts w:eastAsiaTheme="minorEastAsia" w:cstheme="minorBidi"/>
            <w:noProof/>
            <w:kern w:val="2"/>
            <w:sz w:val="24"/>
            <w:szCs w:val="24"/>
            <w:lang w:eastAsia="de-DE"/>
            <w14:ligatures w14:val="standardContextual"/>
          </w:rPr>
          <w:tab/>
        </w:r>
        <w:r w:rsidRPr="001466B2">
          <w:rPr>
            <w:rStyle w:val="Hyperlink"/>
            <w:noProof/>
          </w:rPr>
          <w:t>Patientenmerkmale und Tumorcharakteristik</w:t>
        </w:r>
        <w:r w:rsidRPr="001466B2">
          <w:rPr>
            <w:noProof/>
            <w:webHidden/>
          </w:rPr>
          <w:tab/>
        </w:r>
        <w:r w:rsidRPr="001466B2">
          <w:rPr>
            <w:noProof/>
            <w:webHidden/>
          </w:rPr>
          <w:fldChar w:fldCharType="begin"/>
        </w:r>
        <w:r w:rsidRPr="001466B2">
          <w:rPr>
            <w:noProof/>
            <w:webHidden/>
          </w:rPr>
          <w:instrText xml:space="preserve"> PAGEREF _Toc158006536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26C68382" w14:textId="032007B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7" w:history="1">
        <w:r w:rsidRPr="001466B2">
          <w:rPr>
            <w:rStyle w:val="Hyperlink"/>
            <w:noProof/>
          </w:rPr>
          <w:t>4.1.2</w:t>
        </w:r>
        <w:r w:rsidRPr="001466B2">
          <w:rPr>
            <w:rFonts w:eastAsiaTheme="minorEastAsia" w:cstheme="minorBidi"/>
            <w:noProof/>
            <w:kern w:val="2"/>
            <w:sz w:val="24"/>
            <w:szCs w:val="24"/>
            <w:lang w:eastAsia="de-DE"/>
            <w14:ligatures w14:val="standardContextual"/>
          </w:rPr>
          <w:tab/>
        </w:r>
        <w:r w:rsidRPr="001466B2">
          <w:rPr>
            <w:rStyle w:val="Hyperlink"/>
            <w:noProof/>
          </w:rPr>
          <w:t>Behandlungsmerkmale</w:t>
        </w:r>
        <w:r w:rsidRPr="001466B2">
          <w:rPr>
            <w:noProof/>
            <w:webHidden/>
          </w:rPr>
          <w:tab/>
        </w:r>
        <w:r w:rsidRPr="001466B2">
          <w:rPr>
            <w:noProof/>
            <w:webHidden/>
          </w:rPr>
          <w:fldChar w:fldCharType="begin"/>
        </w:r>
        <w:r w:rsidRPr="001466B2">
          <w:rPr>
            <w:noProof/>
            <w:webHidden/>
          </w:rPr>
          <w:instrText xml:space="preserve"> PAGEREF _Toc158006537 \h </w:instrText>
        </w:r>
        <w:r w:rsidRPr="001466B2">
          <w:rPr>
            <w:noProof/>
            <w:webHidden/>
          </w:rPr>
        </w:r>
        <w:r w:rsidRPr="001466B2">
          <w:rPr>
            <w:noProof/>
            <w:webHidden/>
          </w:rPr>
          <w:fldChar w:fldCharType="separate"/>
        </w:r>
        <w:r w:rsidR="00F67803" w:rsidRPr="001466B2">
          <w:rPr>
            <w:noProof/>
            <w:webHidden/>
          </w:rPr>
          <w:t>- 59 -</w:t>
        </w:r>
        <w:r w:rsidRPr="001466B2">
          <w:rPr>
            <w:noProof/>
            <w:webHidden/>
          </w:rPr>
          <w:fldChar w:fldCharType="end"/>
        </w:r>
      </w:hyperlink>
    </w:p>
    <w:p w14:paraId="28AFD66A" w14:textId="48EA205F"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8" w:history="1">
        <w:r w:rsidRPr="001466B2">
          <w:rPr>
            <w:rStyle w:val="Hyperlink"/>
            <w:noProof/>
          </w:rPr>
          <w:t>4.2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Ereigniszeitanalysen</w:t>
        </w:r>
        <w:r w:rsidRPr="001466B2">
          <w:rPr>
            <w:noProof/>
            <w:webHidden/>
          </w:rPr>
          <w:tab/>
        </w:r>
        <w:r w:rsidRPr="001466B2">
          <w:rPr>
            <w:noProof/>
            <w:webHidden/>
          </w:rPr>
          <w:fldChar w:fldCharType="begin"/>
        </w:r>
        <w:r w:rsidRPr="001466B2">
          <w:rPr>
            <w:noProof/>
            <w:webHidden/>
          </w:rPr>
          <w:instrText xml:space="preserve"> PAGEREF _Toc158006538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7CC15F38" w14:textId="7451D93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9" w:history="1">
        <w:r w:rsidRPr="001466B2">
          <w:rPr>
            <w:rStyle w:val="Hyperlink"/>
            <w:noProof/>
          </w:rPr>
          <w:t>4.2.1</w:t>
        </w:r>
        <w:r w:rsidRPr="001466B2">
          <w:rPr>
            <w:rFonts w:eastAsiaTheme="minorEastAsia" w:cstheme="minorBidi"/>
            <w:noProof/>
            <w:kern w:val="2"/>
            <w:sz w:val="24"/>
            <w:szCs w:val="24"/>
            <w:lang w:eastAsia="de-DE"/>
            <w14:ligatures w14:val="standardContextual"/>
          </w:rPr>
          <w:tab/>
        </w:r>
        <w:r w:rsidRPr="001466B2">
          <w:rPr>
            <w:rStyle w:val="Hyperlink"/>
            <w:noProof/>
          </w:rPr>
          <w:t>Deskription der Ereigniszeitdaten im Beobachtungszeitraum</w:t>
        </w:r>
        <w:r w:rsidRPr="001466B2">
          <w:rPr>
            <w:noProof/>
            <w:webHidden/>
          </w:rPr>
          <w:tab/>
        </w:r>
        <w:r w:rsidRPr="001466B2">
          <w:rPr>
            <w:noProof/>
            <w:webHidden/>
          </w:rPr>
          <w:fldChar w:fldCharType="begin"/>
        </w:r>
        <w:r w:rsidRPr="001466B2">
          <w:rPr>
            <w:noProof/>
            <w:webHidden/>
          </w:rPr>
          <w:instrText xml:space="preserve"> PAGEREF _Toc158006539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216EE8D2" w14:textId="4D7B7971"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0" w:history="1">
        <w:r w:rsidRPr="001466B2">
          <w:rPr>
            <w:rStyle w:val="Hyperlink"/>
            <w:noProof/>
          </w:rPr>
          <w:t>4.2.2</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prognostische Relevanz von CD44</w:t>
        </w:r>
        <w:r w:rsidRPr="001466B2">
          <w:rPr>
            <w:noProof/>
            <w:webHidden/>
          </w:rPr>
          <w:tab/>
        </w:r>
        <w:r w:rsidRPr="001466B2">
          <w:rPr>
            <w:noProof/>
            <w:webHidden/>
          </w:rPr>
          <w:fldChar w:fldCharType="begin"/>
        </w:r>
        <w:r w:rsidRPr="001466B2">
          <w:rPr>
            <w:noProof/>
            <w:webHidden/>
          </w:rPr>
          <w:instrText xml:space="preserve"> PAGEREF _Toc158006540 \h </w:instrText>
        </w:r>
        <w:r w:rsidRPr="001466B2">
          <w:rPr>
            <w:noProof/>
            <w:webHidden/>
          </w:rPr>
        </w:r>
        <w:r w:rsidRPr="001466B2">
          <w:rPr>
            <w:noProof/>
            <w:webHidden/>
          </w:rPr>
          <w:fldChar w:fldCharType="separate"/>
        </w:r>
        <w:r w:rsidR="00F67803" w:rsidRPr="001466B2">
          <w:rPr>
            <w:noProof/>
            <w:webHidden/>
          </w:rPr>
          <w:t>- 65 -</w:t>
        </w:r>
        <w:r w:rsidRPr="001466B2">
          <w:rPr>
            <w:noProof/>
            <w:webHidden/>
          </w:rPr>
          <w:fldChar w:fldCharType="end"/>
        </w:r>
      </w:hyperlink>
    </w:p>
    <w:p w14:paraId="36E69555" w14:textId="27480D6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1" w:history="1">
        <w:r w:rsidRPr="001466B2">
          <w:rPr>
            <w:rStyle w:val="Hyperlink"/>
            <w:noProof/>
          </w:rPr>
          <w:t>4.2.3</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Identifizierung weitere prognostische Parameter</w:t>
        </w:r>
        <w:r w:rsidRPr="001466B2">
          <w:rPr>
            <w:noProof/>
            <w:webHidden/>
          </w:rPr>
          <w:tab/>
        </w:r>
        <w:r w:rsidRPr="001466B2">
          <w:rPr>
            <w:noProof/>
            <w:webHidden/>
          </w:rPr>
          <w:fldChar w:fldCharType="begin"/>
        </w:r>
        <w:r w:rsidRPr="001466B2">
          <w:rPr>
            <w:noProof/>
            <w:webHidden/>
          </w:rPr>
          <w:instrText xml:space="preserve"> PAGEREF _Toc158006541 \h </w:instrText>
        </w:r>
        <w:r w:rsidRPr="001466B2">
          <w:rPr>
            <w:noProof/>
            <w:webHidden/>
          </w:rPr>
        </w:r>
        <w:r w:rsidRPr="001466B2">
          <w:rPr>
            <w:noProof/>
            <w:webHidden/>
          </w:rPr>
          <w:fldChar w:fldCharType="separate"/>
        </w:r>
        <w:r w:rsidR="00F67803" w:rsidRPr="001466B2">
          <w:rPr>
            <w:noProof/>
            <w:webHidden/>
          </w:rPr>
          <w:t>- 71 -</w:t>
        </w:r>
        <w:r w:rsidRPr="001466B2">
          <w:rPr>
            <w:noProof/>
            <w:webHidden/>
          </w:rPr>
          <w:fldChar w:fldCharType="end"/>
        </w:r>
      </w:hyperlink>
    </w:p>
    <w:p w14:paraId="46FBBDF0" w14:textId="366EB536"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2" w:history="1">
        <w:r w:rsidRPr="001466B2">
          <w:rPr>
            <w:rStyle w:val="Hyperlink"/>
            <w:noProof/>
          </w:rPr>
          <w:t>4.2.4</w:t>
        </w:r>
        <w:r w:rsidRPr="001466B2">
          <w:rPr>
            <w:rFonts w:eastAsiaTheme="minorEastAsia" w:cstheme="minorBidi"/>
            <w:noProof/>
            <w:kern w:val="2"/>
            <w:sz w:val="24"/>
            <w:szCs w:val="24"/>
            <w:lang w:eastAsia="de-DE"/>
            <w14:ligatures w14:val="standardContextual"/>
          </w:rPr>
          <w:tab/>
        </w:r>
        <w:r w:rsidRPr="001466B2">
          <w:rPr>
            <w:rStyle w:val="Hyperlink"/>
            <w:noProof/>
          </w:rPr>
          <w:t>Multivariate Analysen</w:t>
        </w:r>
        <w:r w:rsidRPr="001466B2">
          <w:rPr>
            <w:noProof/>
            <w:webHidden/>
          </w:rPr>
          <w:tab/>
        </w:r>
        <w:r w:rsidRPr="001466B2">
          <w:rPr>
            <w:noProof/>
            <w:webHidden/>
          </w:rPr>
          <w:fldChar w:fldCharType="begin"/>
        </w:r>
        <w:r w:rsidRPr="001466B2">
          <w:rPr>
            <w:noProof/>
            <w:webHidden/>
          </w:rPr>
          <w:instrText xml:space="preserve"> PAGEREF _Toc158006542 \h </w:instrText>
        </w:r>
        <w:r w:rsidRPr="001466B2">
          <w:rPr>
            <w:noProof/>
            <w:webHidden/>
          </w:rPr>
        </w:r>
        <w:r w:rsidRPr="001466B2">
          <w:rPr>
            <w:noProof/>
            <w:webHidden/>
          </w:rPr>
          <w:fldChar w:fldCharType="separate"/>
        </w:r>
        <w:r w:rsidR="00F67803" w:rsidRPr="001466B2">
          <w:rPr>
            <w:noProof/>
            <w:webHidden/>
          </w:rPr>
          <w:t>- 72 -</w:t>
        </w:r>
        <w:r w:rsidRPr="001466B2">
          <w:rPr>
            <w:noProof/>
            <w:webHidden/>
          </w:rPr>
          <w:fldChar w:fldCharType="end"/>
        </w:r>
      </w:hyperlink>
    </w:p>
    <w:p w14:paraId="42B274C8" w14:textId="106C0B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43" w:history="1">
        <w:r w:rsidRPr="001466B2">
          <w:rPr>
            <w:rStyle w:val="Hyperlink"/>
            <w:noProof/>
          </w:rPr>
          <w:t>5</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Diskussion</w:t>
        </w:r>
        <w:r w:rsidRPr="001466B2">
          <w:rPr>
            <w:noProof/>
            <w:webHidden/>
          </w:rPr>
          <w:tab/>
        </w:r>
        <w:r w:rsidRPr="001466B2">
          <w:rPr>
            <w:noProof/>
            <w:webHidden/>
          </w:rPr>
          <w:fldChar w:fldCharType="begin"/>
        </w:r>
        <w:r w:rsidRPr="001466B2">
          <w:rPr>
            <w:noProof/>
            <w:webHidden/>
          </w:rPr>
          <w:instrText xml:space="preserve"> PAGEREF _Toc158006543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5336F944" w14:textId="1C2B948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4" w:history="1">
        <w:r w:rsidRPr="001466B2">
          <w:rPr>
            <w:rStyle w:val="Hyperlink"/>
            <w:noProof/>
          </w:rPr>
          <w:t>5.1</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Methoden</w:t>
        </w:r>
        <w:r w:rsidRPr="001466B2">
          <w:rPr>
            <w:noProof/>
            <w:webHidden/>
          </w:rPr>
          <w:tab/>
        </w:r>
        <w:r w:rsidRPr="001466B2">
          <w:rPr>
            <w:noProof/>
            <w:webHidden/>
          </w:rPr>
          <w:fldChar w:fldCharType="begin"/>
        </w:r>
        <w:r w:rsidRPr="001466B2">
          <w:rPr>
            <w:noProof/>
            <w:webHidden/>
          </w:rPr>
          <w:instrText xml:space="preserve"> PAGEREF _Toc158006544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059305" w14:textId="1A18749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5" w:history="1">
        <w:r w:rsidRPr="001466B2">
          <w:rPr>
            <w:rStyle w:val="Hyperlink"/>
            <w:noProof/>
          </w:rPr>
          <w:t>5.1.1</w:t>
        </w:r>
        <w:r w:rsidRPr="001466B2">
          <w:rPr>
            <w:rFonts w:eastAsiaTheme="minorEastAsia" w:cstheme="minorBidi"/>
            <w:noProof/>
            <w:kern w:val="2"/>
            <w:sz w:val="24"/>
            <w:szCs w:val="24"/>
            <w:lang w:eastAsia="de-DE"/>
            <w14:ligatures w14:val="standardContextual"/>
          </w:rPr>
          <w:tab/>
        </w:r>
        <w:r w:rsidRPr="001466B2">
          <w:rPr>
            <w:rStyle w:val="Hyperlink"/>
            <w:noProof/>
          </w:rPr>
          <w:t>Diskussion des Studiendesigns</w:t>
        </w:r>
        <w:r w:rsidRPr="001466B2">
          <w:rPr>
            <w:noProof/>
            <w:webHidden/>
          </w:rPr>
          <w:tab/>
        </w:r>
        <w:r w:rsidRPr="001466B2">
          <w:rPr>
            <w:noProof/>
            <w:webHidden/>
          </w:rPr>
          <w:fldChar w:fldCharType="begin"/>
        </w:r>
        <w:r w:rsidRPr="001466B2">
          <w:rPr>
            <w:noProof/>
            <w:webHidden/>
          </w:rPr>
          <w:instrText xml:space="preserve"> PAGEREF _Toc158006545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13E6278C" w14:textId="269518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6" w:history="1">
        <w:r w:rsidRPr="001466B2">
          <w:rPr>
            <w:rStyle w:val="Hyperlink"/>
            <w:noProof/>
          </w:rPr>
          <w:t>5.1.2</w:t>
        </w:r>
        <w:r w:rsidRPr="001466B2">
          <w:rPr>
            <w:rFonts w:eastAsiaTheme="minorEastAsia" w:cstheme="minorBidi"/>
            <w:noProof/>
            <w:kern w:val="2"/>
            <w:sz w:val="24"/>
            <w:szCs w:val="24"/>
            <w:lang w:eastAsia="de-DE"/>
            <w14:ligatures w14:val="standardContextual"/>
          </w:rPr>
          <w:tab/>
        </w:r>
        <w:r w:rsidRPr="001466B2">
          <w:rPr>
            <w:rStyle w:val="Hyperlink"/>
            <w:noProof/>
          </w:rPr>
          <w:t>Tissue Microarrays</w:t>
        </w:r>
        <w:r w:rsidRPr="001466B2">
          <w:rPr>
            <w:noProof/>
            <w:webHidden/>
          </w:rPr>
          <w:tab/>
        </w:r>
        <w:r w:rsidRPr="001466B2">
          <w:rPr>
            <w:noProof/>
            <w:webHidden/>
          </w:rPr>
          <w:fldChar w:fldCharType="begin"/>
        </w:r>
        <w:r w:rsidRPr="001466B2">
          <w:rPr>
            <w:noProof/>
            <w:webHidden/>
          </w:rPr>
          <w:instrText xml:space="preserve"> PAGEREF _Toc158006546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87DBBB" w14:textId="649F352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7" w:history="1">
        <w:r w:rsidRPr="001466B2">
          <w:rPr>
            <w:rStyle w:val="Hyperlink"/>
            <w:noProof/>
          </w:rPr>
          <w:t>5.1.3</w:t>
        </w:r>
        <w:r w:rsidRPr="001466B2">
          <w:rPr>
            <w:rFonts w:eastAsiaTheme="minorEastAsia" w:cstheme="minorBidi"/>
            <w:noProof/>
            <w:kern w:val="2"/>
            <w:sz w:val="24"/>
            <w:szCs w:val="24"/>
            <w:lang w:eastAsia="de-DE"/>
            <w14:ligatures w14:val="standardContextual"/>
          </w:rPr>
          <w:tab/>
        </w:r>
        <w:r w:rsidRPr="001466B2">
          <w:rPr>
            <w:rStyle w:val="Hyperlink"/>
            <w:noProof/>
          </w:rPr>
          <w:t>Immunhistochemie</w:t>
        </w:r>
        <w:r w:rsidRPr="001466B2">
          <w:rPr>
            <w:noProof/>
            <w:webHidden/>
          </w:rPr>
          <w:tab/>
        </w:r>
        <w:r w:rsidRPr="001466B2">
          <w:rPr>
            <w:noProof/>
            <w:webHidden/>
          </w:rPr>
          <w:fldChar w:fldCharType="begin"/>
        </w:r>
        <w:r w:rsidRPr="001466B2">
          <w:rPr>
            <w:noProof/>
            <w:webHidden/>
          </w:rPr>
          <w:instrText xml:space="preserve"> PAGEREF _Toc158006547 \h </w:instrText>
        </w:r>
        <w:r w:rsidRPr="001466B2">
          <w:rPr>
            <w:noProof/>
            <w:webHidden/>
          </w:rPr>
        </w:r>
        <w:r w:rsidRPr="001466B2">
          <w:rPr>
            <w:noProof/>
            <w:webHidden/>
          </w:rPr>
          <w:fldChar w:fldCharType="separate"/>
        </w:r>
        <w:r w:rsidR="00F67803" w:rsidRPr="001466B2">
          <w:rPr>
            <w:noProof/>
            <w:webHidden/>
          </w:rPr>
          <w:t>- 75 -</w:t>
        </w:r>
        <w:r w:rsidRPr="001466B2">
          <w:rPr>
            <w:noProof/>
            <w:webHidden/>
          </w:rPr>
          <w:fldChar w:fldCharType="end"/>
        </w:r>
      </w:hyperlink>
    </w:p>
    <w:p w14:paraId="1A0585C7" w14:textId="78A0337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8" w:history="1">
        <w:r w:rsidRPr="001466B2">
          <w:rPr>
            <w:rStyle w:val="Hyperlink"/>
            <w:noProof/>
          </w:rPr>
          <w:t>5.2</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Ergebnisse</w:t>
        </w:r>
        <w:r w:rsidRPr="001466B2">
          <w:rPr>
            <w:noProof/>
            <w:webHidden/>
          </w:rPr>
          <w:tab/>
        </w:r>
        <w:r w:rsidRPr="001466B2">
          <w:rPr>
            <w:noProof/>
            <w:webHidden/>
          </w:rPr>
          <w:fldChar w:fldCharType="begin"/>
        </w:r>
        <w:r w:rsidRPr="001466B2">
          <w:rPr>
            <w:noProof/>
            <w:webHidden/>
          </w:rPr>
          <w:instrText xml:space="preserve"> PAGEREF _Toc158006548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60E9EC0C" w14:textId="363DB75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9" w:history="1">
        <w:r w:rsidRPr="001466B2">
          <w:rPr>
            <w:rStyle w:val="Hyperlink"/>
            <w:noProof/>
          </w:rPr>
          <w:t>5.2.1</w:t>
        </w:r>
        <w:r w:rsidRPr="001466B2">
          <w:rPr>
            <w:rFonts w:eastAsiaTheme="minorEastAsia" w:cstheme="minorBidi"/>
            <w:noProof/>
            <w:kern w:val="2"/>
            <w:sz w:val="24"/>
            <w:szCs w:val="24"/>
            <w:lang w:eastAsia="de-DE"/>
            <w14:ligatures w14:val="standardContextual"/>
          </w:rPr>
          <w:tab/>
        </w:r>
        <w:r w:rsidRPr="001466B2">
          <w:rPr>
            <w:rStyle w:val="Hyperlink"/>
            <w:noProof/>
          </w:rPr>
          <w:t>Einfluss von CD44 auf das klinische Outcome von lokal</w:t>
        </w:r>
        <w:r w:rsidRPr="001466B2">
          <w:rPr>
            <w:noProof/>
            <w:webHidden/>
          </w:rPr>
          <w:tab/>
        </w:r>
        <w:r w:rsidRPr="001466B2">
          <w:rPr>
            <w:noProof/>
            <w:webHidden/>
          </w:rPr>
          <w:fldChar w:fldCharType="begin"/>
        </w:r>
        <w:r w:rsidRPr="001466B2">
          <w:rPr>
            <w:noProof/>
            <w:webHidden/>
          </w:rPr>
          <w:instrText xml:space="preserve"> PAGEREF _Toc158006549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09117083" w14:textId="1F8D058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50" w:history="1">
        <w:r w:rsidRPr="001466B2">
          <w:rPr>
            <w:rStyle w:val="Hyperlink"/>
            <w:noProof/>
          </w:rPr>
          <w:t>5.2.2</w:t>
        </w:r>
        <w:r w:rsidRPr="001466B2">
          <w:rPr>
            <w:rFonts w:eastAsiaTheme="minorEastAsia" w:cstheme="minorBidi"/>
            <w:noProof/>
            <w:kern w:val="2"/>
            <w:sz w:val="24"/>
            <w:szCs w:val="24"/>
            <w:lang w:eastAsia="de-DE"/>
            <w14:ligatures w14:val="standardContextual"/>
          </w:rPr>
          <w:tab/>
        </w:r>
        <w:r w:rsidRPr="001466B2">
          <w:rPr>
            <w:rStyle w:val="Hyperlink"/>
            <w:noProof/>
          </w:rPr>
          <w:t>HPV-Status als weiteren Stratifizierungsparameter</w:t>
        </w:r>
        <w:r w:rsidRPr="001466B2">
          <w:rPr>
            <w:noProof/>
            <w:webHidden/>
          </w:rPr>
          <w:tab/>
        </w:r>
        <w:r w:rsidRPr="001466B2">
          <w:rPr>
            <w:noProof/>
            <w:webHidden/>
          </w:rPr>
          <w:fldChar w:fldCharType="begin"/>
        </w:r>
        <w:r w:rsidRPr="001466B2">
          <w:rPr>
            <w:noProof/>
            <w:webHidden/>
          </w:rPr>
          <w:instrText xml:space="preserve"> PAGEREF _Toc158006550 \h </w:instrText>
        </w:r>
        <w:r w:rsidRPr="001466B2">
          <w:rPr>
            <w:noProof/>
            <w:webHidden/>
          </w:rPr>
        </w:r>
        <w:r w:rsidRPr="001466B2">
          <w:rPr>
            <w:noProof/>
            <w:webHidden/>
          </w:rPr>
          <w:fldChar w:fldCharType="separate"/>
        </w:r>
        <w:r w:rsidR="00F67803" w:rsidRPr="001466B2">
          <w:rPr>
            <w:noProof/>
            <w:webHidden/>
          </w:rPr>
          <w:t>- 77 -</w:t>
        </w:r>
        <w:r w:rsidRPr="001466B2">
          <w:rPr>
            <w:noProof/>
            <w:webHidden/>
          </w:rPr>
          <w:fldChar w:fldCharType="end"/>
        </w:r>
      </w:hyperlink>
    </w:p>
    <w:p w14:paraId="6234D553" w14:textId="14A20BC3"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53" w:history="1">
        <w:r w:rsidRPr="001466B2">
          <w:rPr>
            <w:rStyle w:val="Hyperlink"/>
            <w:noProof/>
          </w:rPr>
          <w:t>8</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Literaturverzeichnis</w:t>
        </w:r>
        <w:r w:rsidRPr="001466B2">
          <w:rPr>
            <w:noProof/>
            <w:webHidden/>
          </w:rPr>
          <w:tab/>
        </w:r>
        <w:r w:rsidRPr="001466B2">
          <w:rPr>
            <w:noProof/>
            <w:webHidden/>
          </w:rPr>
          <w:fldChar w:fldCharType="begin"/>
        </w:r>
        <w:r w:rsidRPr="001466B2">
          <w:rPr>
            <w:noProof/>
            <w:webHidden/>
          </w:rPr>
          <w:instrText xml:space="preserve"> PAGEREF _Toc158006553 \h </w:instrText>
        </w:r>
        <w:r w:rsidRPr="001466B2">
          <w:rPr>
            <w:noProof/>
            <w:webHidden/>
          </w:rPr>
        </w:r>
        <w:r w:rsidRPr="001466B2">
          <w:rPr>
            <w:noProof/>
            <w:webHidden/>
          </w:rPr>
          <w:fldChar w:fldCharType="separate"/>
        </w:r>
        <w:r w:rsidR="00F67803" w:rsidRPr="001466B2">
          <w:rPr>
            <w:noProof/>
            <w:webHidden/>
          </w:rPr>
          <w:t>VI</w:t>
        </w:r>
        <w:r w:rsidRPr="001466B2">
          <w:rPr>
            <w:noProof/>
            <w:webHidden/>
          </w:rPr>
          <w:fldChar w:fldCharType="end"/>
        </w:r>
      </w:hyperlink>
    </w:p>
    <w:p w14:paraId="55EC659B" w14:textId="68581E61" w:rsidR="002A38B5" w:rsidRPr="00812C16" w:rsidRDefault="000718CD" w:rsidP="00E85A65">
      <w:pPr>
        <w:rPr>
          <w:rFonts w:cs="Arial"/>
          <w:b/>
          <w:bCs/>
          <w:caps/>
          <w:sz w:val="20"/>
          <w:szCs w:val="20"/>
        </w:rPr>
        <w:sectPr w:rsidR="002A38B5" w:rsidRPr="00812C16" w:rsidSect="00AB18EC">
          <w:headerReference w:type="default" r:id="rId8"/>
          <w:type w:val="continuous"/>
          <w:pgSz w:w="11906" w:h="16838"/>
          <w:pgMar w:top="1418" w:right="1418" w:bottom="1134" w:left="1418" w:header="709" w:footer="709" w:gutter="0"/>
          <w:cols w:space="708"/>
          <w:docGrid w:linePitch="360"/>
        </w:sectPr>
      </w:pPr>
      <w:r w:rsidRPr="001466B2">
        <w:rPr>
          <w:rFonts w:asciiTheme="minorHAnsi" w:hAnsiTheme="minorHAnsi" w:cs="Arial"/>
          <w:b/>
          <w:bCs/>
          <w:caps/>
          <w:sz w:val="20"/>
          <w:szCs w:val="20"/>
          <w:u w:val="single"/>
        </w:rPr>
        <w:fldChar w:fldCharType="end"/>
      </w:r>
    </w:p>
    <w:p w14:paraId="29E53564" w14:textId="25278A04" w:rsidR="006C46DC" w:rsidRDefault="006C46DC">
      <w:pPr>
        <w:spacing w:after="0"/>
        <w:jc w:val="left"/>
        <w:rPr>
          <w:rFonts w:cs="Arial"/>
          <w:lang w:val="en-US" w:eastAsia="de-DE"/>
        </w:rPr>
      </w:pPr>
      <w:r>
        <w:rPr>
          <w:rFonts w:cs="Arial"/>
          <w:lang w:val="en-US" w:eastAsia="de-DE"/>
        </w:rPr>
        <w:br w:type="page"/>
      </w:r>
    </w:p>
    <w:p w14:paraId="78E67EA9" w14:textId="77777777" w:rsidR="00A90AB4" w:rsidRPr="00812C16" w:rsidRDefault="00A90AB4" w:rsidP="00BE67F7">
      <w:pPr>
        <w:rPr>
          <w:rFonts w:cs="Arial"/>
          <w:lang w:val="en-US" w:eastAsia="de-DE"/>
        </w:rPr>
        <w:sectPr w:rsidR="00A90AB4" w:rsidRPr="00812C16" w:rsidSect="00AB18EC">
          <w:headerReference w:type="default" r:id="rId9"/>
          <w:type w:val="continuous"/>
          <w:pgSz w:w="11906" w:h="16838"/>
          <w:pgMar w:top="1418" w:right="1418" w:bottom="1134" w:left="1418" w:header="709" w:footer="709" w:gutter="0"/>
          <w:pgNumType w:fmt="numberInDash"/>
          <w:cols w:space="708"/>
          <w:titlePg/>
          <w:docGrid w:linePitch="360"/>
        </w:sectPr>
      </w:pPr>
    </w:p>
    <w:p w14:paraId="593DFB98" w14:textId="1784E527" w:rsidR="00845C92" w:rsidRPr="00812C16" w:rsidRDefault="00EA57D9" w:rsidP="00C95E90">
      <w:pPr>
        <w:pStyle w:val="berschrift1"/>
        <w:ind w:left="709" w:hanging="709"/>
        <w:rPr>
          <w:rFonts w:cs="Arial"/>
        </w:rPr>
      </w:pPr>
      <w:bookmarkStart w:id="2" w:name="_Toc158006509"/>
      <w:bookmarkStart w:id="3" w:name="OLE_LINK4"/>
      <w:bookmarkStart w:id="4" w:name="OLE_LINK3"/>
      <w:r w:rsidRPr="00812C16">
        <w:rPr>
          <w:rFonts w:cs="Arial"/>
        </w:rPr>
        <w:lastRenderedPageBreak/>
        <w:t>Hintergrund</w:t>
      </w:r>
      <w:bookmarkEnd w:id="2"/>
    </w:p>
    <w:p w14:paraId="39E9CDE3" w14:textId="77777777" w:rsidR="00E73B40" w:rsidRPr="00812C16" w:rsidRDefault="00845C92" w:rsidP="00DE288C">
      <w:pPr>
        <w:pStyle w:val="berschrift2"/>
        <w:spacing w:after="0"/>
        <w:ind w:left="357" w:hanging="357"/>
        <w:rPr>
          <w:rFonts w:cs="Arial"/>
        </w:rPr>
      </w:pPr>
      <w:bookmarkStart w:id="5" w:name="_Toc158006510"/>
      <w:bookmarkStart w:id="6" w:name="OLE_LINK5"/>
      <w:r w:rsidRPr="00812C16">
        <w:rPr>
          <w:rFonts w:cs="Arial"/>
        </w:rPr>
        <w:t>Kopf-Hals-</w:t>
      </w:r>
      <w:r w:rsidR="00E77011" w:rsidRPr="00812C16">
        <w:rPr>
          <w:rFonts w:cs="Arial"/>
        </w:rPr>
        <w:t>Plattenepithelkarzinom</w:t>
      </w:r>
      <w:bookmarkEnd w:id="5"/>
    </w:p>
    <w:p w14:paraId="598C44DF" w14:textId="7C53A04C" w:rsidR="00845C92" w:rsidRPr="00812C16" w:rsidRDefault="00E73B40" w:rsidP="00E77011">
      <w:pPr>
        <w:pStyle w:val="StandardWeb"/>
        <w:rPr>
          <w:rFonts w:ascii="Arial" w:hAnsi="Arial" w:cs="Arial"/>
        </w:rPr>
      </w:pPr>
      <w:r w:rsidRPr="00812C16">
        <w:rPr>
          <w:rFonts w:ascii="Arial" w:hAnsi="Arial" w:cs="Arial"/>
        </w:rPr>
        <w:t xml:space="preserve">Die Plattenepithelkarzinome des Kopf-Hals-Bereiches (HNSCC: Head and neck squamosa cell carcinoma) machen den Großteil aller Krebserkrankungen im Kopf-Hals-Bereich aus. Sie treten in den unterschiedlichen Etagen des oberen Aerodigestivtraktes auf. Man kann sie hinsichtlich ihrer anatomischen Lokalisation in Tumoren der </w:t>
      </w:r>
      <w:r w:rsidR="00F43C49" w:rsidRPr="00812C16">
        <w:rPr>
          <w:rFonts w:ascii="Arial" w:hAnsi="Arial" w:cs="Arial"/>
        </w:rPr>
        <w:t>Mundhöhle</w:t>
      </w:r>
      <w:r w:rsidRPr="00812C16">
        <w:rPr>
          <w:rFonts w:ascii="Arial" w:hAnsi="Arial" w:cs="Arial"/>
        </w:rPr>
        <w:t xml:space="preserve">, des Pharynx (Naso-, Oro- und Hypopharynx) sowie des Larynx untergliedern. Klinisch zeigt sich folgendes anatomisches Verteilungsmuster: </w:t>
      </w:r>
      <w:r w:rsidR="0096533A">
        <w:rPr>
          <w:rFonts w:ascii="Arial" w:hAnsi="Arial" w:cs="Arial"/>
        </w:rPr>
        <w:t>f</w:t>
      </w:r>
      <w:r w:rsidRPr="00812C16">
        <w:rPr>
          <w:rFonts w:ascii="Arial" w:hAnsi="Arial" w:cs="Arial"/>
        </w:rPr>
        <w:t>Mundhöhle 50%</w:t>
      </w:r>
      <w:r w:rsidR="00F37CB6" w:rsidRPr="00812C16">
        <w:rPr>
          <w:rFonts w:ascii="Arial" w:hAnsi="Arial" w:cs="Arial"/>
        </w:rPr>
        <w:t xml:space="preserve">, </w:t>
      </w:r>
      <w:r w:rsidRPr="00812C16">
        <w:rPr>
          <w:rFonts w:ascii="Arial" w:hAnsi="Arial" w:cs="Arial"/>
        </w:rPr>
        <w:t>Pharynx 25%</w:t>
      </w:r>
      <w:r w:rsidR="00F37CB6" w:rsidRPr="00812C16">
        <w:rPr>
          <w:rFonts w:ascii="Arial" w:hAnsi="Arial" w:cs="Arial"/>
        </w:rPr>
        <w:t xml:space="preserve">, </w:t>
      </w:r>
      <w:r w:rsidRPr="00812C16">
        <w:rPr>
          <w:rFonts w:ascii="Arial" w:hAnsi="Arial" w:cs="Arial"/>
        </w:rPr>
        <w:t>Larynx 25%</w:t>
      </w:r>
      <w:r w:rsidR="00E77011" w:rsidRPr="00812C16">
        <w:rPr>
          <w:rFonts w:ascii="Arial" w:hAnsi="Arial" w:cs="Arial"/>
        </w:rPr>
        <w:t xml:space="preserve"> </w:t>
      </w:r>
      <w:r w:rsidR="000112D9">
        <w:rPr>
          <w:rFonts w:ascii="Arial" w:hAnsi="Arial" w:cs="Arial"/>
        </w:rPr>
        <w:fldChar w:fldCharType="begin">
          <w:fldData xml:space="preserve">PEVuZE5vdGU+PENpdGU+PEF1dGhvcj5XaXR0ZWtpbmQ8L0F1dGhvcj48WWVhcj4yMDEzPC9ZZWFy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</w:fldData>
        </w:fldChar>
      </w:r>
      <w:r w:rsidR="000112D9">
        <w:rPr>
          <w:rFonts w:ascii="Arial" w:hAnsi="Arial" w:cs="Arial"/>
        </w:rPr>
        <w:instrText xml:space="preserve"> ADDIN EN.JS.CITE </w:instrText>
      </w:r>
      <w:r w:rsidR="000112D9">
        <w:rPr>
          <w:rFonts w:ascii="Arial" w:hAnsi="Arial" w:cs="Arial"/>
        </w:rPr>
      </w:r>
      <w:r w:rsidR="000112D9">
        <w:rPr>
          <w:rFonts w:ascii="Arial" w:hAnsi="Arial" w:cs="Arial"/>
        </w:rPr>
        <w:fldChar w:fldCharType="separate"/>
      </w:r>
      <w:r w:rsidR="000112D9">
        <w:rPr>
          <w:rFonts w:ascii="Arial" w:hAnsi="Arial" w:cs="Arial"/>
          <w:noProof/>
        </w:rPr>
        <w:t>(</w:t>
      </w:r>
      <w:r w:rsidR="009D0F7A" w:rsidRPr="002A19C6">
        <w:rPr>
          <w:rFonts w:ascii="Arial" w:hAnsi="Arial"/>
          <w:lang w:eastAsia="en-US"/>
        </w:rPr>
        <w:t>Wittekind, 2013</w:t>
      </w:r>
      <w:r w:rsidR="000112D9">
        <w:rPr>
          <w:rFonts w:ascii="Arial" w:hAnsi="Arial" w:cs="Arial"/>
          <w:noProof/>
        </w:rPr>
        <w:t>)</w:t>
      </w:r>
      <w:r w:rsidR="000112D9">
        <w:rPr>
          <w:rFonts w:ascii="Arial" w:hAnsi="Arial" w:cs="Arial"/>
        </w:rPr>
        <w:fldChar w:fldCharType="end"/>
      </w:r>
      <w:r w:rsidR="00E77011" w:rsidRPr="00812C16">
        <w:rPr>
          <w:rFonts w:ascii="Arial" w:hAnsi="Arial" w:cs="Arial"/>
        </w:rPr>
        <w:t>.</w:t>
      </w:r>
    </w:p>
    <w:p w14:paraId="753AFCD2" w14:textId="77777777" w:rsidR="002F01F1" w:rsidRPr="00812C16" w:rsidRDefault="002F01F1" w:rsidP="005547D3">
      <w:pPr>
        <w:pStyle w:val="berschrift3"/>
      </w:pPr>
      <w:bookmarkStart w:id="7" w:name="_Toc158006511"/>
      <w:bookmarkEnd w:id="6"/>
      <w:r w:rsidRPr="00812C16">
        <w:t>Epidemiologie</w:t>
      </w:r>
      <w:bookmarkEnd w:id="7"/>
    </w:p>
    <w:p w14:paraId="7301EE03" w14:textId="4D03EE6A" w:rsidR="00F26011" w:rsidRPr="00812C16" w:rsidRDefault="00D62667" w:rsidP="004B6541">
      <w:pPr>
        <w:rPr>
          <w:rFonts w:cs="Arial"/>
        </w:rPr>
      </w:pPr>
      <w:r w:rsidRPr="00812C16">
        <w:rPr>
          <w:rFonts w:cs="Arial"/>
        </w:rPr>
        <w:t>Nach Schätzungen der WHO erkrankten im Jahre 20</w:t>
      </w:r>
      <w:r w:rsidR="007B6C4E" w:rsidRPr="00812C16">
        <w:rPr>
          <w:rFonts w:cs="Arial"/>
        </w:rPr>
        <w:t>20</w:t>
      </w:r>
      <w:r w:rsidRPr="00812C16">
        <w:rPr>
          <w:rFonts w:cs="Arial"/>
        </w:rPr>
        <w:t xml:space="preserve"> weltweit etwa</w:t>
      </w:r>
      <w:r w:rsidR="007B6C4E" w:rsidRPr="00812C16">
        <w:rPr>
          <w:rFonts w:cs="Arial"/>
        </w:rPr>
        <w:t xml:space="preserve"> 509.900</w:t>
      </w:r>
      <w:r w:rsidRPr="00812C16">
        <w:rPr>
          <w:rFonts w:cs="Arial"/>
        </w:rPr>
        <w:t xml:space="preserve"> Männer und </w:t>
      </w:r>
      <w:r w:rsidR="007B6C4E" w:rsidRPr="00812C16">
        <w:rPr>
          <w:rFonts w:cs="Arial"/>
        </w:rPr>
        <w:t>183.900</w:t>
      </w:r>
      <w:r w:rsidRPr="00812C16">
        <w:rPr>
          <w:rFonts w:cs="Arial"/>
        </w:rPr>
        <w:t xml:space="preserve"> Frauen an einem Karzinom von Lippe, Mundhöhle oder Pharynx</w:t>
      </w:r>
      <w:r w:rsidR="00B2352D" w:rsidRPr="00812C16">
        <w:rPr>
          <w:rFonts w:cs="Arial"/>
        </w:rPr>
        <w:t xml:space="preserve"> (ohne Speicheldrüse)</w:t>
      </w:r>
      <w:r w:rsidRPr="00812C16">
        <w:rPr>
          <w:rFonts w:cs="Arial"/>
        </w:rPr>
        <w:t xml:space="preserve">. </w:t>
      </w:r>
      <w:r w:rsidR="00016550" w:rsidRPr="00812C16">
        <w:rPr>
          <w:rFonts w:cs="Arial"/>
        </w:rPr>
        <w:t>Tumore des Kopf-Hals</w:t>
      </w:r>
      <w:r w:rsidR="00D0520F" w:rsidRPr="00812C16">
        <w:rPr>
          <w:rFonts w:cs="Arial"/>
        </w:rPr>
        <w:t>-</w:t>
      </w:r>
      <w:r w:rsidR="00016550" w:rsidRPr="00812C16">
        <w:rPr>
          <w:rFonts w:cs="Arial"/>
        </w:rPr>
        <w:t>Bereichs</w:t>
      </w:r>
      <w:r w:rsidRPr="00812C16">
        <w:rPr>
          <w:rFonts w:cs="Arial"/>
        </w:rPr>
        <w:t xml:space="preserve"> machen somit bei Männern </w:t>
      </w:r>
      <w:r w:rsidR="00B2352D" w:rsidRPr="00812C16">
        <w:rPr>
          <w:rFonts w:cs="Arial"/>
        </w:rPr>
        <w:t>11,6</w:t>
      </w:r>
      <w:r w:rsidRPr="00812C16">
        <w:rPr>
          <w:rFonts w:cs="Arial"/>
        </w:rPr>
        <w:t xml:space="preserve">% und bei Frauen </w:t>
      </w:r>
      <w:r w:rsidR="00B2352D" w:rsidRPr="00812C16">
        <w:rPr>
          <w:rFonts w:cs="Arial"/>
        </w:rPr>
        <w:t>3,8</w:t>
      </w:r>
      <w:r w:rsidRPr="00812C16">
        <w:rPr>
          <w:rFonts w:cs="Arial"/>
        </w:rPr>
        <w:t>% aller bösartigen Tumorerkrankungen aus</w:t>
      </w:r>
      <w:r w:rsidR="00016550" w:rsidRPr="00812C16">
        <w:rPr>
          <w:rFonts w:cs="Arial"/>
        </w:rPr>
        <w:t>.</w:t>
      </w:r>
      <w:r w:rsidR="00B2352D" w:rsidRPr="00812C16">
        <w:rPr>
          <w:rFonts w:cs="Arial"/>
        </w:rPr>
        <w:t xml:space="preserve"> </w:t>
      </w:r>
      <w:r w:rsidR="00F26011" w:rsidRPr="00812C16">
        <w:rPr>
          <w:rFonts w:cs="Arial"/>
        </w:rPr>
        <w:t xml:space="preserve">Damit rangiert diese Krebserkrankung auf den sechsten Platz der weltweit häufigsten Malignome.  </w:t>
      </w:r>
      <w:r w:rsidR="00A15417" w:rsidRPr="00812C16">
        <w:rPr>
          <w:rFonts w:cs="Arial"/>
        </w:rPr>
        <w:t xml:space="preserve">Von den Krebserkrankten verstarben 325.000 Menschen, auch davon waren rund drei Viertel </w:t>
      </w:r>
      <w:r w:rsidR="00F91849" w:rsidRPr="00812C16">
        <w:rPr>
          <w:rFonts w:cs="Arial"/>
        </w:rPr>
        <w:t>m</w:t>
      </w:r>
      <w:r w:rsidR="00A15417" w:rsidRPr="00812C16">
        <w:rPr>
          <w:rFonts w:cs="Arial"/>
        </w:rPr>
        <w:t>ännlich</w:t>
      </w:r>
      <w:r w:rsidR="00016550" w:rsidRPr="00812C16">
        <w:rPr>
          <w:rFonts w:cs="Arial"/>
        </w:rPr>
        <w:t xml:space="preserve"> </w:t>
      </w:r>
      <w:r w:rsidR="000112D9">
        <w:rPr>
          <w:rFonts w:cs="Arial"/>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Ferlay et al., 2021</w:t>
      </w:r>
      <w:r w:rsidR="000112D9">
        <w:rPr>
          <w:rFonts w:cs="Arial"/>
          <w:noProof/>
        </w:rPr>
        <w:t>)</w:t>
      </w:r>
      <w:r w:rsidR="000112D9">
        <w:rPr>
          <w:rFonts w:cs="Arial"/>
        </w:rPr>
        <w:fldChar w:fldCharType="end"/>
      </w:r>
      <w:r w:rsidR="00016550" w:rsidRPr="00812C16">
        <w:rPr>
          <w:rFonts w:cs="Arial"/>
        </w:rPr>
        <w:t>.</w:t>
      </w:r>
    </w:p>
    <w:bookmarkEnd w:id="3"/>
    <w:p w14:paraId="2C14CE52" w14:textId="77777777" w:rsidR="00D92D5E" w:rsidRPr="00812C16" w:rsidRDefault="00B2352D" w:rsidP="00D92D5E">
      <w:pPr>
        <w:spacing w:after="360"/>
        <w:rPr>
          <w:rFonts w:cs="Arial"/>
        </w:rPr>
      </w:pPr>
      <w:r w:rsidRPr="00812C16">
        <w:rPr>
          <w:rFonts w:cs="Arial"/>
        </w:rPr>
        <w:t>I</w:t>
      </w:r>
      <w:r w:rsidR="002F01F1" w:rsidRPr="00812C16">
        <w:rPr>
          <w:rFonts w:cs="Arial"/>
        </w:rPr>
        <w:t>n der Bundesrepublik Deutschland erkrankten im Jahr 201</w:t>
      </w:r>
      <w:r w:rsidR="003D2037" w:rsidRPr="00812C16">
        <w:rPr>
          <w:rFonts w:cs="Arial"/>
        </w:rPr>
        <w:t>8</w:t>
      </w:r>
      <w:r w:rsidR="002F01F1" w:rsidRPr="00812C16">
        <w:rPr>
          <w:rFonts w:cs="Arial"/>
        </w:rPr>
        <w:t xml:space="preserve"> nach Angaben des Robert-Koch-Instituts 1</w:t>
      </w:r>
      <w:r w:rsidR="004B6541" w:rsidRPr="00812C16">
        <w:rPr>
          <w:rFonts w:cs="Arial"/>
        </w:rPr>
        <w:t>4.310</w:t>
      </w:r>
      <w:r w:rsidR="002F01F1" w:rsidRPr="00812C16">
        <w:rPr>
          <w:rFonts w:cs="Arial"/>
        </w:rPr>
        <w:t xml:space="preserve"> Bürger an einem Karzinom der Kopf</w:t>
      </w:r>
      <w:r w:rsidR="003325E6" w:rsidRPr="00812C16">
        <w:rPr>
          <w:rFonts w:cs="Arial"/>
        </w:rPr>
        <w:t>- /Hals-</w:t>
      </w:r>
      <w:r w:rsidR="002F01F1" w:rsidRPr="00812C16">
        <w:rPr>
          <w:rFonts w:cs="Arial"/>
        </w:rPr>
        <w:t>Region.</w:t>
      </w:r>
      <w:r w:rsidR="00E00FF6" w:rsidRPr="00812C16">
        <w:rPr>
          <w:rFonts w:cs="Arial"/>
        </w:rPr>
        <w:t xml:space="preserve"> </w:t>
      </w:r>
      <w:r w:rsidR="009A75B5" w:rsidRPr="00812C16">
        <w:rPr>
          <w:rFonts w:cs="Arial"/>
        </w:rPr>
        <w:t xml:space="preserve">Mit einem Anteil von 68,6% erkrankten </w:t>
      </w:r>
      <w:r w:rsidR="00610131" w:rsidRPr="00812C16">
        <w:rPr>
          <w:rFonts w:cs="Arial"/>
        </w:rPr>
        <w:t>Männer</w:t>
      </w:r>
      <w:r w:rsidR="00E00FF6" w:rsidRPr="00812C16">
        <w:rPr>
          <w:rFonts w:cs="Arial"/>
        </w:rPr>
        <w:t xml:space="preserve"> </w:t>
      </w:r>
      <w:r w:rsidR="00610131" w:rsidRPr="00812C16">
        <w:rPr>
          <w:rFonts w:cs="Arial"/>
        </w:rPr>
        <w:t>häufiger</w:t>
      </w:r>
      <w:r w:rsidR="00E00FF6" w:rsidRPr="00812C16">
        <w:rPr>
          <w:rFonts w:cs="Arial"/>
        </w:rPr>
        <w:t xml:space="preserve"> und </w:t>
      </w:r>
      <w:r w:rsidR="00A64B87" w:rsidRPr="00812C16">
        <w:rPr>
          <w:rFonts w:cs="Arial"/>
        </w:rPr>
        <w:t>bei einem medianen Erk</w:t>
      </w:r>
      <w:r w:rsidR="00610131" w:rsidRPr="00812C16">
        <w:rPr>
          <w:rFonts w:cs="Arial"/>
        </w:rPr>
        <w:t>r</w:t>
      </w:r>
      <w:r w:rsidR="00A64B87" w:rsidRPr="00812C16">
        <w:rPr>
          <w:rFonts w:cs="Arial"/>
        </w:rPr>
        <w:t>a</w:t>
      </w:r>
      <w:r w:rsidR="00610131" w:rsidRPr="00812C16">
        <w:rPr>
          <w:rFonts w:cs="Arial"/>
        </w:rPr>
        <w:t>nkungsalter</w:t>
      </w:r>
      <w:r w:rsidR="00A64B87" w:rsidRPr="00812C16">
        <w:rPr>
          <w:rFonts w:cs="Arial"/>
        </w:rPr>
        <w:t xml:space="preserve"> von 6</w:t>
      </w:r>
      <w:r w:rsidR="00A65CA5" w:rsidRPr="00812C16">
        <w:rPr>
          <w:rFonts w:cs="Arial"/>
        </w:rPr>
        <w:t>4</w:t>
      </w:r>
      <w:r w:rsidR="00A64B87" w:rsidRPr="00812C16">
        <w:rPr>
          <w:rFonts w:cs="Arial"/>
        </w:rPr>
        <w:t xml:space="preserve"> Jahren </w:t>
      </w:r>
      <w:r w:rsidR="00E00FF6" w:rsidRPr="00812C16">
        <w:rPr>
          <w:rFonts w:cs="Arial"/>
        </w:rPr>
        <w:t xml:space="preserve">zwei bis drei Jahre </w:t>
      </w:r>
      <w:r w:rsidR="00610131" w:rsidRPr="00812C16">
        <w:rPr>
          <w:rFonts w:cs="Arial"/>
        </w:rPr>
        <w:t>früher</w:t>
      </w:r>
      <w:r w:rsidR="00E00FF6" w:rsidRPr="00812C16">
        <w:rPr>
          <w:rFonts w:cs="Arial"/>
        </w:rPr>
        <w:t xml:space="preserve"> als Frauen</w:t>
      </w:r>
      <w:r w:rsidR="009A75B5" w:rsidRPr="00812C16">
        <w:rPr>
          <w:rFonts w:cs="Arial"/>
        </w:rPr>
        <w:t>.</w:t>
      </w:r>
      <w:r w:rsidR="0005187F" w:rsidRPr="00812C16">
        <w:rPr>
          <w:rFonts w:cs="Arial"/>
        </w:rPr>
        <w:t xml:space="preserve"> Damit ordnet sich die</w:t>
      </w:r>
      <w:r w:rsidR="001E5CB7" w:rsidRPr="00812C16">
        <w:rPr>
          <w:rFonts w:cs="Arial"/>
        </w:rPr>
        <w:t>se Krebserkrankung bei den männlichen Erkrankten mit einem Anteil von 3,7% an neunter Stelle (Inzidenz 17/100.000) und bei den Frauen mit einem Anteil von 1,6% an 15. Stelle (Inzidenz 4/100.000) der gesamten Krebsneuerkrankungen in Deutschland ein.</w:t>
      </w:r>
      <w:r w:rsidR="00DB2734" w:rsidRPr="00812C16">
        <w:rPr>
          <w:rFonts w:cs="Arial"/>
        </w:rPr>
        <w:t xml:space="preserve"> Seit einigen Jahren verlaufen die</w:t>
      </w:r>
      <w:r w:rsidR="00D92D5E" w:rsidRPr="00812C16">
        <w:rPr>
          <w:rFonts w:cs="Arial"/>
        </w:rPr>
        <w:t xml:space="preserve"> altersstandardisierten</w:t>
      </w:r>
      <w:r w:rsidR="00DB2734" w:rsidRPr="00812C16">
        <w:rPr>
          <w:rFonts w:cs="Arial"/>
        </w:rPr>
        <w:t xml:space="preserve"> Neuerkrankungsraten in Deutschland bei den Frauen annä</w:t>
      </w:r>
      <w:r w:rsidR="00B16418" w:rsidRPr="00812C16">
        <w:rPr>
          <w:rFonts w:cs="Arial"/>
        </w:rPr>
        <w:t xml:space="preserve">hrend </w:t>
      </w:r>
      <w:r w:rsidR="00D92D5E" w:rsidRPr="00812C16">
        <w:rPr>
          <w:rFonts w:cs="Arial"/>
        </w:rPr>
        <w:t>konstant</w:t>
      </w:r>
      <w:r w:rsidR="00B16418" w:rsidRPr="00812C16">
        <w:rPr>
          <w:rFonts w:cs="Arial"/>
        </w:rPr>
        <w:t xml:space="preserve">, bei den Männern ist sogar ein leichter Rückgang zu beobachten. </w:t>
      </w:r>
    </w:p>
    <w:bookmarkEnd w:id="4"/>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56F0EFE" w14:textId="61F8ED3B" w:rsidR="004458CC" w:rsidRPr="00812C16" w:rsidRDefault="00D92D5E" w:rsidP="00D92D5E">
      <w:pPr>
        <w:pStyle w:val="Beschriftung"/>
        <w:spacing w:after="360" w:line="240" w:lineRule="auto"/>
        <w:rPr>
          <w:rFonts w:cs="Arial"/>
          <w:b/>
          <w:bCs/>
          <w:i w:val="0"/>
          <w:iCs w:val="0"/>
          <w:color w:val="000000" w:themeColor="text1"/>
          <w:sz w:val="20"/>
          <w:szCs w:val="20"/>
        </w:rPr>
      </w:pPr>
      <w:bookmarkStart w:id="8" w:name="_Toc180788375"/>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Altersstandardisierte Neuerkrankungs- und Sterberaten (Europastandard) nach Geschlecht, ICD-10 C00 – C14, Deutschland 1999 – 2018/2019, Prognose (Inzidenz) bis 2022</w:t>
      </w:r>
      <w:r w:rsidR="00BB3AB7" w:rsidRPr="00812C16">
        <w:rPr>
          <w:b/>
          <w:bCs/>
          <w:i w:val="0"/>
          <w:iCs w:val="0"/>
          <w:color w:val="000000" w:themeColor="text1"/>
          <w:sz w:val="20"/>
          <w:szCs w:val="20"/>
        </w:rPr>
        <w:t xml:space="preserve"> (Quelle: Zentrum f. Krebsregisterdaten 2021)</w:t>
      </w:r>
      <w:bookmarkEnd w:id="8"/>
    </w:p>
    <w:p w14:paraId="209F02F6" w14:textId="7B4D8BD0" w:rsidR="00EF6FA1" w:rsidRPr="00812C16" w:rsidRDefault="00610131" w:rsidP="004B6541">
      <w:pPr>
        <w:rPr>
          <w:rFonts w:cs="Arial"/>
        </w:rPr>
      </w:pPr>
      <w:r w:rsidRPr="00812C16">
        <w:rPr>
          <w:rFonts w:cs="Arial"/>
        </w:rPr>
        <w:t>Die entsprechenden Mortalitätsraten</w:t>
      </w:r>
      <w:r w:rsidR="00BB3AB7" w:rsidRPr="00812C16">
        <w:rPr>
          <w:rFonts w:cs="Arial"/>
        </w:rPr>
        <w:t xml:space="preserve"> verhalten sich für Männer und Frauen ähnlich.</w:t>
      </w:r>
      <w:r w:rsidRPr="00812C16">
        <w:rPr>
          <w:rFonts w:cs="Arial"/>
        </w:rPr>
        <w:t xml:space="preserve"> </w:t>
      </w:r>
      <w:r w:rsidR="00505206" w:rsidRPr="00812C16">
        <w:rPr>
          <w:rFonts w:cs="Arial"/>
        </w:rPr>
        <w:t xml:space="preserve">Im Jahre 2018 </w:t>
      </w:r>
      <w:r w:rsidR="002F01F1" w:rsidRPr="00812C16">
        <w:rPr>
          <w:rFonts w:cs="Arial"/>
        </w:rPr>
        <w:t xml:space="preserve">verstarben insgesamt </w:t>
      </w:r>
      <w:r w:rsidR="004B6541" w:rsidRPr="00812C16">
        <w:rPr>
          <w:rFonts w:cs="Arial"/>
        </w:rPr>
        <w:t>5.412</w:t>
      </w:r>
      <w:r w:rsidR="002F01F1" w:rsidRPr="00812C16">
        <w:rPr>
          <w:rFonts w:cs="Arial"/>
        </w:rPr>
        <w:t xml:space="preserve"> Patienten (davon 7</w:t>
      </w:r>
      <w:r w:rsidR="004B6541" w:rsidRPr="00812C16">
        <w:rPr>
          <w:rFonts w:cs="Arial"/>
        </w:rPr>
        <w:t>3</w:t>
      </w:r>
      <w:r w:rsidR="002F01F1" w:rsidRPr="00812C16">
        <w:rPr>
          <w:rFonts w:cs="Arial"/>
        </w:rPr>
        <w:t>,4% Männer)</w:t>
      </w:r>
      <w:r w:rsidR="00505206" w:rsidRPr="00812C16">
        <w:rPr>
          <w:rFonts w:cs="Arial"/>
        </w:rPr>
        <w:t>. Männer</w:t>
      </w:r>
      <w:r w:rsidR="002F01F1" w:rsidRPr="00812C16">
        <w:rPr>
          <w:rFonts w:cs="Arial"/>
        </w:rPr>
        <w:t xml:space="preserve"> nahmen mit einem Anteil von 3,4% an den Krebssterbefällen den neunten Platz </w:t>
      </w:r>
      <w:r w:rsidR="00505206" w:rsidRPr="00812C16">
        <w:rPr>
          <w:rFonts w:cs="Arial"/>
        </w:rPr>
        <w:t xml:space="preserve">(Inzidenz: 9,7/100.000) </w:t>
      </w:r>
      <w:r w:rsidR="002F01F1" w:rsidRPr="00812C16">
        <w:rPr>
          <w:rFonts w:cs="Arial"/>
        </w:rPr>
        <w:t>und Frauen mit 1,2% den 17. Platz</w:t>
      </w:r>
      <w:r w:rsidR="00505206" w:rsidRPr="00812C16">
        <w:rPr>
          <w:rFonts w:cs="Arial"/>
        </w:rPr>
        <w:t xml:space="preserve"> (3,4/100.000)</w:t>
      </w:r>
      <w:r w:rsidR="002F01F1" w:rsidRPr="00812C16">
        <w:rPr>
          <w:rFonts w:cs="Arial"/>
        </w:rPr>
        <w:t xml:space="preserve"> ein</w:t>
      </w:r>
      <w:r w:rsidR="007559C4" w:rsidRPr="00812C16">
        <w:rPr>
          <w:rFonts w:cs="Arial"/>
        </w:rPr>
        <w:t xml:space="preserve"> </w:t>
      </w:r>
      <w:r w:rsidR="000112D9">
        <w:rPr>
          <w:rFonts w:cs="Arial"/>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RKI, 2021</w:t>
      </w:r>
      <w:r w:rsidR="000112D9">
        <w:rPr>
          <w:rFonts w:cs="Arial"/>
          <w:noProof/>
        </w:rPr>
        <w:t>)</w:t>
      </w:r>
      <w:r w:rsidR="000112D9">
        <w:rPr>
          <w:rFonts w:cs="Arial"/>
        </w:rPr>
        <w:fldChar w:fldCharType="end"/>
      </w:r>
      <w:r w:rsidR="002872FD" w:rsidRPr="00812C16">
        <w:rPr>
          <w:rFonts w:cs="Arial"/>
        </w:rPr>
        <w:t>.</w:t>
      </w:r>
      <w:r w:rsidR="00C42C10" w:rsidRPr="00812C16">
        <w:rPr>
          <w:rFonts w:cs="Arial"/>
        </w:rPr>
        <w:t xml:space="preserve"> </w:t>
      </w:r>
      <w:r w:rsidR="00081198" w:rsidRPr="00812C16">
        <w:rPr>
          <w:rFonts w:cs="Arial"/>
        </w:rPr>
        <w:t xml:space="preserve">An klassischen Karzinomen des Kopf-Hals-Bereiches erkranken überwiegend Personen mit einem niedrigen Bildungsstand aus sozial benachteiligten Schichten </w:t>
      </w:r>
      <w:r w:rsidR="000112D9">
        <w:rPr>
          <w:rFonts w:cs="Arial"/>
        </w:rPr>
        <w:fldChar w:fldCharType="begin">
          <w:fldData xml:space="preserve">PEVuZE5vdGU+PENpdGU+PEF1dGhvcj5DdXJhZG88L0F1dGhvcj48WWVhcj4yMDEzPC9ZZWFyPjxS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Curado &amp; Boyle, 2013</w:t>
      </w:r>
      <w:r w:rsidR="000112D9">
        <w:rPr>
          <w:rFonts w:cs="Arial"/>
          <w:noProof/>
        </w:rPr>
        <w:t>)</w:t>
      </w:r>
      <w:r w:rsidR="000112D9">
        <w:rPr>
          <w:rFonts w:cs="Arial"/>
        </w:rPr>
        <w:fldChar w:fldCharType="end"/>
      </w:r>
      <w:r w:rsidR="00081198" w:rsidRPr="00812C16">
        <w:rPr>
          <w:rFonts w:cs="Arial"/>
        </w:rPr>
        <w:t xml:space="preserve">. </w:t>
      </w:r>
    </w:p>
    <w:p w14:paraId="42C80B43" w14:textId="1452B56E" w:rsidR="00EB5548" w:rsidRDefault="00EB5548" w:rsidP="004B6541">
      <w:pPr>
        <w:rPr>
          <w:rFonts w:asciiTheme="minorHAnsi" w:hAnsiTheme="minorHAnsi" w:cstheme="minorHAnsi"/>
        </w:rPr>
      </w:pPr>
      <w:bookmarkStart w:id="9" w:name="_Toc158006512"/>
      <w:r>
        <w:rPr>
          <w:rFonts w:asciiTheme="minorHAnsi" w:hAnsiTheme="minorHAnsi" w:cstheme="minorHAnsi"/>
        </w:rPr>
        <w:t>Zusammenfassung</w:t>
      </w:r>
      <w:r>
        <w:rPr>
          <w:rFonts w:asciiTheme="minorHAnsi" w:hAnsiTheme="minorHAnsi" w:cstheme="minorHAnsi"/>
        </w:rPr>
        <w:cr/>
      </w:r>
      <w:r>
        <w:rPr>
          <w:rFonts w:asciiTheme="minorHAnsi" w:hAnsiTheme="minorHAnsi" w:cstheme="minorHAnsi"/>
        </w:rPr>
        <w:cr/>
        <w:t>Plattenepithelkarzinom im Kopf-Hals-Bereich</w:t>
      </w:r>
      <w:r>
        <w:rPr>
          <w:rFonts w:asciiTheme="minorHAnsi" w:hAnsiTheme="minorHAnsi" w:cstheme="minorHAnsi"/>
        </w:rPr>
        <w:cr/>
      </w:r>
      <w:r>
        <w:rPr>
          <w:rFonts w:asciiTheme="minorHAnsi" w:hAnsiTheme="minorHAnsi" w:cstheme="minorHAnsi"/>
        </w:rPr>
        <w:cr/>
        <w:t>Im oberen Spalt zwischen Mund und Luftröhre können verschiedenartige Karzinome (HNSCC) entstehen, die man nach den genauen Orten unterscheidet. Die meisten Betroffenen sind Männer mit geringer Bildung aus armen Verhältnissen. Diese Krebsart gehört zu den häufigsten weltweit, ist in Deutschland aber rückläufig.</w:t>
      </w:r>
      <w:r>
        <w:rPr>
          <w:rFonts w:asciiTheme="minorHAnsi" w:hAnsiTheme="minorHAnsi" w:cstheme="minorHAnsi"/>
        </w:rPr>
        <w:cr/>
      </w:r>
      <w:r>
        <w:rPr>
          <w:rFonts w:asciiTheme="minorHAnsi" w:hAnsiTheme="minorHAnsi" w:cstheme="minorHAnsi"/>
        </w:rPr>
        <w:cr/>
        <w:t>Statistik</w:t>
      </w:r>
      <w:r>
        <w:rPr>
          <w:rFonts w:asciiTheme="minorHAnsi" w:hAnsiTheme="minorHAnsi" w:cstheme="minorHAnsi"/>
        </w:rPr>
        <w:cr/>
      </w:r>
      <w:r>
        <w:rPr>
          <w:rFonts w:asciiTheme="minorHAnsi" w:hAnsiTheme="minorHAnsi" w:cstheme="minorHAnsi"/>
        </w:rPr>
        <w:cr/>
        <w:t xml:space="preserve">Weltweit gab es 2020 laut WHO etwa 694.000 Neuerkrankungen und 325.000 Tote durch HNSCC. Davon waren jeweils rund drei Viertel Männer </w:t>
      </w:r>
      <w:r w:rsidR="000112D9">
        <w:rPr>
          <w:rFonts w:asciiTheme="minorHAnsi" w:hAnsiTheme="minorHAnsi" w:cstheme="minorHAnsi"/>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2A19C6">
        <w:t>Ferlay et al.,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 xml:space="preserve">. In Deutschland erkrankten 2018 laut Robert-Koch-Institut 14.310 Menschen an HNSCC (69% Männer). Das </w:t>
      </w:r>
      <w:r>
        <w:rPr>
          <w:rFonts w:asciiTheme="minorHAnsi" w:hAnsiTheme="minorHAnsi" w:cstheme="minorHAnsi"/>
        </w:rPr>
        <w:lastRenderedPageBreak/>
        <w:t>mittlere Erkrankungsalter war für Männer 64 Jahre und für Frauen zwei bis drei Jahre höher. Männer kamen mit HNSCC auf den 9. Platz (3,7%) und Frauen auf den 15. Platz (1,6%) aller Krebsneuerkrankungen. Die altersbereinigten Neuerkrankungs- und Sterberaten zeigen einen leichten Rückgang bei Männern und eine Stagnation bei Frauen.</w:t>
      </w:r>
      <w:r>
        <w:rPr>
          <w:rFonts w:asciiTheme="minorHAnsi" w:hAnsiTheme="minorHAnsi" w:cstheme="minorHAnsi"/>
        </w:rPr>
        <w:cr/>
      </w:r>
      <w:r>
        <w:rPr>
          <w:rFonts w:asciiTheme="minorHAnsi" w:hAnsiTheme="minorHAnsi" w:cstheme="minorHAnsi"/>
        </w:rPr>
        <w:cr/>
        <w:t xml:space="preserve">Abbildung                  2 </w:t>
      </w:r>
      <w:r>
        <w:rPr>
          <w:rFonts w:ascii="Cambria Math" w:hAnsi="Cambria Math" w:cs="Cambria Math"/>
        </w:rPr>
        <w:t>‑</w:t>
      </w:r>
      <w:r>
        <w:rPr>
          <w:rFonts w:asciiTheme="minorHAnsi" w:hAnsiTheme="minorHAnsi" w:cstheme="minorHAnsi"/>
        </w:rPr>
        <w:t xml:space="preserve">                                1 : Altersstandardisierte Neuerkrankungs- und Sterberaten (Europastandard) nach Geschlecht, ICD-10 C00 – C14, Deutschland 1999 – 2018/2019, Prognose (Inzidenz) bis 2022 (Quelle: Zentrum f. Krebsregisterdaten 2021)</w:t>
      </w:r>
      <w:r>
        <w:rPr>
          <w:rFonts w:asciiTheme="minorHAnsi" w:hAnsiTheme="minorHAnsi" w:cstheme="minorHAnsi"/>
        </w:rPr>
        <w:cr/>
      </w:r>
      <w:r>
        <w:rPr>
          <w:rFonts w:asciiTheme="minorHAnsi" w:hAnsiTheme="minorHAnsi" w:cstheme="minorHAnsi"/>
        </w:rPr>
        <w:cr/>
        <w:t xml:space="preserve">2018 starben in Deutschland 5.412 Patienten an HNSCC (73% Männer). Männer lagen mit HNSCC auf dem 9. Platz (3,4%) und Frauen auf dem 17. Platz (1,2%) aller Krebstodesfälle </w:t>
      </w:r>
      <w:r w:rsidR="000112D9">
        <w:rPr>
          <w:rFonts w:asciiTheme="minorHAnsi" w:hAnsiTheme="minorHAnsi" w:cstheme="minorHAnsi"/>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2A19C6">
        <w:t>RKI,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w:t>
      </w:r>
    </w:p>
    <w:p w14:paraId="2299CBE0" w14:textId="34F554EE" w:rsidR="00081198" w:rsidRPr="00A03861" w:rsidRDefault="005C1C9C" w:rsidP="00A03861">
      <w:pPr>
        <w:pStyle w:val="berschrift3"/>
      </w:pPr>
      <w:r w:rsidRPr="00812C16">
        <w:t xml:space="preserve">Ätiologie und </w:t>
      </w:r>
      <w:r w:rsidR="002F01F1" w:rsidRPr="00812C16">
        <w:t>Risikofaktore</w:t>
      </w:r>
      <w:bookmarkEnd w:id="9"/>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259D04A2" w:rsidR="00DB3659" w:rsidRPr="00812C16" w:rsidRDefault="00EF2CCD" w:rsidP="00EF2CCD">
      <w:pPr>
        <w:rPr>
          <w:rFonts w:cs="Arial"/>
        </w:rPr>
      </w:pPr>
      <w:r w:rsidRPr="00812C16">
        <w:rPr>
          <w:rFonts w:cs="Arial"/>
        </w:rPr>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lastRenderedPageBreak/>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Syrjanen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Waldeyer’schen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Andl et al., 1998</w:t>
      </w:r>
      <w:r w:rsidR="000112D9">
        <w:rPr>
          <w:rFonts w:cs="Arial"/>
          <w:noProof/>
        </w:rPr>
        <w:t xml:space="preserve">; </w:t>
      </w:r>
      <w:r w:rsidR="009D0F7A" w:rsidRPr="002A19C6">
        <w:t>Paz et al., 1997</w:t>
      </w:r>
      <w:r w:rsidR="000112D9">
        <w:rPr>
          <w:rFonts w:cs="Arial"/>
          <w:noProof/>
        </w:rPr>
        <w:t xml:space="preserve">; </w:t>
      </w:r>
      <w:r w:rsidR="009D0F7A" w:rsidRPr="002A19C6">
        <w:t>Snijders et al., 1992</w:t>
      </w:r>
      <w:r w:rsidR="000112D9">
        <w:rPr>
          <w:rFonts w:cs="Arial"/>
          <w:noProof/>
        </w:rPr>
        <w:t>)</w:t>
      </w:r>
      <w:r w:rsidR="000112D9">
        <w:rPr>
          <w:rFonts w:cs="Arial"/>
        </w:rPr>
        <w:fldChar w:fldCharType="end"/>
      </w:r>
      <w:r w:rsidRPr="00812C16">
        <w:rPr>
          <w:rFonts w:cs="Arial"/>
        </w:rPr>
        <w:t>. Zudem fanden Andl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Andl et al., 1998</w:t>
      </w:r>
      <w:r w:rsidR="000112D9">
        <w:rPr>
          <w:rFonts w:cs="Arial"/>
          <w:noProof/>
        </w:rPr>
        <w:t>)</w:t>
      </w:r>
      <w:r w:rsidR="000112D9">
        <w:rPr>
          <w:rFonts w:cs="Arial"/>
        </w:rPr>
        <w:fldChar w:fldCharType="end"/>
      </w:r>
      <w:r w:rsidRPr="00812C16">
        <w:rPr>
          <w:rFonts w:cs="Arial"/>
        </w:rPr>
        <w:t>zum ersten Mal ein besseres Gesamt- und progressionsfreies Überleben für die Patienten mit HPV-positiven Tonsillenkarzinomen,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(oropharyngeal squamous cell carcinomas,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Ang et al., 2010</w:t>
      </w:r>
      <w:r w:rsidR="000112D9">
        <w:rPr>
          <w:rFonts w:cs="Arial"/>
          <w:noProof/>
        </w:rPr>
        <w:t xml:space="preserve">; </w:t>
      </w:r>
      <w:r w:rsidR="009D0F7A" w:rsidRPr="002A19C6">
        <w:t>Chung &amp; Gillison, 2009</w:t>
      </w:r>
      <w:r w:rsidR="000112D9">
        <w:rPr>
          <w:rFonts w:cs="Arial"/>
          <w:noProof/>
        </w:rPr>
        <w:t xml:space="preserve">; </w:t>
      </w:r>
      <w:r w:rsidR="009D0F7A" w:rsidRPr="002A19C6">
        <w:t>Gillison et al., 2000</w:t>
      </w:r>
      <w:r w:rsidR="000112D9">
        <w:rPr>
          <w:rFonts w:cs="Arial"/>
          <w:noProof/>
        </w:rPr>
        <w:t xml:space="preserve">; </w:t>
      </w:r>
      <w:r w:rsidR="009D0F7A" w:rsidRPr="002A19C6">
        <w:t>Klussmann et al., 2003</w:t>
      </w:r>
      <w:r w:rsidR="000112D9">
        <w:rPr>
          <w:rFonts w:cs="Arial"/>
          <w:noProof/>
        </w:rPr>
        <w:t xml:space="preserve">; </w:t>
      </w:r>
      <w:r w:rsidR="009D0F7A" w:rsidRPr="002A19C6">
        <w:t>Klussmann et al., 2001</w:t>
      </w:r>
      <w:r w:rsidR="000112D9">
        <w:rPr>
          <w:rFonts w:cs="Arial"/>
          <w:noProof/>
        </w:rPr>
        <w:t xml:space="preserve">; </w:t>
      </w:r>
      <w:r w:rsidR="009D0F7A" w:rsidRPr="002A19C6">
        <w:t>Lindel et al., 2001</w:t>
      </w:r>
      <w:r w:rsidR="000112D9">
        <w:rPr>
          <w:rFonts w:cs="Arial"/>
          <w:noProof/>
        </w:rPr>
        <w:t xml:space="preserve">; </w:t>
      </w:r>
      <w:r w:rsidR="009D0F7A" w:rsidRPr="002A19C6">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Gillison et al., 2000</w:t>
      </w:r>
      <w:r w:rsidR="000112D9">
        <w:rPr>
          <w:rFonts w:cs="Arial"/>
          <w:noProof/>
        </w:rPr>
        <w:t xml:space="preserve">; </w:t>
      </w:r>
      <w:r w:rsidR="009D0F7A" w:rsidRPr="002A19C6">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Klussmann et al., 2003</w:t>
      </w:r>
      <w:r w:rsidR="000112D9">
        <w:rPr>
          <w:rFonts w:cs="Arial"/>
          <w:noProof/>
        </w:rPr>
        <w:t xml:space="preserve">; </w:t>
      </w:r>
      <w:r w:rsidR="009D0F7A" w:rsidRPr="002A19C6">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Hafkamp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Lindquist et al., 2007</w:t>
      </w:r>
      <w:r w:rsidR="000112D9">
        <w:rPr>
          <w:rFonts w:cs="Arial"/>
          <w:noProof/>
        </w:rPr>
        <w:t xml:space="preserve">; </w:t>
      </w:r>
      <w:r w:rsidR="009D0F7A" w:rsidRPr="002A19C6">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Andl et al., 1998</w:t>
      </w:r>
      <w:r w:rsidR="000112D9">
        <w:rPr>
          <w:rFonts w:cs="Arial"/>
          <w:noProof/>
        </w:rPr>
        <w:t xml:space="preserve">; </w:t>
      </w:r>
      <w:r w:rsidR="009D0F7A" w:rsidRPr="002A19C6">
        <w:t>Gillison et al., 2008</w:t>
      </w:r>
      <w:r w:rsidR="000112D9">
        <w:rPr>
          <w:rFonts w:cs="Arial"/>
          <w:noProof/>
        </w:rPr>
        <w:t xml:space="preserve">; </w:t>
      </w:r>
      <w:r w:rsidR="009D0F7A" w:rsidRPr="002A19C6">
        <w:t>Hafkamp et al., 2008</w:t>
      </w:r>
      <w:r w:rsidR="000112D9">
        <w:rPr>
          <w:rFonts w:cs="Arial"/>
          <w:noProof/>
        </w:rPr>
        <w:t xml:space="preserve">; </w:t>
      </w:r>
      <w:r w:rsidR="009D0F7A" w:rsidRPr="002A19C6">
        <w:t>Sturgis &amp; Cinciripini,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D'Souza et al., 2009</w:t>
      </w:r>
      <w:r w:rsidR="000112D9">
        <w:rPr>
          <w:rFonts w:cs="Arial"/>
          <w:noProof/>
        </w:rPr>
        <w:t xml:space="preserve">; </w:t>
      </w:r>
      <w:r w:rsidR="009D0F7A" w:rsidRPr="002A19C6">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Ang et al., 2010</w:t>
      </w:r>
      <w:r w:rsidR="000112D9">
        <w:rPr>
          <w:rFonts w:cs="Arial"/>
          <w:noProof/>
        </w:rPr>
        <w:t xml:space="preserve">; </w:t>
      </w:r>
      <w:r w:rsidR="009D0F7A" w:rsidRPr="002A19C6">
        <w:t>Fakhry et al., 2008</w:t>
      </w:r>
      <w:r w:rsidR="000112D9">
        <w:rPr>
          <w:rFonts w:cs="Arial"/>
          <w:noProof/>
        </w:rPr>
        <w:t xml:space="preserve">; </w:t>
      </w:r>
      <w:r w:rsidR="009D0F7A" w:rsidRPr="002A19C6">
        <w:t>Gillison et al., 2000</w:t>
      </w:r>
      <w:r w:rsidR="000112D9">
        <w:rPr>
          <w:rFonts w:cs="Arial"/>
          <w:noProof/>
        </w:rPr>
        <w:t xml:space="preserve">; </w:t>
      </w:r>
      <w:r w:rsidR="009D0F7A" w:rsidRPr="002A19C6">
        <w:t>Lindel et al., 2001</w:t>
      </w:r>
      <w:r w:rsidR="000112D9">
        <w:rPr>
          <w:rFonts w:cs="Arial"/>
          <w:noProof/>
        </w:rPr>
        <w:t xml:space="preserve">; </w:t>
      </w:r>
      <w:r w:rsidR="009D0F7A" w:rsidRPr="002A19C6">
        <w:t>Shi et al., 2009</w:t>
      </w:r>
      <w:r w:rsidR="000112D9">
        <w:rPr>
          <w:rFonts w:cs="Arial"/>
          <w:noProof/>
        </w:rPr>
        <w:t xml:space="preserve">; </w:t>
      </w:r>
      <w:r w:rsidR="009D0F7A" w:rsidRPr="002A19C6">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10" w:name="_Ref92196794"/>
      <w:bookmarkStart w:id="11"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10"/>
      <w:r w:rsidRPr="00812C16">
        <w:rPr>
          <w:b/>
          <w:bCs/>
          <w:i w:val="0"/>
          <w:iCs w:val="0"/>
          <w:color w:val="000000" w:themeColor="text1"/>
          <w:sz w:val="20"/>
          <w:szCs w:val="20"/>
        </w:rPr>
        <w:t>: Unterschiede zwischen HPV-negativen und HPV-positiven Kopf-Hals Tumoren.</w:t>
      </w:r>
      <w:bookmarkEnd w:id="11"/>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undifferenziert, basaloid</w:t>
            </w:r>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Ansprechen auf Rx/CT*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Heterogenitäten festgestellt (61, 84), die auf Unterschiede in der Viruslast und/oder der viralen Onkogenexpression zurückzu- führen waren (42, 43, 60, 70, 74, 80, 85-87). </w:t>
      </w:r>
      <w:r w:rsidR="00487684" w:rsidRPr="00812C16">
        <w:rPr>
          <w:rFonts w:cs="Arial"/>
        </w:rPr>
        <w:t>Am häufigsten findet sich hierbei mit knapp 95% der Fälle der Subtyp HPV 16, am zweithäufigsten der Subtyp HPV 18 [11-13].</w:t>
      </w:r>
    </w:p>
    <w:p w14:paraId="028D7DBB" w14:textId="77777777"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12" w:name="_Toc158006513"/>
      <w:r w:rsidRPr="00812C16">
        <w:lastRenderedPageBreak/>
        <w:t>Pathog</w:t>
      </w:r>
      <w:r w:rsidR="006A6BE3" w:rsidRPr="00812C16">
        <w:t>e</w:t>
      </w:r>
      <w:r w:rsidRPr="00812C16">
        <w:t>nese</w:t>
      </w:r>
      <w:bookmarkEnd w:id="12"/>
      <w:r w:rsidRPr="00812C16">
        <w:t xml:space="preserve"> </w:t>
      </w:r>
    </w:p>
    <w:p w14:paraId="313C0B85" w14:textId="57B98DB5"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anfärbbar, was man als Hyperchromatismus bezeichnet. Es kommt zu einer Entdifferenzierung, also einem Verlust der ursprünglichen Zellstruktur und der Funktionen des normalen Gewebes. Es zeigt sich ein Polymorphismus, eine Vielgestaltigkeit der Zellen oder eine Zellheterotopie,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Cawson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AAC68C3"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13" w:name="_Ref92712359"/>
      <w:bookmarkStart w:id="14"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13"/>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2A19C6">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4"/>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5" w:name="_Toc158006514"/>
      <w:r w:rsidRPr="00812C16">
        <w:lastRenderedPageBreak/>
        <w:t>Anatomi</w:t>
      </w:r>
      <w:r w:rsidR="00E1163E" w:rsidRPr="00812C16">
        <w:t xml:space="preserve">e, Histopathologie und </w:t>
      </w:r>
      <w:r w:rsidR="00661B93" w:rsidRPr="00812C16">
        <w:t>Tumorklassifikation</w:t>
      </w:r>
      <w:bookmarkEnd w:id="15"/>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Naso-, Oro-, Hypopharynx und Larynx. </w:t>
      </w:r>
    </w:p>
    <w:p w14:paraId="1E1C1788" w14:textId="77777777" w:rsidR="0011420F" w:rsidRPr="00812C16" w:rsidRDefault="00B71E93" w:rsidP="0011420F">
      <w:pPr>
        <w:keepNext/>
        <w:spacing w:before="360" w:after="0"/>
      </w:pPr>
      <w:r w:rsidRPr="00812C16">
        <w:rPr>
          <w:rFonts w:cs="Arial"/>
          <w:noProof/>
        </w:rPr>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71F30966" w:rsidR="0011420F" w:rsidRPr="00812C16" w:rsidRDefault="0011420F" w:rsidP="0011420F">
      <w:pPr>
        <w:pStyle w:val="Beschriftung"/>
        <w:spacing w:after="360" w:line="240" w:lineRule="auto"/>
        <w:rPr>
          <w:rFonts w:cs="Arial"/>
          <w:i w:val="0"/>
          <w:iCs w:val="0"/>
          <w:color w:val="000000" w:themeColor="text1"/>
          <w:sz w:val="20"/>
          <w:szCs w:val="20"/>
        </w:rPr>
      </w:pPr>
      <w:bookmarkStart w:id="16"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Sagitalschnitt. </w:t>
      </w:r>
      <w:r w:rsidRPr="00812C16">
        <w:rPr>
          <w:i w:val="0"/>
          <w:iCs w:val="0"/>
          <w:color w:val="000000" w:themeColor="text1"/>
          <w:sz w:val="20"/>
          <w:szCs w:val="20"/>
        </w:rPr>
        <w:t xml:space="preserve">Oral cavity, Mundhöhle; Tongue,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2A19C6">
        <w:rPr>
          <w:i w:val="0"/>
          <w:iCs w:val="0"/>
          <w:sz w:val="24"/>
          <w:szCs w:val="24"/>
        </w:rPr>
        <w:t>Sabatini &amp; Chiocca,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16"/>
    </w:p>
    <w:p w14:paraId="689BA9A0" w14:textId="66705B89"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w:t>
      </w:r>
      <w:r w:rsidR="009B3FFE" w:rsidRPr="00812C16">
        <w:rPr>
          <w:rFonts w:cs="Arial"/>
        </w:rPr>
        <w:lastRenderedPageBreak/>
        <w:t>angrenzt. Ihm werden die Tonsillen, der weiche Gaumen inklusive des Gaumenzäpfchens (Uvula), sowie der Zungengrund zugeordnet.</w:t>
      </w:r>
      <w:r w:rsidR="005358E2" w:rsidRPr="00812C16">
        <w:t xml:space="preserve"> </w:t>
      </w:r>
      <w:r w:rsidR="00A84339" w:rsidRPr="00812C16">
        <w:rPr>
          <w:rFonts w:cs="Arial"/>
        </w:rPr>
        <w:t>Die häufigsten Tumorlokalisationen sind die Tonsillarfurche,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Lenarz &amp; Boenninghaus,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Postkrikoidregion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Chin et al., 2006</w:t>
      </w:r>
      <w:r w:rsidR="000112D9">
        <w:rPr>
          <w:rFonts w:cs="Arial"/>
          <w:noProof/>
        </w:rPr>
        <w:t xml:space="preserve">; </w:t>
      </w:r>
      <w:r w:rsidR="009D0F7A" w:rsidRPr="002A19C6">
        <w:t>Lenarz &amp; Boenninghaus, 2012</w:t>
      </w:r>
      <w:r w:rsidR="000112D9">
        <w:rPr>
          <w:rFonts w:cs="Arial"/>
          <w:noProof/>
        </w:rPr>
        <w:t xml:space="preserve">; </w:t>
      </w:r>
      <w:r w:rsidR="009D0F7A" w:rsidRPr="002A19C6">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r w:rsidR="00BF0C6E" w:rsidRPr="00812C16">
        <w:rPr>
          <w:rFonts w:cs="Arial"/>
        </w:rPr>
        <w:t>Hypopharynxkarzinomen</w:t>
      </w:r>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Er wird in den supraglottischen, den glottischen und den subglottischen Bereich eingeteilt. Den glottischen Anteil des Larynx bildet die Stimmlippe mit der vorderen und der hinteren Kommissur. Hier finden sich mit etwa 60% die meisten Larynxkarzinome, gefolgt von supraglottischen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subglottische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Lenarz &amp; Boenninghaus, 2012</w:t>
      </w:r>
      <w:r w:rsidR="000112D9">
        <w:rPr>
          <w:rFonts w:cs="Arial"/>
          <w:noProof/>
        </w:rPr>
        <w:t xml:space="preserve">; </w:t>
      </w:r>
      <w:r w:rsidR="009D0F7A" w:rsidRPr="002A19C6">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44F3026B"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die insbesondere von den Schleimhäuten der Mundhöhle, des Naso-,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Cardesa et al., 2008</w:t>
      </w:r>
      <w:r w:rsidR="000112D9">
        <w:rPr>
          <w:rFonts w:cs="Arial"/>
          <w:noProof/>
        </w:rPr>
        <w:t xml:space="preserve">; </w:t>
      </w:r>
      <w:r w:rsidR="009D0F7A" w:rsidRPr="002A19C6">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Als Vorstufen gelten Leukoplakien und Erythroplakien, wobei letztere zu 90% bereits ein Carcinoma in situ oder ein invasives Karzinom darstellen</w:t>
      </w:r>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Lenarz &amp; Boenninghaus,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ialer Tumor mit platten</w:t>
      </w:r>
      <w:r w:rsidR="003C6EAF" w:rsidRPr="00812C16">
        <w:rPr>
          <w:rFonts w:cs="Arial"/>
        </w:rPr>
        <w:t xml:space="preserve">epithelialer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Lingen, 2000</w:t>
      </w:r>
      <w:r w:rsidR="000112D9">
        <w:rPr>
          <w:rFonts w:cs="Arial"/>
          <w:noProof/>
        </w:rPr>
        <w:t xml:space="preserve">; </w:t>
      </w:r>
      <w:r w:rsidR="009D0F7A" w:rsidRPr="002A19C6">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r w:rsidRPr="00812C16">
        <w:rPr>
          <w:rFonts w:cs="Arial"/>
        </w:rPr>
        <w:lastRenderedPageBreak/>
        <w:t xml:space="preserve">Lymphoepitheliome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Lenarz &amp; Boenninghaus,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Vokes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r w:rsidR="00F87204" w:rsidRPr="00812C16">
        <w:rPr>
          <w:rFonts w:cs="Arial"/>
          <w:lang w:val="en-US"/>
        </w:rPr>
        <w:t xml:space="preserve">Diese Diagnose wird als CUP-Syndrom (carcinoma of unknown primary, CUP) bezeichnet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2A19C6">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r w:rsidRPr="00812C16">
        <w:rPr>
          <w:rFonts w:cs="Arial"/>
          <w:i/>
          <w:iCs/>
        </w:rPr>
        <w:t>H</w:t>
      </w:r>
      <w:r w:rsidR="008D1F0B" w:rsidRPr="00812C16">
        <w:rPr>
          <w:rFonts w:cs="Arial"/>
          <w:i/>
          <w:iCs/>
        </w:rPr>
        <w:t>istomorphologische Malignitätsgraduierung</w:t>
      </w:r>
      <w:r w:rsidR="00E5725D" w:rsidRPr="00812C16">
        <w:rPr>
          <w:rFonts w:cs="Arial"/>
          <w:i/>
          <w:iCs/>
        </w:rPr>
        <w:t xml:space="preserve"> </w:t>
      </w:r>
      <w:r w:rsidR="00637976" w:rsidRPr="00812C16">
        <w:rPr>
          <w:rFonts w:cs="Arial"/>
          <w:i/>
          <w:iCs/>
        </w:rPr>
        <w:t>von Kopf-Hals-Tumoren</w:t>
      </w:r>
    </w:p>
    <w:p w14:paraId="1330A731" w14:textId="43E75792"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und gibt an wie sehr sich die entarteten Zellen von dem Zellen des Ausgangsgewebes unterscheiden</w:t>
      </w:r>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El-Naggar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Zellpleomorphie,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Cawson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El-Naggar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17" w:name="_Ref92646788"/>
      <w:bookmarkStart w:id="18"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17"/>
      <w:r w:rsidRPr="00812C16">
        <w:rPr>
          <w:b/>
          <w:bCs/>
          <w:i w:val="0"/>
          <w:iCs w:val="0"/>
          <w:color w:val="000000" w:themeColor="text1"/>
          <w:sz w:val="20"/>
          <w:szCs w:val="20"/>
        </w:rPr>
        <w:t>: Histopathologisches Grading der Tumore im Kopf-Hals-Bereich</w:t>
      </w:r>
      <w:bookmarkEnd w:id="1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Niedrigdifferenziertes Karzinom mit kaum noch plattenepithelialer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25D8ACCC"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19"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a Gut differenziertes Plattenepithelkarzinom. b Mäßig differenziertes Platten-epithelkarzinom.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2A19C6">
        <w:rPr>
          <w:i w:val="0"/>
          <w:iCs w:val="0"/>
          <w:sz w:val="24"/>
          <w:szCs w:val="24"/>
        </w:rPr>
        <w:t>Cardesa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19"/>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000D6C5A"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subepitheliale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Duvvuri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sind</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r w:rsidR="00F43C49" w:rsidRPr="00812C16">
        <w:rPr>
          <w:rFonts w:cs="Arial"/>
        </w:rPr>
        <w:t>Des weiteren</w:t>
      </w:r>
      <w:r w:rsidR="005E17BA" w:rsidRPr="00812C16">
        <w:rPr>
          <w:rFonts w:cs="Arial"/>
        </w:rPr>
        <w:t xml:space="preserve"> sind die Kernpleomorphie, die Häufigkeit von atypischen Mitosen oder die Kernhyperchromasie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Mashberg &amp; Samit, 1995</w:t>
      </w:r>
      <w:r w:rsidR="000112D9">
        <w:rPr>
          <w:rFonts w:cs="Arial"/>
          <w:noProof/>
        </w:rPr>
        <w:t>)</w:t>
      </w:r>
      <w:r w:rsidR="000112D9">
        <w:rPr>
          <w:rFonts w:cs="Arial"/>
        </w:rPr>
        <w:fldChar w:fldCharType="end"/>
      </w:r>
      <w:r w:rsidR="005E17BA" w:rsidRPr="00812C16">
        <w:rPr>
          <w:rFonts w:cs="Arial"/>
        </w:rPr>
        <w:t xml:space="preserve"> In der Tumorumgebung findet sich häufig ein gemischtzelliges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Mashberg &amp; Samit,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präsentiert sich makroskopisch als exophytische, ulzerative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ulzerative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Duvvuri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Duvvuri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Basaloides Karzinom und das Lymphoepitheliales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Subtypen untersch</w:t>
      </w:r>
      <w:r w:rsidR="00C03F7E" w:rsidRPr="00812C16">
        <w:rPr>
          <w:rFonts w:cs="Arial"/>
        </w:rPr>
        <w:t xml:space="preserve">ieden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20" w:name="_Ref92690642"/>
      <w:bookmarkStart w:id="21"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20"/>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776C385E"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2A19C6">
              <w:t>Barnes et al., 2005</w:t>
            </w:r>
            <w:r>
              <w:rPr>
                <w:rFonts w:cs="Arial"/>
                <w:i/>
                <w:iCs/>
                <w:noProof/>
                <w:sz w:val="18"/>
                <w:szCs w:val="18"/>
              </w:rPr>
              <w:t xml:space="preserve">; </w:t>
            </w:r>
            <w:r w:rsidR="009D0F7A" w:rsidRPr="002A19C6">
              <w:t>Cardesa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(leukoplaktischer)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ran im Sinne einer plumpen Stroma</w:t>
            </w:r>
            <w:r w:rsidR="00210A8C" w:rsidRPr="00812C16">
              <w:rPr>
                <w:rFonts w:cs="Arial"/>
                <w:sz w:val="18"/>
                <w:szCs w:val="18"/>
              </w:rPr>
              <w:t>infiltration</w:t>
            </w:r>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Zellatypien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Atypien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74F296D"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2A19C6">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spindelzelligen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38794E74" w:rsidR="00A126D9" w:rsidRPr="00812C16" w:rsidRDefault="006C2EE5" w:rsidP="00C03F7E">
            <w:pPr>
              <w:spacing w:before="60" w:after="60" w:line="360" w:lineRule="auto"/>
              <w:jc w:val="left"/>
              <w:rPr>
                <w:rFonts w:cs="Arial"/>
                <w:sz w:val="18"/>
                <w:szCs w:val="18"/>
              </w:rPr>
            </w:pPr>
            <w:r w:rsidRPr="00812C16">
              <w:rPr>
                <w:rFonts w:cs="Arial"/>
                <w:b/>
                <w:bCs/>
                <w:sz w:val="18"/>
                <w:szCs w:val="18"/>
              </w:rPr>
              <w:t xml:space="preserve">Basaloides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r w:rsidR="009D0F7A" w:rsidRPr="002A19C6">
              <w:t>Klijanienko et al., 1993</w:t>
            </w:r>
            <w:r w:rsidR="000112D9">
              <w:rPr>
                <w:rFonts w:cs="Arial"/>
                <w:noProof/>
                <w:sz w:val="18"/>
                <w:szCs w:val="18"/>
              </w:rPr>
              <w:t xml:space="preserve">; </w:t>
            </w:r>
            <w:r w:rsidR="009D0F7A" w:rsidRPr="002A19C6">
              <w:t>Raslan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basaloiden und verhornenden Elementen. Die p</w:t>
            </w:r>
            <w:r w:rsidR="0008519C" w:rsidRPr="00812C16">
              <w:rPr>
                <w:rFonts w:cs="Arial"/>
                <w:sz w:val="18"/>
                <w:szCs w:val="18"/>
              </w:rPr>
              <w:t>leomorphen, basaloide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In der Literatur wird berichtet, dass HPV-assoziierte PEC vermehrt eine basaloide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r w:rsidRPr="00812C16">
              <w:rPr>
                <w:rFonts w:cs="Arial"/>
                <w:b/>
                <w:bCs/>
                <w:sz w:val="18"/>
                <w:szCs w:val="18"/>
              </w:rPr>
              <w:t>Lymphoepitheliales</w:t>
            </w:r>
            <w:r w:rsidR="006C2EE5" w:rsidRPr="00812C16">
              <w:rPr>
                <w:rFonts w:cs="Arial"/>
                <w:b/>
                <w:bCs/>
                <w:sz w:val="18"/>
                <w:szCs w:val="18"/>
              </w:rPr>
              <w:t xml:space="preserve"> Karzinom</w:t>
            </w:r>
            <w:r w:rsidRPr="00812C16">
              <w:rPr>
                <w:rFonts w:cs="Arial"/>
                <w:b/>
                <w:bCs/>
                <w:sz w:val="18"/>
                <w:szCs w:val="18"/>
              </w:rPr>
              <w:t xml:space="preserve"> </w:t>
            </w:r>
          </w:p>
          <w:p w14:paraId="2C99F8E8" w14:textId="2C1BD4A1"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2A19C6">
              <w:t>Herrmann &amp; Niedobitek, 2003</w:t>
            </w:r>
            <w:r>
              <w:rPr>
                <w:rFonts w:cs="Arial"/>
                <w:noProof/>
                <w:sz w:val="18"/>
                <w:szCs w:val="18"/>
              </w:rPr>
              <w:t xml:space="preserve">; </w:t>
            </w:r>
            <w:r w:rsidR="009D0F7A" w:rsidRPr="002A19C6">
              <w:t>MacMillan et al., 1996</w:t>
            </w:r>
            <w:r>
              <w:rPr>
                <w:rFonts w:cs="Arial"/>
                <w:noProof/>
                <w:sz w:val="18"/>
                <w:szCs w:val="18"/>
              </w:rPr>
              <w:t xml:space="preserve">; </w:t>
            </w:r>
            <w:r w:rsidR="009D0F7A" w:rsidRPr="002A19C6">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im Nasopharynx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lymphoplasmatischen Infiltraten</w:t>
            </w:r>
            <w:r w:rsidR="00F622C2" w:rsidRPr="00812C16">
              <w:rPr>
                <w:rFonts w:cs="Arial"/>
                <w:sz w:val="18"/>
                <w:szCs w:val="18"/>
              </w:rPr>
              <w:t xml:space="preserve"> in Form von </w:t>
            </w:r>
            <w:r w:rsidR="00475A16" w:rsidRPr="00812C16">
              <w:rPr>
                <w:rFonts w:cs="Arial"/>
                <w:sz w:val="18"/>
                <w:szCs w:val="18"/>
              </w:rPr>
              <w:t>kleinen Nestern oder Gruppen (Typ Schmincke) oder großen synzytialen Verbänden (Typ Regaud)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Auf die weiteren, sehr seltenen malignen Tumoren wie Lym- phome,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(Nodus) den Befallstatus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(p)Tx</w:t>
            </w:r>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(p)Tis</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Ausbreitung zur lingualen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Fixation des Hemilarynx</w:t>
            </w:r>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mediale Pterygoidmuskulatur,</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masticatorium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Proc.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carotis interna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aterale Pterygoidmuskulatur,</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Proc. </w:t>
            </w:r>
            <w:r w:rsidR="008E39CD" w:rsidRPr="00812C16">
              <w:rPr>
                <w:rFonts w:cs="Arial"/>
                <w:sz w:val="18"/>
                <w:szCs w:val="18"/>
              </w:rPr>
              <w:t>P</w:t>
            </w:r>
            <w:r w:rsidRPr="00812C16">
              <w:rPr>
                <w:rFonts w:cs="Arial"/>
                <w:sz w:val="18"/>
                <w:szCs w:val="18"/>
              </w:rPr>
              <w:t>terygoidei</w:t>
            </w:r>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umschließt die A. carotis</w:t>
            </w:r>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umschließt die A. carotis</w:t>
            </w:r>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Unterbezirke des Hypopharynx: Postkrikoidregion, Sinus piriformis. Hypopharynxhinterwand</w:t>
      </w:r>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(depth of invasion),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Zumeist besteht bereits bei Erstdiagnose eine Metastasierung in lokoregionäre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Hypopharynxkarzinom am höchsten [25, 26]. Sie wird von Vokes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IIa IIb</w:t>
      </w:r>
    </w:p>
    <w:p w14:paraId="4B385B5F" w14:textId="77777777" w:rsidR="002F01F1" w:rsidRPr="00812C16" w:rsidRDefault="002F01F1" w:rsidP="002F01F1">
      <w:pPr>
        <w:rPr>
          <w:rFonts w:cs="Arial"/>
        </w:rPr>
      </w:pPr>
      <w:r w:rsidRPr="00812C16">
        <w:rPr>
          <w:rFonts w:cs="Arial"/>
        </w:rPr>
        <w:t>Kraniojuguläre Lymphknoten (oberes Drittel der V. jugularis interna)</w:t>
      </w:r>
    </w:p>
    <w:p w14:paraId="4C162EA4" w14:textId="77777777" w:rsidR="002F01F1" w:rsidRPr="00812C16" w:rsidRDefault="002F01F1" w:rsidP="002F01F1">
      <w:pPr>
        <w:rPr>
          <w:rFonts w:cs="Arial"/>
          <w:lang w:val="en-US"/>
        </w:rPr>
      </w:pPr>
      <w:r w:rsidRPr="00812C16">
        <w:rPr>
          <w:rFonts w:cs="Arial"/>
          <w:lang w:val="en-US"/>
        </w:rPr>
        <w:t>- ventral des N. accessorius</w:t>
      </w:r>
    </w:p>
    <w:p w14:paraId="0A082F56" w14:textId="77777777" w:rsidR="002F01F1" w:rsidRPr="00812C16" w:rsidRDefault="002F01F1" w:rsidP="002F01F1">
      <w:pPr>
        <w:rPr>
          <w:rFonts w:cs="Arial"/>
          <w:lang w:val="en-US"/>
        </w:rPr>
      </w:pPr>
      <w:r w:rsidRPr="00812C16">
        <w:rPr>
          <w:rFonts w:cs="Arial"/>
          <w:lang w:val="en-US"/>
        </w:rPr>
        <w:t>- dorsal des N. accessorius</w:t>
      </w:r>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r w:rsidRPr="00812C16">
        <w:rPr>
          <w:rFonts w:cs="Arial"/>
        </w:rPr>
        <w:t>Mediojuguläre Lymphknoten (mittleres Drittel</w:t>
      </w:r>
    </w:p>
    <w:p w14:paraId="259854EF" w14:textId="77777777" w:rsidR="002F01F1" w:rsidRPr="00812C16" w:rsidRDefault="002F01F1" w:rsidP="002F01F1">
      <w:pPr>
        <w:rPr>
          <w:rFonts w:cs="Arial"/>
        </w:rPr>
      </w:pPr>
      <w:r w:rsidRPr="00812C16">
        <w:rPr>
          <w:rFonts w:cs="Arial"/>
        </w:rPr>
        <w:t>der V. jugularis interna)</w:t>
      </w:r>
    </w:p>
    <w:p w14:paraId="5FFF09B9" w14:textId="77777777" w:rsidR="002F01F1" w:rsidRPr="00812C16" w:rsidRDefault="002F01F1" w:rsidP="002F01F1">
      <w:pPr>
        <w:rPr>
          <w:rFonts w:cs="Arial"/>
        </w:rPr>
      </w:pPr>
      <w:r w:rsidRPr="00812C16">
        <w:rPr>
          <w:rFonts w:cs="Arial"/>
        </w:rPr>
        <w:t xml:space="preserve">  IV Kaudojuguläre Lymphknoten (unteres Drittel der V. jugularis interna)</w:t>
      </w:r>
    </w:p>
    <w:p w14:paraId="5624E130" w14:textId="77777777" w:rsidR="002F01F1" w:rsidRPr="00812C16" w:rsidRDefault="002F01F1" w:rsidP="002F01F1">
      <w:pPr>
        <w:rPr>
          <w:rFonts w:cs="Arial"/>
        </w:rPr>
      </w:pPr>
      <w:r w:rsidRPr="00812C16">
        <w:rPr>
          <w:rFonts w:cs="Arial"/>
        </w:rPr>
        <w:t>VI Lymphknoten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Vb</w:t>
      </w:r>
    </w:p>
    <w:p w14:paraId="01F10C93" w14:textId="77777777" w:rsidR="002F01F1" w:rsidRPr="00812C16" w:rsidRDefault="002F01F1" w:rsidP="002F01F1">
      <w:pPr>
        <w:rPr>
          <w:rFonts w:cs="Arial"/>
        </w:rPr>
      </w:pPr>
      <w:r w:rsidRPr="00812C16">
        <w:rPr>
          <w:rFonts w:cs="Arial"/>
        </w:rPr>
        <w:t>Lymphknoten des posterioren Halsdreiecks Kraniales posteriores Halsdreieck Kaudales posteriores Halsdreieck</w:t>
      </w:r>
    </w:p>
    <w:p w14:paraId="177C2784" w14:textId="77777777" w:rsidR="002F01F1" w:rsidRPr="00812C16" w:rsidRDefault="002F01F1" w:rsidP="005547D3">
      <w:pPr>
        <w:pStyle w:val="berschrift3"/>
      </w:pPr>
      <w:bookmarkStart w:id="22" w:name="_Toc158006515"/>
      <w:r w:rsidRPr="00812C16">
        <w:lastRenderedPageBreak/>
        <w:t>Klassifikation und Stadien nach AJCC</w:t>
      </w:r>
      <w:bookmarkEnd w:id="22"/>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(tumor, node, metastasis)-System des AJCC (American Committee on Cancer) und der UICC (International Union for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23" w:name="_Toc158006516"/>
      <w:r w:rsidRPr="00812C16">
        <w:t>Diagnostik</w:t>
      </w:r>
      <w:r w:rsidR="0064437B" w:rsidRPr="00812C16">
        <w:t xml:space="preserve"> &amp; Staging</w:t>
      </w:r>
      <w:bookmarkEnd w:id="23"/>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Die Rolle der Fluorodeoxyglucose (FDG)-PET/CT-Untersuchung wird immer wichtiger, insbesondere zum Ausschluss einer Metastasierung sowie zur Kontrolle des Therapieansprechens nach einer defintiven Radio(-chemo)therapie. Ebenso ist die Überwachung mittels PET-CT kostengünstiger und verursacht weniger Folgeoperationen als eine Ausräumung der Halslymphknoten (Neck-Dissection)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4" w:name="_Toc158006517"/>
      <w:r w:rsidRPr="00812C16">
        <w:t>Therapie</w:t>
      </w:r>
      <w:bookmarkEnd w:id="24"/>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Neck-Dissection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Tumorrepopulation und einer möglichen Mikrometastasierung vorgebeugt. Des Weiteren dienen Chemotherapeutika durch Radiosensitivierung zur Wirkungsverstärkung der Strahlentherapie [39, 40]. Wenn ca. zwölf Wochen nach Abschluss einer primären Radio(-chemo)therapie bildgebend noch pathologische Lymphknoten nachweisbar sind, sollte eine Salvage- bzw. Rettungsoperation evaluiert werden, in der die Lymphknoten ausgeräumt werden (sog. „node picking“).</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In verschiedenen Studien, u.a. in denen von Horiot et al. und Fu et al. wurde bislang aufgezeigt, dass die Hyperfraktionierung und die Akzeleration bezüglich der lokoregionären Kontrollrate und des krankheitsfreien Überlebens eine Verbesserung der Prognose herbeiführen. Es bestand kein signifikanter Unterschied zur konventionellen Fraktionierung im Hinblick auf die Ausprägung der Spättoxizitäten, mit Ausnahme bei der Kombination aus Akzelerierung und konkomitantem Boost, bei der ein Anstieg der Spättoxizität zu verzeichnen war. [42, 43] Allerdings ist bei einer Hyperfraktionierung mit einer stärkeren Ausprägung der Akuttoxizitäten, insbesondere der Mukositis, zu rechnen. [42, 44].</w:t>
      </w:r>
    </w:p>
    <w:p w14:paraId="47FEB1D5" w14:textId="77777777" w:rsidR="002F01F1" w:rsidRPr="00812C16" w:rsidRDefault="002F01F1" w:rsidP="002F01F1">
      <w:pPr>
        <w:rPr>
          <w:rFonts w:cs="Arial"/>
        </w:rPr>
      </w:pPr>
      <w:r w:rsidRPr="00812C16">
        <w:rPr>
          <w:rFonts w:cs="Arial"/>
        </w:rPr>
        <w:t>Seit Einführung der Radiochemotherapie ist jedoch meist die Normo- fraktionierung mit simultaner Chemotherapie Standard. [45]</w:t>
      </w:r>
    </w:p>
    <w:p w14:paraId="10F90C4D" w14:textId="77777777" w:rsidR="002F01F1" w:rsidRPr="00812C16" w:rsidRDefault="002F01F1" w:rsidP="002F01F1">
      <w:pPr>
        <w:rPr>
          <w:rFonts w:cs="Arial"/>
          <w:i/>
          <w:iCs/>
        </w:rPr>
      </w:pPr>
      <w:r w:rsidRPr="00812C16">
        <w:rPr>
          <w:rFonts w:cs="Arial"/>
          <w:i/>
          <w:iCs/>
        </w:rPr>
        <w:t>Adjuvante Radio(-chemo)therapie</w:t>
      </w:r>
    </w:p>
    <w:p w14:paraId="3D59AA3C" w14:textId="77777777" w:rsidR="002F01F1" w:rsidRPr="00812C16" w:rsidRDefault="002F01F1" w:rsidP="002F01F1">
      <w:pPr>
        <w:rPr>
          <w:rFonts w:cs="Arial"/>
        </w:rPr>
      </w:pPr>
      <w:r w:rsidRPr="00812C16">
        <w:rPr>
          <w:rFonts w:cs="Arial"/>
        </w:rPr>
        <w:t>Eine postoperative adjuvante Radiotherapie ist indiziert in lokal fortgeschrittenen Tumorstadien (≥pT3), bei Lymphknotenbefall &gt;pN1, einer Lymphangiosis und Hämangiosis carcinomatosa sowie bei Perineuralscheideninfiltration. [32] Hierbei wird die normofraktionierte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Tumoregion, sollte die Aufsättigung mittels Boost auf eine Gesamtdosis von mindestens 63,0 Gy erfolgen. [47]</w:t>
      </w:r>
    </w:p>
    <w:p w14:paraId="495E4044" w14:textId="77777777" w:rsidR="002F01F1" w:rsidRPr="00812C16" w:rsidRDefault="002F01F1" w:rsidP="002F01F1">
      <w:pPr>
        <w:rPr>
          <w:rFonts w:cs="Arial"/>
        </w:rPr>
      </w:pPr>
      <w:r w:rsidRPr="00812C16">
        <w:rPr>
          <w:rFonts w:cs="Arial"/>
        </w:rPr>
        <w:t>Die von Fietkau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level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aufgesättigt.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Nach der von Fietkau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Chemotherapieschema in unserem Institut für Patienten mitadjuvanter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Es wurde gezeigt, dass die simultane Gabe der Chemotherapie im Vergleich zur Induktions- und Erhaltungschemotherapie einen deutlichen Überlebensvorteil herbeiführt [40, 52, 53]. Bevorzugt verwendete Substanzen sind hierbei Cisplatin/Carboplatin, 5-Fluoruracil, Mitomycin, Paclitaxel und der EGFR- Antagonist Cetuximab [32, 54]. Cisplatin bleibt derzeit jedoch die wichtigste Substanz [40]. Die simultane Radiochemotherapie führt zu einem verbesserten Gesamtüberleben, progressionsfreien Überleben und zu einer höheren lokoregionären Kontrollrate bei Patienten, die postoperativ einen mikro- skopischen Tumornachweis (R1) oder eine extrakapsuläre Tumorausbreitung aufweisen [55-57].</w:t>
      </w:r>
    </w:p>
    <w:p w14:paraId="300F811E" w14:textId="77777777" w:rsidR="002F01F1" w:rsidRPr="00812C16" w:rsidRDefault="002F01F1" w:rsidP="002F01F1">
      <w:pPr>
        <w:rPr>
          <w:rFonts w:cs="Arial"/>
        </w:rPr>
      </w:pPr>
      <w:r w:rsidRPr="00812C16">
        <w:rPr>
          <w:rFonts w:cs="Arial"/>
        </w:rPr>
        <w:t>Die Kombination führt allerdings auch zu höhergradigeren Toxizitäten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Zu den radiogen bedingten Akuttoxizitäten zählen Mukositis, Dermatitis und Dysphagie. Als Spättoxizitäten sind insbesondere Xerostomie und der damit einhergehende Kariesbefall zu nennen. Darüber hinaus treten als mögliche Spättoxizitäten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5" w:name="_Toc158006518"/>
      <w:r w:rsidRPr="00812C16">
        <w:lastRenderedPageBreak/>
        <w:t>Prognose</w:t>
      </w:r>
      <w:bookmarkEnd w:id="25"/>
    </w:p>
    <w:p w14:paraId="2EB10CDC" w14:textId="77777777" w:rsidR="002F01F1" w:rsidRPr="00812C16" w:rsidRDefault="002F01F1" w:rsidP="002F01F1">
      <w:pPr>
        <w:rPr>
          <w:rFonts w:cs="Arial"/>
        </w:rPr>
      </w:pPr>
      <w:r w:rsidRPr="00812C16">
        <w:rPr>
          <w:rFonts w:cs="Arial"/>
        </w:rPr>
        <w:t>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Supraglottis (50,4%) die niedrigste.</w:t>
      </w:r>
    </w:p>
    <w:p w14:paraId="59471F13" w14:textId="77777777" w:rsidR="002F01F1" w:rsidRPr="00812C16" w:rsidRDefault="002F01F1" w:rsidP="002F01F1">
      <w:pPr>
        <w:rPr>
          <w:rFonts w:cs="Arial"/>
        </w:rPr>
      </w:pPr>
      <w:r w:rsidRPr="00812C16">
        <w:rPr>
          <w:rFonts w:cs="Arial"/>
        </w:rPr>
        <w:t>Die Glottis- (36,3%) und Lippenkarzinome (38,7%) sind auch im Stadium IV diejenigen mit den höchsten Überlebensraten, die Karzinome des Hypopharynx (20,3%) und der Mundhöhle (26,5%) haben die schlechteste Prognose. Karzinome, die wie das Glottiskarzinom oder das Lippenkarzinom früh auffällig werden, weisen ein deutlich besseres Gesamtüberleben auf, als solche, die keine Frühsymptome verursachen und eine frühe Metastasierung aufzeigen, wie beispielsweise das Hypopharynxkarzinom.</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C5F72BF"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Mundhöhle,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Thompson, 2006</w:t>
      </w:r>
      <w:r w:rsidR="000112D9">
        <w:rPr>
          <w:rFonts w:cs="Arial"/>
          <w:noProof/>
        </w:rPr>
        <w:t>)</w:t>
      </w:r>
      <w:r w:rsidR="000112D9">
        <w:rPr>
          <w:rFonts w:cs="Arial"/>
        </w:rPr>
        <w:fldChar w:fldCharType="end"/>
      </w:r>
      <w:r w:rsidRPr="00812C16">
        <w:rPr>
          <w:rFonts w:cs="Arial"/>
        </w:rPr>
        <w:t>. Für die betroffenen Patienten hat sich die Prognose über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über-behandelt. Deshalb ist es wichtig, geeignete klinische Parameter und biologische Eigenschaften des Tumorgewebes zur besseren Prognoseeinschätzung und damit zur individuellen Therapieoptimierung zu finden. Bisher liefern klinische Parameter wie Staging, Grading und Tumorlokalisation die wichtigsten Informationen für die Prognoseschätzung und dienen als Rationale für die geplante Therapie. Allerdings lassen sich diese Parameter nur schwer auf den individuellen Patienten übertragen. So beobachten Kliniker nicht selten, dass zwei Patienten mit der gleichen Tumorentität und analogem Staging und Grading einen sehr unterschiedlichen klinischen Verlauf bezüglich Überleben,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Baumann &amp; Krause, 2010</w:t>
      </w:r>
      <w:r w:rsidR="000112D9">
        <w:rPr>
          <w:rFonts w:cs="Arial"/>
          <w:noProof/>
        </w:rPr>
        <w:t>)</w:t>
      </w:r>
      <w:r w:rsidR="000112D9">
        <w:rPr>
          <w:rFonts w:cs="Arial"/>
        </w:rPr>
        <w:fldChar w:fldCharType="end"/>
      </w:r>
      <w:r w:rsidRPr="00812C16">
        <w:rPr>
          <w:rFonts w:cs="Arial"/>
        </w:rPr>
        <w:t xml:space="preserve">. </w:t>
      </w:r>
    </w:p>
    <w:p w14:paraId="759C56C2" w14:textId="2049CBD4" w:rsidR="00F94146" w:rsidRPr="00812C16" w:rsidRDefault="00A22F14" w:rsidP="005E68BA">
      <w:pPr>
        <w:rPr>
          <w:rFonts w:cs="Arial"/>
        </w:rPr>
      </w:pPr>
      <w:r w:rsidRPr="00812C16">
        <w:rPr>
          <w:rFonts w:cs="Arial"/>
        </w:rPr>
        <w:t xml:space="preserve">Es ist bekannt, dass Tumorstammzellen bei der Entwicklung von Resistenzen gegenüber Strahlen-/Chemotherapie eine entscheidende Rolle spielen können. Diese Zellpopulationen besitzen die Fähigkeit zur Initiierung von Tumoren und Metastasen und stellen somit potentielle Ansatzpunkte für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okalen sowie lo</w:t>
      </w:r>
      <w:r w:rsidR="00013ED6" w:rsidRPr="00812C16">
        <w:rPr>
          <w:rFonts w:cs="Arial"/>
        </w:rPr>
        <w:t>koregionären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lymphbahnen. Diese Tumorzellen können ohne eine Strahlentherapie proliferieren und den um Ursprung einer Logo Region ehren rezidivs darstellen.es ist bekannt dass die postoperative Strahlentherapie in der Lage ist Komma dass Marco Regioni Rezidivrisiko zu senken und das Überleben zu verbessern bereits in den 1970er Jahren wurde im Rahmen der Ertug 73 -03 studie die Effekte einer Präoperativen postoperativen und definitiven strahlentherapie auf mundhöhle opa</w:t>
      </w:r>
    </w:p>
    <w:p w14:paraId="58FE2BBA" w14:textId="77777777" w:rsidR="00013ED6" w:rsidRPr="00812C16" w:rsidRDefault="00013ED6" w:rsidP="005E68BA">
      <w:pPr>
        <w:rPr>
          <w:rFonts w:cs="Arial"/>
        </w:rPr>
      </w:pPr>
    </w:p>
    <w:p w14:paraId="29E0545D" w14:textId="1A00368A"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Bernier et al., 2005</w:t>
      </w:r>
      <w:r w:rsidR="000112D9">
        <w:rPr>
          <w:rFonts w:cs="Arial"/>
          <w:noProof/>
        </w:rPr>
        <w:t xml:space="preserve">; </w:t>
      </w:r>
      <w:r w:rsidR="009D0F7A" w:rsidRPr="002A19C6">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26" w:name="_Toc158006519"/>
      <w:r w:rsidRPr="00812C16">
        <w:rPr>
          <w:rFonts w:cs="Arial"/>
        </w:rPr>
        <w:lastRenderedPageBreak/>
        <w:t xml:space="preserve">Tumorstammzellen </w:t>
      </w:r>
      <w:r w:rsidR="003F323B" w:rsidRPr="00812C16">
        <w:rPr>
          <w:rFonts w:cs="Arial"/>
        </w:rPr>
        <w:t>&amp; Tumorstammzelltheorie</w:t>
      </w:r>
      <w:bookmarkEnd w:id="26"/>
      <w:r w:rsidR="003F323B" w:rsidRPr="00812C16">
        <w:rPr>
          <w:rFonts w:cs="Arial"/>
        </w:rPr>
        <w:t xml:space="preserve"> </w:t>
      </w:r>
    </w:p>
    <w:p w14:paraId="47C14D7F" w14:textId="08734B44" w:rsidR="00701518" w:rsidRPr="00812C16" w:rsidRDefault="004E53FF" w:rsidP="004E53FF">
      <w:pPr>
        <w:rPr>
          <w:lang w:eastAsia="de-DE"/>
        </w:rPr>
      </w:pPr>
      <w:r w:rsidRPr="00812C16">
        <w:rPr>
          <w:lang w:eastAsia="de-DE"/>
        </w:rPr>
        <w:t xml:space="preserve">In den letzten Jahren ist eine Subpopulation an Zellen in den Fokus der onkologischen Forschung gerückt. Diese sogenannten Tumorstammzellen oder Krebsstammzellen (cancer stem cells,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Krause et al., 2011</w:t>
      </w:r>
      <w:r w:rsidR="000112D9">
        <w:rPr>
          <w:noProof/>
          <w:lang w:eastAsia="de-DE"/>
        </w:rPr>
        <w:t xml:space="preserve">; </w:t>
      </w:r>
      <w:r w:rsidR="009D0F7A" w:rsidRPr="002A19C6">
        <w:t>Wicha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Mack &amp; Gires,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(Fern)metastasen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Ailles &amp; Prince, 2009</w:t>
      </w:r>
      <w:r w:rsidR="000112D9">
        <w:rPr>
          <w:noProof/>
          <w:lang w:eastAsia="de-DE"/>
        </w:rPr>
        <w:t>)</w:t>
      </w:r>
      <w:r w:rsidR="000112D9">
        <w:rPr>
          <w:lang w:eastAsia="de-DE"/>
        </w:rPr>
        <w:fldChar w:fldCharType="end"/>
      </w:r>
      <w:r w:rsidR="006E2E27" w:rsidRPr="00812C16">
        <w:rPr>
          <w:lang w:eastAsia="de-DE"/>
        </w:rPr>
        <w:t>. Der Arbeitskreis der American Association for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Prince und Kollegen nutzten hierfür den CSC-Marker CD44, womit ihnen die Anreicherung einer Subpopulation an Tumorzellen gelang, die in der Reihentransplantation in der Lage waren, in immunsupprimierten Mäusen neue Tumore zu formen, wohingegen das tumorgene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verschiedener CSC-Marker wie CD133 und ALDH1 Korrelationen zwischen dem </w:t>
      </w:r>
      <w:r w:rsidR="00E04A5B" w:rsidRPr="00812C16">
        <w:rPr>
          <w:lang w:eastAsia="de-DE"/>
        </w:rPr>
        <w:lastRenderedPageBreak/>
        <w:t xml:space="preserve">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2A19C6">
        <w:t>Chen et al., 2010</w:t>
      </w:r>
      <w:r w:rsidR="000112D9">
        <w:rPr>
          <w:noProof/>
          <w:lang w:eastAsia="de-DE"/>
        </w:rPr>
        <w:t xml:space="preserve">; </w:t>
      </w:r>
      <w:r w:rsidR="009D0F7A" w:rsidRPr="002A19C6">
        <w:t>de Jong et al., 2010</w:t>
      </w:r>
      <w:r w:rsidR="000112D9">
        <w:rPr>
          <w:noProof/>
          <w:lang w:eastAsia="de-DE"/>
        </w:rPr>
        <w:t xml:space="preserve">; </w:t>
      </w:r>
      <w:r w:rsidR="009D0F7A" w:rsidRPr="002A19C6">
        <w:t>Ginestier et al., 2007</w:t>
      </w:r>
      <w:r w:rsidR="000112D9">
        <w:rPr>
          <w:noProof/>
          <w:lang w:eastAsia="de-DE"/>
        </w:rPr>
        <w:t xml:space="preserve">; </w:t>
      </w:r>
      <w:r w:rsidR="009D0F7A" w:rsidRPr="002A19C6">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15448E7" w:rsidR="00F94146" w:rsidRPr="00812C16" w:rsidRDefault="00464374" w:rsidP="009875AF">
      <w:pPr>
        <w:shd w:val="clear" w:color="auto" w:fill="FFFF00"/>
        <w:rPr>
          <w:rFonts w:cs="Arial"/>
        </w:rPr>
      </w:pPr>
      <w:r w:rsidRPr="00812C16">
        <w:rPr>
          <w:rFonts w:cs="Arial"/>
        </w:rPr>
        <w:t xml:space="preserve">Tumorstammzellen (cancer stem cells) sind definiert als die einzigen Zellen eines malignenTumors,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Clarke &amp; Meniel,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als l“Tumor-initiierende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Clarke &amp; Meniel,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Tumorzellen mit Stammzelleigenschaften sind durch eine phänotypische Plastizität charakterisiert, sie können sich in Nicht- Stammzellen und vice versa umwandeln Die Aktivierung erfolgt dabei häufig über genetische Mutationen, was wiederum zu verschiedenen klonalen Subpopulationen und folglich zum hetero- genen Therapieansprechen bis hin zur Therapieresistenz führen kann (Plaks et al , 2015). Zudem können die Tumorstammzellen auch in einen vorübergehenden ruhenden Zustand eintreten und sich somit der Therapie entziehen (Kreso et al., 2013).</w:t>
      </w:r>
    </w:p>
    <w:p w14:paraId="2EBD7229" w14:textId="77777777" w:rsidR="004E53FF" w:rsidRPr="00812C16" w:rsidRDefault="004E53FF" w:rsidP="00530223">
      <w:pPr>
        <w:jc w:val="left"/>
        <w:rPr>
          <w:rFonts w:cs="Arial"/>
        </w:rPr>
        <w:sectPr w:rsidR="004E53FF" w:rsidRPr="00812C16" w:rsidSect="00AB18EC">
          <w:headerReference w:type="default" r:id="rId14"/>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27" w:name="_Toc158006520"/>
      <w:r w:rsidRPr="00812C16">
        <w:rPr>
          <w:rFonts w:cs="Arial"/>
        </w:rPr>
        <w:t>Tumorstammzellen als Biomarker für die Individualisierung in der Strahlentherapie</w:t>
      </w:r>
      <w:bookmarkEnd w:id="27"/>
      <w:r w:rsidRPr="00812C16">
        <w:rPr>
          <w:rFonts w:cs="Arial"/>
        </w:rPr>
        <w:t xml:space="preserve"> </w:t>
      </w:r>
    </w:p>
    <w:p w14:paraId="5EA37D60" w14:textId="7F81340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Biomarkers Definitions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für das Prostatakarzinom. Zudem werden zunehmend Biomarkersignaturen entwickelt, die aus mehreren einzelnen Biomarken bestehen und damit insbesondere die lntertumorale Heterogenität verschiedener Parameter potentiell besser abbilden können (Abraham et al., 2010, Wu et al., 2012, Yaromina et al., 2012, Marioni et al.. 2014). </w:t>
      </w:r>
    </w:p>
    <w:p w14:paraId="410DB646" w14:textId="77777777" w:rsidR="003F323B" w:rsidRPr="00812C16" w:rsidRDefault="003F323B" w:rsidP="003F323B">
      <w:pPr>
        <w:shd w:val="clear" w:color="auto" w:fill="FFFF00"/>
        <w:rPr>
          <w:rFonts w:cs="Arial"/>
        </w:rPr>
      </w:pPr>
      <w:r w:rsidRPr="00812C16">
        <w:rPr>
          <w:rFonts w:cs="Arial"/>
        </w:rPr>
        <w:t xml:space="preserve">Prinzipiell wird zwischen prognostischen und prädiktiven Biomarkem unterschieden. Prognos- tische Blomarker infonnieren über den voraussichtlich zu erwartenden </w:t>
      </w:r>
      <w:r w:rsidRPr="00812C16">
        <w:rPr>
          <w:rFonts w:cs="Arial"/>
        </w:rPr>
        <w:lastRenderedPageBreak/>
        <w:t>Verlauf der Erkrankung (McGuire und Clark, 1992. Oldenhuis et al., 2008, Ballman, 2015, Califf, 2018). Dagegen werden Biomarker als prädiktiv bezeichnet, wenn sich der Erfolg einer spezifischen Behandlung zwischen Biomarl&lt;er-positiven und -negativen Patienten signifikant unterscheidet (Oldenhuis et al., 2008. Ballman. 2015). Die Identifikation eines prädiktiven Biomarkers erfolgt an Interventionsstudien, die den Therapieerfolg zwischen mindestens zwei Behandlungsarmen, dem Standardtherapie- Arm und einem experimentellen Arm, vergleichen (Ballman, 2015). Zudem können Biomarker so- wohl einen prognostischen als auch einen prädiktlven Wert besitzen, wenn Biomarl&lt;er-positive Übersichtsarbeit wird zusammengefasst, dass Zellen mit einer hohen p53-Wildtyp-E.xpressK&gt;n meistens rad1osensit1verals solche mit einer niedngeren p53-Express1onsind (Llu et al. 2018). In einer präkhnischen Studie an 20 Kopf-Hals-Tumorzellhnien konnte aber auch gezeigt werden, dass p53-mutierte Zellen zum Tell durch eine erhöhte Strahlensensitivität charaktensiert sein kön- nen, wobei die Strahlenempfindlichkeit stark abhängig ist von der Mutat1onsartsowie von der Lo- kalisation der Mutation (Servomaa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(Lindenbergh-van der Plas et al , 2011, Sano et al . 2011). In einer weiteren Studie an Patienten mit Kopf-Hals-Plattenep1thelkarzinomen konnte gezeigt werden, dass strukturverändemde Muta- tionen Ober die Inhibierung der Seneszenz zu einer erhöhten Strahlenresistenz und folglich zu emer hohen Lokalrez1divrateführen können (Skinner et al., 2012). Diese Daten (v1desupra) ste- hen im Widerspruch zu einer früheren präklinischen Arbeit an 24 Kopf-Hals-Tumorzellhnien, die keine Assoziation zwischen der Strahlensensitivität und dem Mutationstyp oder der Lokalisallon der Mutation zeigen konnte (Brachman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supra) dar Darüber hinaus sind Kopf-Hals- Plattenepithelkarzinome, die sich auf eine HPV-lnfektion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28" w:name="_Toc158006521"/>
      <w:r>
        <w:rPr>
          <w:shd w:val="clear" w:color="auto" w:fill="242424"/>
        </w:rPr>
        <w:lastRenderedPageBreak/>
        <w:t>Forschungsstand und Forschungslücken</w:t>
      </w:r>
      <w:bookmarkEnd w:id="28"/>
    </w:p>
    <w:p w14:paraId="66F6E3EA" w14:textId="0D2789E0" w:rsidR="00404322" w:rsidRPr="00404322" w:rsidRDefault="00404322" w:rsidP="009278D8">
      <w:pPr>
        <w:pStyle w:val="berschrift3"/>
      </w:pPr>
      <w:bookmarkStart w:id="29" w:name="_Toc158006522"/>
      <w:r w:rsidRPr="00404322">
        <w:t>Aktuelle Erkenntnisse zur Rolle von CD44 in HNSCC</w:t>
      </w:r>
      <w:bookmarkEnd w:id="29"/>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Journal of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30" w:name="_Toc158006523"/>
      <w:r w:rsidRPr="00791609">
        <w:rPr>
          <w:shd w:val="clear" w:color="auto" w:fill="242424"/>
        </w:rPr>
        <w:t>Vorhandene Studien zur CD44-Expression und klinischen Endpunkten bei HNSCC</w:t>
      </w:r>
      <w:bookmarkEnd w:id="30"/>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AnforderungenBrown,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Journal of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31" w:name="_Toc158006524"/>
      <w:r>
        <w:rPr>
          <w:shd w:val="clear" w:color="auto" w:fill="242424"/>
        </w:rPr>
        <w:t>Forschungslücken</w:t>
      </w:r>
      <w:bookmarkEnd w:id="31"/>
      <w:r>
        <w:rPr>
          <w:shd w:val="clear" w:color="auto" w:fill="242424"/>
        </w:rPr>
        <w:t xml:space="preserve"> </w:t>
      </w:r>
    </w:p>
    <w:p w14:paraId="479EACFC" w14:textId="77777777" w:rsidR="00A22F14" w:rsidRPr="00812C16" w:rsidRDefault="00A22F14" w:rsidP="00530223">
      <w:pPr>
        <w:jc w:val="left"/>
        <w:rPr>
          <w:rFonts w:cs="Arial"/>
        </w:rPr>
      </w:pPr>
    </w:p>
    <w:p w14:paraId="2D5F26A6" w14:textId="77777777" w:rsidR="00001FC9" w:rsidRPr="00812C16" w:rsidRDefault="00D55D1A" w:rsidP="001830EA">
      <w:pPr>
        <w:pStyle w:val="berschrift1"/>
        <w:rPr>
          <w:rFonts w:cs="Arial"/>
        </w:rPr>
      </w:pPr>
      <w:bookmarkStart w:id="32" w:name="_Toc158006525"/>
      <w:r w:rsidRPr="00812C16">
        <w:rPr>
          <w:rFonts w:cs="Arial"/>
        </w:rPr>
        <w:t>Fragestellung/Hypothese</w:t>
      </w:r>
      <w:bookmarkEnd w:id="32"/>
      <w:r w:rsidRPr="00812C16">
        <w:rPr>
          <w:rFonts w:cs="Arial"/>
        </w:rPr>
        <w:t xml:space="preserve"> </w:t>
      </w:r>
    </w:p>
    <w:p w14:paraId="365A85BF" w14:textId="489F7037" w:rsidR="0049612C" w:rsidRPr="00812C16" w:rsidRDefault="00D719A7" w:rsidP="0049612C">
      <w:pPr>
        <w:rPr>
          <w:rFonts w:cs="Arial"/>
        </w:rPr>
      </w:pPr>
      <w:r w:rsidRPr="00812C16">
        <w:rPr>
          <w:rFonts w:cs="Arial"/>
        </w:rPr>
        <w:t xml:space="preserve">In diesem Projekt soll untersucht werden, inwieweit CD44 als </w:t>
      </w:r>
      <w:r w:rsidR="00991A22" w:rsidRPr="00812C16">
        <w:rPr>
          <w:rFonts w:cs="Arial"/>
        </w:rPr>
        <w:t>potenzieller</w:t>
      </w:r>
      <w:r w:rsidRPr="00812C16">
        <w:rPr>
          <w:rFonts w:cs="Arial"/>
        </w:rPr>
        <w:t xml:space="preserve"> Tumorstammzellmarker </w:t>
      </w:r>
      <w:r w:rsidR="00A66853" w:rsidRPr="00812C16">
        <w:rPr>
          <w:rFonts w:cs="Arial"/>
        </w:rPr>
        <w:t>bei</w:t>
      </w:r>
      <w:r w:rsidRPr="00812C16">
        <w:rPr>
          <w:rFonts w:cs="Arial"/>
        </w:rPr>
        <w:t xml:space="preserve"> Patienten mit lokal fortgeschrittenen Kopf-Hals- Plattenepithelkarzinomen auch nach postoperativer Radiochemotherapie eine prognostische Rolle spielt. Darüber hinaus soll die CD44-Expression getrennt für die Patientenkollektive mit HPV16 DNA-positiven und -negativen Tumoren analysiert werden. In einer vorangegangenen Studie an der gleichen Patientenkohorte wurde gezeigt, dass der HPV16 DNA-Status ein Prognostikator für Patienten mit lokal fortgeschrittenen adjuvant behandelten Oropharynxkarzinomen ist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Lohaus et al., 2014</w:t>
      </w:r>
      <w:r w:rsidR="000112D9">
        <w:rPr>
          <w:rFonts w:cs="Arial"/>
          <w:noProof/>
        </w:rPr>
        <w:t>)</w:t>
      </w:r>
      <w:r w:rsidR="000112D9">
        <w:rPr>
          <w:rFonts w:cs="Arial"/>
        </w:rPr>
        <w:fldChar w:fldCharType="end"/>
      </w:r>
      <w:r w:rsidRPr="00812C16">
        <w:rPr>
          <w:rFonts w:cs="Arial"/>
        </w:rPr>
        <w:t xml:space="preserve">. </w:t>
      </w:r>
    </w:p>
    <w:p w14:paraId="49C9C940" w14:textId="77777777" w:rsidR="00811BA2" w:rsidRDefault="00D719A7" w:rsidP="00D719A7">
      <w:pPr>
        <w:rPr>
          <w:rFonts w:cs="Arial"/>
        </w:rPr>
      </w:pPr>
      <w:r w:rsidRPr="00812C16">
        <w:rPr>
          <w:rFonts w:cs="Arial"/>
        </w:rPr>
        <w:t>Dieses Projekt ist Teil einer multizentrischen Studie der Radioonkologie-Gruppe des Deutschen Konsortiums für Translationale Krebsforschung (DKTK-ROG)</w:t>
      </w:r>
      <w:r w:rsidR="00C039BB" w:rsidRPr="00812C16">
        <w:rPr>
          <w:rFonts w:cs="Arial"/>
        </w:rPr>
        <w:t xml:space="preserve"> in dem die immunhistochemisch messbaren </w:t>
      </w:r>
      <w:r w:rsidR="009F48C5" w:rsidRPr="00812C16">
        <w:rPr>
          <w:rFonts w:cs="Arial"/>
        </w:rPr>
        <w:t>Biomarker für den Stammzellgehalt von Kopf-Hals-Plattenepithelkarzinomen (Patientenmaterial)</w:t>
      </w:r>
      <w:r w:rsidR="0058262E" w:rsidRPr="00812C16">
        <w:rPr>
          <w:rFonts w:cs="Arial"/>
        </w:rPr>
        <w:t xml:space="preserve"> angefärbt und evaluiert werden. Es </w:t>
      </w:r>
      <w:r w:rsidR="0058262E" w:rsidRPr="00812C16">
        <w:rPr>
          <w:rFonts w:cs="Arial"/>
        </w:rPr>
        <w:lastRenderedPageBreak/>
        <w:t xml:space="preserve">erfolgte dann Korrelation mit den klinischen </w:t>
      </w:r>
      <w:r w:rsidR="00864969" w:rsidRPr="00812C16">
        <w:rPr>
          <w:rFonts w:cs="Arial"/>
        </w:rPr>
        <w:t>Ergebnissen der Radiochemotherapie (RCTx)</w:t>
      </w:r>
      <w:r w:rsidR="002E4CA8" w:rsidRPr="00812C16">
        <w:rPr>
          <w:rFonts w:cs="Arial"/>
        </w:rPr>
        <w:t xml:space="preserve">. Die Hypothese ist </w:t>
      </w:r>
      <w:r w:rsidR="00C15EDA" w:rsidRPr="00812C16">
        <w:rPr>
          <w:rFonts w:cs="Arial"/>
        </w:rPr>
        <w:t xml:space="preserve">dass der gemessene Biomarker mit dem klinischen outcome </w:t>
      </w:r>
      <w:r w:rsidR="00811BA2" w:rsidRPr="00812C16">
        <w:rPr>
          <w:rFonts w:cs="Arial"/>
        </w:rPr>
        <w:t xml:space="preserve">korreliert. Mittelfristigs Ziel des Gesamtprojektes ist die </w:t>
      </w:r>
      <w:r w:rsidR="000B0288" w:rsidRPr="00812C16">
        <w:rPr>
          <w:rFonts w:cs="Arial"/>
        </w:rPr>
        <w:t xml:space="preserve">Etablierung von Markern, die nach prospektiver Valedierung geeignet sind, als Grundlage individualisierte Therapieentscheidungen zu dienen. </w:t>
      </w:r>
    </w:p>
    <w:p w14:paraId="4038493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3 Fragestellung/Hypothese</w:t>
      </w:r>
    </w:p>
    <w:p w14:paraId="4A5D816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Das Hauptziel dieser Studie besteht darin, den Einfluss von CD44 als potenziellem Tumorstammzellmarker auf das Therapieansprechen und die Prognose bei Patienten mit lokal fortgeschrittenen Kopf-Hals-Plattenepithelkarzinomen nach postoperativer Radiochemotherapie zu untersuchen. Insbesondere wird untersucht, ob die Expression von CD44 mit dem Überleben, der Tumorkontrolle und der Entwicklung von Fernmetastasen korreliert. Zusätzlich sollen potenzielle Zusammenhänge zwischen der CD44-Expression und klinischen Faktoren wie Tumorgröße, Lymphknotenmetastasen und histologischer Differenzierung analysiert werden, um ein umfassendes Verständnis der prognostischen Bedeutung von CD44 zu erhalten.</w:t>
      </w:r>
    </w:p>
    <w:p w14:paraId="0039E54C"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Forschung ist Teil einer umfangreichen multizentrischen Studie, die von der renommierten Radioonkologie-Gruppe des Deutschen Konsortiums für Translationale Krebsforschung (DKTK-ROG) durchgeführt wird. Das Ziel dieser Studie ist es, evidenzbasierte Erkenntnisse zur personalisierten Therapieentscheidung bei Patienten mit lokal fortgeschrittenen Kopf-Hals-Plattenepithelkarzinomen zu liefern. Durch die Identifizierung und Validierung von Biomarkern wie CD44 soll eine Grundlage für die Entwicklung individualisierter Behandlungsstrategie</w:t>
      </w:r>
    </w:p>
    <w:p w14:paraId="481E53C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Hypothese dieser Studie besagt, dass eine erhöhte Expression von CD44 mit einer schlechteren Prognose bei Patienten mit lokal fortgeschrittenen Kopf-Hals-Plattenepithelkarzinomen nach postoperativer Radiochemotherapie assoziiert ist. Es wird erwartet, dass Patienten mit einer hohen CD44-Expression ein erhöhtes Risiko für Tumorrezidive, regionale Lymphknotenmetastasen und Fernmetastasen aufweisen. Darüber hinaus wird vermutet, dass der HPV-Status einen Einfluss auf die prognostische Bedeutung von CD44 haben könnte, wobei HPV16-DNA-positive Tumoren möglicherweise eine höhere CD44-Expression und schlechtere klinische Ergebnisse aufweisen.</w:t>
      </w:r>
    </w:p>
    <w:p w14:paraId="310612FE"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 xml:space="preserve">Um diese Hypothesen zu überprüfen, werden umfangreiche klinische Datenanalysen durchgeführt, bei denen die CD44-Expression in Gewebeproben mittels immunhistochemischer Methoden quantifiziert wird. </w:t>
      </w:r>
      <w:r w:rsidRPr="00404322">
        <w:rPr>
          <w:rFonts w:ascii="Segoe UI" w:hAnsi="Segoe UI" w:cs="Segoe UI"/>
          <w:color w:val="FFFFFF"/>
          <w:sz w:val="27"/>
          <w:szCs w:val="27"/>
          <w:lang w:eastAsia="de-DE"/>
        </w:rPr>
        <w:lastRenderedPageBreak/>
        <w:t>Anschließend werden statistische Analysen durchgeführt, um potenzielle Zusammenhänge zwischen CD44-Expression und klinischen Endpunkten zu untersuchen. Multivariate Analysen werden angewendet, um den Einfluss anderer prognostischer Faktoren zu berücksichtigen und die unabhängige prognostische Bedeutung von CD44 zu bestimmen.</w:t>
      </w:r>
    </w:p>
    <w:p w14:paraId="51137649"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klinischen Daten werden aus einer großen Kohorte von Patienten mit lokal fortgeschrittenen Kopf-Hals-Plattenepithelkarzinomen nach postoperativer Radiochemotherapie gesammelt. Die Gewebeproben werden sorgfältig gesammelt und einer immunhistochemischen Färbung unterzogen, um die CD44-Expression zu quantifizieren. Die Ergebnisse dieser quantitativen Analyse werden dann in Beziehung zu den klinischen Endpunkten wie Überleben, Tumorkontrolle und Fernmetastasierung gesetzt.</w:t>
      </w:r>
    </w:p>
    <w:p w14:paraId="72ADC17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Statistische Analysen werden durchgeführt, um potenzielle Zusammenhänge zwischen der CD44-Expression und den klinischen Endpunkten zu identifizieren. Hierbei werden auch andere prognostische Faktoren, wie zum Beispiel Tumorgröße, Lymphknotenmetastasen und histologische Differenzierung, berücksichtigt. Multivariate Analysen ermöglichen es, den unabhängigen Einfluss von CD44 auf die Prognose zu bestimmen, indem sie andere prognostische Faktoren kontrollieren.</w:t>
      </w:r>
    </w:p>
    <w:p w14:paraId="0EE397C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umfangreichen Datenanalysen werden von erfahrenen Biostatistikern unter Berücksichtigung der neuesten statistischen Methoden durchgeführt. Die Ergebnisse werden anschließend sorgfältig interpretiert, um die prognostische Bedeutung von CD44 bei Patienten mit lokal fortgeschrittenen Kopf-Hals-Plattenepithelkarzinomen nach postoperativer Radiochemotherapie zu bestimmen.</w:t>
      </w:r>
    </w:p>
    <w:p w14:paraId="22C91192" w14:textId="77777777" w:rsidR="008D3F71" w:rsidRDefault="008D3F71" w:rsidP="00D719A7">
      <w:pPr>
        <w:rPr>
          <w:rFonts w:cs="Arial"/>
        </w:rPr>
      </w:pPr>
    </w:p>
    <w:p w14:paraId="02975132" w14:textId="77777777" w:rsidR="008D3F71" w:rsidRPr="00812C16" w:rsidRDefault="008D3F71" w:rsidP="00D719A7">
      <w:pPr>
        <w:rPr>
          <w:rFonts w:cs="Arial"/>
        </w:rPr>
      </w:pPr>
    </w:p>
    <w:p w14:paraId="5D3A866C" w14:textId="77777777" w:rsidR="00C315D8" w:rsidRPr="00812C16" w:rsidRDefault="00C315D8" w:rsidP="00D719A7">
      <w:pPr>
        <w:rPr>
          <w:rFonts w:cs="Arial"/>
        </w:rPr>
      </w:pPr>
    </w:p>
    <w:p w14:paraId="2943C5D6" w14:textId="77777777" w:rsidR="00A90AB4" w:rsidRPr="00812C16" w:rsidRDefault="00C315D8" w:rsidP="00D719A7">
      <w:pPr>
        <w:rPr>
          <w:rFonts w:cs="Arial"/>
        </w:rPr>
        <w:sectPr w:rsidR="00A90AB4" w:rsidRPr="00812C16" w:rsidSect="00AB18EC">
          <w:headerReference w:type="default" r:id="rId15"/>
          <w:type w:val="continuous"/>
          <w:pgSz w:w="11906" w:h="16838"/>
          <w:pgMar w:top="1418" w:right="1418" w:bottom="1134" w:left="1418" w:header="709" w:footer="709" w:gutter="0"/>
          <w:pgNumType w:fmt="numberInDash"/>
          <w:cols w:space="708"/>
          <w:docGrid w:linePitch="360"/>
        </w:sectPr>
      </w:pPr>
      <w:r w:rsidRPr="00812C16">
        <w:rPr>
          <w:rFonts w:cs="Arial"/>
        </w:rPr>
        <w:t>Innerhalb eines größeren, von Dresden geleit</w:t>
      </w:r>
      <w:r w:rsidR="001618F3" w:rsidRPr="00812C16">
        <w:rPr>
          <w:rFonts w:cs="Arial"/>
        </w:rPr>
        <w:t xml:space="preserve">eten multizentrischen Projekts </w:t>
      </w:r>
    </w:p>
    <w:p w14:paraId="28096C19" w14:textId="77777777" w:rsidR="00C315D8" w:rsidRPr="00812C16" w:rsidRDefault="00C315D8" w:rsidP="00D719A7">
      <w:pPr>
        <w:rPr>
          <w:rFonts w:cs="Arial"/>
        </w:rPr>
      </w:pPr>
    </w:p>
    <w:p w14:paraId="0C84CE42" w14:textId="77777777" w:rsidR="00065C3F" w:rsidRPr="00812C16" w:rsidRDefault="00530223" w:rsidP="00065C3F">
      <w:pPr>
        <w:jc w:val="left"/>
        <w:rPr>
          <w:rFonts w:cs="Arial"/>
          <w:lang w:eastAsia="de-DE"/>
        </w:rPr>
      </w:pPr>
      <w:r w:rsidRPr="00812C16">
        <w:rPr>
          <w:rFonts w:cs="Arial"/>
          <w:lang w:eastAsia="de-DE"/>
        </w:rPr>
        <w:br w:type="page"/>
      </w:r>
    </w:p>
    <w:p w14:paraId="5DE95EEA" w14:textId="77777777" w:rsidR="001830EA" w:rsidRPr="00812C16" w:rsidRDefault="00832408" w:rsidP="00611DA4">
      <w:pPr>
        <w:pStyle w:val="berschrift1"/>
        <w:ind w:left="709" w:hanging="709"/>
        <w:rPr>
          <w:rFonts w:cs="Arial"/>
        </w:rPr>
      </w:pPr>
      <w:bookmarkStart w:id="33" w:name="_Toc158006526"/>
      <w:r w:rsidRPr="00812C16">
        <w:rPr>
          <w:rFonts w:cs="Arial"/>
        </w:rPr>
        <w:lastRenderedPageBreak/>
        <w:t>Material und Methoden</w:t>
      </w:r>
      <w:bookmarkEnd w:id="33"/>
      <w:r w:rsidR="00A45D65" w:rsidRPr="00812C16">
        <w:rPr>
          <w:rFonts w:cs="Arial"/>
        </w:rPr>
        <w:t xml:space="preserve"> </w:t>
      </w:r>
    </w:p>
    <w:p w14:paraId="5CEB25E6" w14:textId="77777777" w:rsidR="00B079AA" w:rsidRPr="00812C16" w:rsidRDefault="00B079AA" w:rsidP="008C6A11">
      <w:pPr>
        <w:pStyle w:val="berschrift2"/>
        <w:rPr>
          <w:rFonts w:cs="Arial"/>
        </w:rPr>
      </w:pPr>
      <w:bookmarkStart w:id="34" w:name="_Toc158006527"/>
      <w:r w:rsidRPr="00812C16">
        <w:rPr>
          <w:rFonts w:cs="Arial"/>
        </w:rPr>
        <w:t>Studiendesign</w:t>
      </w:r>
      <w:bookmarkEnd w:id="34"/>
      <w:r w:rsidRPr="00812C16">
        <w:rPr>
          <w:rFonts w:cs="Arial"/>
        </w:rPr>
        <w:t xml:space="preserve"> </w:t>
      </w:r>
    </w:p>
    <w:p w14:paraId="4419E22A" w14:textId="77777777" w:rsidR="007C1723" w:rsidRPr="00812C16" w:rsidRDefault="007C1723" w:rsidP="00B079AA">
      <w:pPr>
        <w:rPr>
          <w:rFonts w:cs="Arial"/>
          <w:lang w:eastAsia="de-DE"/>
        </w:rPr>
      </w:pPr>
      <w:r w:rsidRPr="00812C16">
        <w:rPr>
          <w:rFonts w:cs="Arial"/>
          <w:lang w:eastAsia="de-DE"/>
        </w:rPr>
        <w:t>Diskussion des Studiendesigns</w:t>
      </w:r>
    </w:p>
    <w:p w14:paraId="30063788" w14:textId="77777777" w:rsidR="001A48EC" w:rsidRPr="00812C16" w:rsidRDefault="001A48EC" w:rsidP="00B079AA">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w:t>
      </w:r>
      <w:r w:rsidR="007C1723" w:rsidRPr="00812C16">
        <w:rPr>
          <w:rFonts w:cs="Arial"/>
          <w:lang w:eastAsia="de-DE"/>
        </w:rPr>
        <w:t xml:space="preserve">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98D20D0" w14:textId="5E9FEF24" w:rsidR="001C047A" w:rsidRPr="00812C16" w:rsidRDefault="00A86010" w:rsidP="00B079AA">
      <w:pPr>
        <w:rPr>
          <w:rFonts w:cs="Arial"/>
          <w:lang w:eastAsia="de-DE"/>
        </w:rPr>
      </w:pPr>
      <w:r w:rsidRPr="00812C16">
        <w:rPr>
          <w:rFonts w:cs="Arial"/>
          <w:lang w:eastAsia="de-DE"/>
        </w:rPr>
        <w:t>Das Deutsche Konsortium für Translationale Krebsforschung (DKTK) ist ein nationales Forschungsnetzwerk</w:t>
      </w:r>
      <w:r w:rsidR="001C047A" w:rsidRPr="00812C16">
        <w:rPr>
          <w:rFonts w:cs="Arial"/>
          <w:lang w:eastAsia="de-DE"/>
        </w:rPr>
        <w:t>, d</w:t>
      </w:r>
      <w:r w:rsidRPr="00812C16">
        <w:rPr>
          <w:rFonts w:cs="Arial"/>
          <w:lang w:eastAsia="de-DE"/>
        </w:rPr>
        <w:t>as im Oktober 2012 gegründet wurde</w:t>
      </w:r>
      <w:r w:rsidR="000112D9">
        <w:rPr>
          <w:rFonts w:cs="Arial"/>
          <w:lang w:eastAsia="de-DE"/>
        </w:rPr>
        <w:fldChar w:fldCharType="begin">
          <w:fldData xml:space="preserve">PEVuZE5vdGU+PENpdGU+PEF1dGhvcj5Kb29zPC9BdXRob3I+PFllYXI+MjAxOTwvWWVhcj48UmVj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Joos et al., 2019</w:t>
      </w:r>
      <w:r w:rsidR="000112D9">
        <w:rPr>
          <w:rFonts w:cs="Arial"/>
          <w:noProof/>
          <w:lang w:eastAsia="de-DE"/>
        </w:rPr>
        <w:t>)</w:t>
      </w:r>
      <w:r w:rsidR="000112D9">
        <w:rPr>
          <w:rFonts w:cs="Arial"/>
          <w:lang w:eastAsia="de-DE"/>
        </w:rPr>
        <w:fldChar w:fldCharType="end"/>
      </w:r>
      <w:r w:rsidRPr="00812C16">
        <w:rPr>
          <w:rFonts w:cs="Arial"/>
          <w:lang w:eastAsia="de-DE"/>
        </w:rPr>
        <w:t xml:space="preserve">. </w:t>
      </w:r>
      <w:r w:rsidR="001C047A" w:rsidRPr="00812C16">
        <w:rPr>
          <w:rFonts w:cs="Arial"/>
          <w:lang w:eastAsia="de-DE"/>
        </w:rPr>
        <w:t>In der Radioonkologie-Gruppe des DKTK (DKTK-ROG) sind alle 8 Partnerstandorte des DKTK organisiert. Im Rahmen der</w:t>
      </w:r>
      <w:r w:rsidR="00C47D04" w:rsidRPr="00812C16">
        <w:rPr>
          <w:rFonts w:cs="Arial"/>
          <w:lang w:eastAsia="de-DE"/>
        </w:rPr>
        <w:t xml:space="preserve"> ersten</w:t>
      </w:r>
      <w:r w:rsidR="001C047A" w:rsidRPr="00812C16">
        <w:rPr>
          <w:rFonts w:cs="Arial"/>
          <w:lang w:eastAsia="de-DE"/>
        </w:rPr>
        <w:t xml:space="preserve"> gemeinsamen Studie der DKTK-ROG, </w:t>
      </w:r>
      <w:r w:rsidR="00C47D04" w:rsidRPr="00812C16">
        <w:rPr>
          <w:rFonts w:cs="Arial"/>
          <w:lang w:eastAsia="de-DE"/>
        </w:rPr>
        <w:t>sollen</w:t>
      </w:r>
      <w:r w:rsidR="001C047A" w:rsidRPr="00812C16">
        <w:rPr>
          <w:rFonts w:cs="Arial"/>
          <w:lang w:eastAsia="de-DE"/>
        </w:rPr>
        <w:t xml:space="preserve"> prognostische und prädiktive Biomarker für die lokoregionäre Kontrolle nach primärer bzw. nach postoperativer Radiochemotherapie in Patienten mit </w:t>
      </w:r>
      <w:r w:rsidR="00C47D04" w:rsidRPr="00812C16">
        <w:rPr>
          <w:rFonts w:cs="Arial"/>
          <w:lang w:eastAsia="de-DE"/>
        </w:rPr>
        <w:t xml:space="preserve">lokoregionären fortgeschrittenen Kopf-Hals-Plattenepithelkarzinom zunächst im retrospektiven Teil der Studie identifiziert, in dem prospektiven Studienteil validiert und in einer Interventionsstudie angewendet werden. Mittelfristiges Ziel des Gesamtprojektes ist die Etablierung von Markern, die nach prospektiver Validierung geeignet sind, als Grundlage individualisierter Therapieentscheidungen zu dienen. </w:t>
      </w:r>
      <w:r w:rsidR="001A48EC" w:rsidRPr="00812C16">
        <w:rPr>
          <w:rFonts w:cs="Arial"/>
          <w:lang w:eastAsia="de-DE"/>
        </w:rPr>
        <w:t>Ein aus den Studienleitern der jeweiligen Standorte gebildeter Lenkungsaus</w:t>
      </w:r>
      <w:r w:rsidR="007C1723" w:rsidRPr="00812C16">
        <w:rPr>
          <w:rFonts w:cs="Arial"/>
          <w:lang w:eastAsia="de-DE"/>
        </w:rPr>
        <w:t>s</w:t>
      </w:r>
      <w:r w:rsidR="001A48EC" w:rsidRPr="00812C16">
        <w:rPr>
          <w:rFonts w:cs="Arial"/>
          <w:lang w:eastAsia="de-DE"/>
        </w:rPr>
        <w:t xml:space="preserve">chuss und die gemeinsame Co-Ownerschaft stellen den hohen Standard der Studie sicher. Die Studie wird durch die DKTK-ROG-Studienzentrale in Dresden betreut. </w:t>
      </w:r>
    </w:p>
    <w:p w14:paraId="3630C58C" w14:textId="77777777" w:rsidR="006B402F" w:rsidRPr="00812C16" w:rsidRDefault="00C47D04" w:rsidP="00B079AA">
      <w:pPr>
        <w:rPr>
          <w:rFonts w:cs="Arial"/>
          <w:lang w:eastAsia="de-DE"/>
        </w:rPr>
      </w:pPr>
      <w:r w:rsidRPr="00812C16">
        <w:rPr>
          <w:rFonts w:cs="Arial"/>
          <w:lang w:eastAsia="de-DE"/>
        </w:rPr>
        <w:t xml:space="preserve">Die in dieser Arbeit vorgestellten Ergebnisse sind Teil </w:t>
      </w:r>
      <w:r w:rsidR="002B4EF2" w:rsidRPr="00812C16">
        <w:rPr>
          <w:rFonts w:cs="Arial"/>
          <w:lang w:eastAsia="de-DE"/>
        </w:rPr>
        <w:t xml:space="preserve">der </w:t>
      </w:r>
      <w:r w:rsidR="005D5510" w:rsidRPr="00812C16">
        <w:rPr>
          <w:rFonts w:cs="Arial"/>
          <w:lang w:eastAsia="de-DE"/>
        </w:rPr>
        <w:t xml:space="preserve">retrospektiven </w:t>
      </w:r>
      <w:r w:rsidR="002B4EF2" w:rsidRPr="00812C16">
        <w:rPr>
          <w:rFonts w:cs="Arial"/>
          <w:lang w:eastAsia="de-DE"/>
        </w:rPr>
        <w:t>Untersuchung der</w:t>
      </w:r>
      <w:r w:rsidR="005D5510" w:rsidRPr="00812C16">
        <w:rPr>
          <w:rFonts w:cs="Arial"/>
          <w:lang w:eastAsia="de-DE"/>
        </w:rPr>
        <w:t xml:space="preserve"> multizentrischen Studie</w:t>
      </w:r>
      <w:r w:rsidR="002B4EF2" w:rsidRPr="00812C16">
        <w:rPr>
          <w:rFonts w:cs="Arial"/>
          <w:lang w:eastAsia="de-DE"/>
        </w:rPr>
        <w:t>, in der immunhistochemisch messbare Biomarker für den Stammzellgehalt von Kopf-Hals-Plattenepithelkarz</w:t>
      </w:r>
      <w:r w:rsidR="007C1723" w:rsidRPr="00812C16">
        <w:rPr>
          <w:rFonts w:cs="Arial"/>
          <w:lang w:eastAsia="de-DE"/>
        </w:rPr>
        <w:t xml:space="preserve">inomen </w:t>
      </w:r>
      <w:r w:rsidR="002B4EF2" w:rsidRPr="00812C16">
        <w:rPr>
          <w:rFonts w:cs="Arial"/>
          <w:lang w:eastAsia="de-DE"/>
        </w:rPr>
        <w:t xml:space="preserve">angefärbt und </w:t>
      </w:r>
      <w:r w:rsidR="007C1723" w:rsidRPr="00812C16">
        <w:rPr>
          <w:rFonts w:cs="Arial"/>
          <w:lang w:eastAsia="de-DE"/>
        </w:rPr>
        <w:t>evaluiert wurden</w:t>
      </w:r>
      <w:r w:rsidR="001A48EC" w:rsidRPr="00812C16">
        <w:rPr>
          <w:rFonts w:cs="Arial"/>
          <w:lang w:eastAsia="de-DE"/>
        </w:rPr>
        <w:t xml:space="preserve">. </w:t>
      </w:r>
      <w:r w:rsidR="007C1723" w:rsidRPr="00812C16">
        <w:rPr>
          <w:rFonts w:cs="Arial"/>
          <w:lang w:eastAsia="de-DE"/>
        </w:rPr>
        <w:t>Anschließend</w:t>
      </w:r>
      <w:r w:rsidR="002B4EF2" w:rsidRPr="00812C16">
        <w:rPr>
          <w:rFonts w:cs="Arial"/>
          <w:lang w:eastAsia="de-DE"/>
        </w:rPr>
        <w:t xml:space="preserve"> </w:t>
      </w:r>
      <w:r w:rsidR="001A48EC" w:rsidRPr="00812C16">
        <w:rPr>
          <w:rFonts w:cs="Arial"/>
          <w:lang w:eastAsia="de-DE"/>
        </w:rPr>
        <w:t xml:space="preserve">erfolgte die Korrelation </w:t>
      </w:r>
      <w:r w:rsidR="002B4EF2" w:rsidRPr="00812C16">
        <w:rPr>
          <w:rFonts w:cs="Arial"/>
          <w:lang w:eastAsia="de-DE"/>
        </w:rPr>
        <w:t xml:space="preserve">mit den klinischen Ergebnissen der postoperativen Radiochemotherapie. </w:t>
      </w:r>
    </w:p>
    <w:p w14:paraId="08175A9D" w14:textId="77777777" w:rsidR="000943C4" w:rsidRPr="00812C16" w:rsidRDefault="00A22F14" w:rsidP="008C6A11">
      <w:pPr>
        <w:pStyle w:val="berschrift2"/>
        <w:rPr>
          <w:rFonts w:cs="Arial"/>
        </w:rPr>
      </w:pPr>
      <w:bookmarkStart w:id="35" w:name="_Toc158006528"/>
      <w:r w:rsidRPr="00812C16">
        <w:rPr>
          <w:rFonts w:cs="Arial"/>
        </w:rPr>
        <w:lastRenderedPageBreak/>
        <w:t>Patientenkollektiv</w:t>
      </w:r>
      <w:r w:rsidR="00FD0DF1" w:rsidRPr="00812C16">
        <w:rPr>
          <w:rFonts w:cs="Arial"/>
        </w:rPr>
        <w:t xml:space="preserve"> und Tumormaterial</w:t>
      </w:r>
      <w:bookmarkEnd w:id="35"/>
    </w:p>
    <w:p w14:paraId="02FBE8D8" w14:textId="77777777" w:rsidR="00D53637" w:rsidRPr="00812C16" w:rsidRDefault="00702C26" w:rsidP="00D53637">
      <w:pPr>
        <w:rPr>
          <w:rFonts w:cs="Arial"/>
        </w:rPr>
      </w:pPr>
      <w:r w:rsidRPr="00812C16">
        <w:rPr>
          <w:rFonts w:cs="Arial"/>
        </w:rPr>
        <w:t xml:space="preserve">Das Patientenkollektiv bestand aus </w:t>
      </w:r>
      <w:r w:rsidR="00323D46" w:rsidRPr="00812C16">
        <w:rPr>
          <w:rFonts w:cs="Arial"/>
        </w:rPr>
        <w:t>221</w:t>
      </w:r>
      <w:r w:rsidRPr="00812C16">
        <w:rPr>
          <w:rFonts w:cs="Arial"/>
        </w:rPr>
        <w:t xml:space="preserve"> Patienten</w:t>
      </w:r>
      <w:r w:rsidR="00FC2B98" w:rsidRPr="00812C16">
        <w:rPr>
          <w:rFonts w:cs="Arial"/>
        </w:rPr>
        <w:t xml:space="preserve"> mit lokal fortgeschritten Plattenepithelkarzinom </w:t>
      </w:r>
      <w:r w:rsidR="006A3B5F" w:rsidRPr="00812C16">
        <w:rPr>
          <w:rFonts w:cs="Arial"/>
        </w:rPr>
        <w:t>des Kopf-Hals</w:t>
      </w:r>
      <w:r w:rsidR="00FA49A2" w:rsidRPr="00812C16">
        <w:rPr>
          <w:rFonts w:cs="Arial"/>
        </w:rPr>
        <w:t>-Bereichs</w:t>
      </w:r>
      <w:r w:rsidRPr="00812C16">
        <w:rPr>
          <w:rFonts w:cs="Arial"/>
        </w:rPr>
        <w:t xml:space="preserve">, die </w:t>
      </w:r>
      <w:r w:rsidR="000948C2" w:rsidRPr="00812C16">
        <w:rPr>
          <w:rFonts w:cs="Arial"/>
        </w:rPr>
        <w:t xml:space="preserve">im Zeitraum </w:t>
      </w:r>
      <w:r w:rsidR="00360062" w:rsidRPr="00812C16">
        <w:rPr>
          <w:rFonts w:cs="Arial"/>
        </w:rPr>
        <w:t>zwischen</w:t>
      </w:r>
      <w:r w:rsidR="000948C2" w:rsidRPr="00812C16">
        <w:rPr>
          <w:rFonts w:cs="Arial"/>
        </w:rPr>
        <w:t xml:space="preserve"> </w:t>
      </w:r>
      <w:r w:rsidR="0074115E" w:rsidRPr="00812C16">
        <w:rPr>
          <w:rFonts w:cs="Arial"/>
        </w:rPr>
        <w:t>200</w:t>
      </w:r>
      <w:r w:rsidR="0070157D" w:rsidRPr="00812C16">
        <w:rPr>
          <w:rFonts w:cs="Arial"/>
        </w:rPr>
        <w:t>4</w:t>
      </w:r>
      <w:r w:rsidR="0074115E" w:rsidRPr="00812C16">
        <w:rPr>
          <w:rFonts w:cs="Arial"/>
        </w:rPr>
        <w:t xml:space="preserve"> </w:t>
      </w:r>
      <w:r w:rsidR="00360062" w:rsidRPr="00812C16">
        <w:rPr>
          <w:rFonts w:cs="Arial"/>
        </w:rPr>
        <w:t>und</w:t>
      </w:r>
      <w:r w:rsidR="0074115E" w:rsidRPr="00812C16">
        <w:rPr>
          <w:rFonts w:cs="Arial"/>
        </w:rPr>
        <w:t xml:space="preserve"> 20</w:t>
      </w:r>
      <w:r w:rsidR="0070157D" w:rsidRPr="00812C16">
        <w:rPr>
          <w:rFonts w:cs="Arial"/>
        </w:rPr>
        <w:t>12</w:t>
      </w:r>
      <w:r w:rsidR="0074115E" w:rsidRPr="00812C16">
        <w:rPr>
          <w:rFonts w:cs="Arial"/>
        </w:rPr>
        <w:t xml:space="preserve"> </w:t>
      </w:r>
      <w:r w:rsidR="00491E2C" w:rsidRPr="00812C16">
        <w:rPr>
          <w:rFonts w:cs="Arial"/>
        </w:rPr>
        <w:t xml:space="preserve">in den </w:t>
      </w:r>
      <w:r w:rsidR="00B117BD" w:rsidRPr="00812C16">
        <w:rPr>
          <w:rFonts w:cs="Arial"/>
        </w:rPr>
        <w:t>8</w:t>
      </w:r>
      <w:r w:rsidR="00491E2C" w:rsidRPr="00812C16">
        <w:rPr>
          <w:rFonts w:cs="Arial"/>
        </w:rPr>
        <w:t xml:space="preserve"> </w:t>
      </w:r>
      <w:r w:rsidR="00FA49A2" w:rsidRPr="00812C16">
        <w:rPr>
          <w:rFonts w:cs="Arial"/>
        </w:rPr>
        <w:t>Partnerzentren des Deutschen Konsortium</w:t>
      </w:r>
      <w:r w:rsidR="00C43E99" w:rsidRPr="00812C16">
        <w:rPr>
          <w:rFonts w:cs="Arial"/>
        </w:rPr>
        <w:t>s für Translationale Krebsforschung (DKTK</w:t>
      </w:r>
      <w:r w:rsidR="00A4793A" w:rsidRPr="00812C16">
        <w:rPr>
          <w:rFonts w:cs="Arial"/>
        </w:rPr>
        <w:t xml:space="preserve">) </w:t>
      </w:r>
      <w:r w:rsidR="00833B21" w:rsidRPr="00812C16">
        <w:rPr>
          <w:rFonts w:cs="Arial"/>
        </w:rPr>
        <w:t>behandelt wurde</w:t>
      </w:r>
      <w:r w:rsidR="007B11DC" w:rsidRPr="00812C16">
        <w:rPr>
          <w:rFonts w:cs="Arial"/>
        </w:rPr>
        <w:t xml:space="preserve">n. </w:t>
      </w:r>
      <w:r w:rsidR="00D53637" w:rsidRPr="00812C16">
        <w:rPr>
          <w:rFonts w:cs="Arial"/>
        </w:rPr>
        <w:t>Die Ethikkommissionen aller DKTK-Partnerstandorte haben die ethische Genehmigung für multizentrische retrospektive Analysen klinischer und biologischer Daten eingeholt (AZ EK299092012).</w:t>
      </w:r>
    </w:p>
    <w:p w14:paraId="1520559A" w14:textId="56ED4BD3" w:rsidR="00F93AF2" w:rsidRPr="00812C16" w:rsidRDefault="00833E44" w:rsidP="00883805">
      <w:pPr>
        <w:rPr>
          <w:rFonts w:cs="Arial"/>
          <w:shd w:val="clear" w:color="auto" w:fill="FFFF00"/>
        </w:rPr>
      </w:pPr>
      <w:r w:rsidRPr="00812C16">
        <w:rPr>
          <w:rFonts w:cs="Arial"/>
        </w:rPr>
        <w:t xml:space="preserve">Einschlusskriterien </w:t>
      </w:r>
      <w:r w:rsidR="002750A0" w:rsidRPr="00812C16">
        <w:rPr>
          <w:rFonts w:cs="Arial"/>
        </w:rPr>
        <w:t xml:space="preserve">waren ein </w:t>
      </w:r>
      <w:r w:rsidR="00551FA0" w:rsidRPr="00812C16">
        <w:rPr>
          <w:rFonts w:cs="Arial"/>
        </w:rPr>
        <w:t xml:space="preserve">histologisch gesichertes Plattenepithelkarzinom </w:t>
      </w:r>
      <w:r w:rsidR="004C3BA3" w:rsidRPr="00812C16">
        <w:rPr>
          <w:rFonts w:cs="Arial"/>
        </w:rPr>
        <w:t xml:space="preserve">der Mundhöhle, des Oro- </w:t>
      </w:r>
      <w:r w:rsidR="00971BED" w:rsidRPr="00812C16">
        <w:rPr>
          <w:rFonts w:cs="Arial"/>
        </w:rPr>
        <w:t>oder</w:t>
      </w:r>
      <w:r w:rsidR="004C3BA3" w:rsidRPr="00812C16">
        <w:rPr>
          <w:rFonts w:cs="Arial"/>
        </w:rPr>
        <w:t xml:space="preserve"> Hypopharynx</w:t>
      </w:r>
      <w:r w:rsidR="00C8786F" w:rsidRPr="00812C16">
        <w:rPr>
          <w:rFonts w:cs="Arial"/>
        </w:rPr>
        <w:t>. A</w:t>
      </w:r>
      <w:r w:rsidR="00A900FC" w:rsidRPr="00812C16">
        <w:rPr>
          <w:rFonts w:cs="Arial"/>
        </w:rPr>
        <w:t xml:space="preserve">lle </w:t>
      </w:r>
      <w:r w:rsidR="00DB1459" w:rsidRPr="00812C16">
        <w:rPr>
          <w:rFonts w:cs="Arial"/>
        </w:rPr>
        <w:t xml:space="preserve">Patienten </w:t>
      </w:r>
      <w:r w:rsidR="00D564F8" w:rsidRPr="00812C16">
        <w:rPr>
          <w:rFonts w:cs="Arial"/>
        </w:rPr>
        <w:t xml:space="preserve">hatten </w:t>
      </w:r>
      <w:r w:rsidR="00EB0A36" w:rsidRPr="00812C16">
        <w:rPr>
          <w:rFonts w:cs="Arial"/>
        </w:rPr>
        <w:t xml:space="preserve">nach der primären </w:t>
      </w:r>
      <w:r w:rsidR="00C06468" w:rsidRPr="00812C16">
        <w:rPr>
          <w:rFonts w:cs="Arial"/>
        </w:rPr>
        <w:t>onkologischen</w:t>
      </w:r>
      <w:r w:rsidR="00001CDD" w:rsidRPr="00812C16">
        <w:rPr>
          <w:rFonts w:cs="Arial"/>
        </w:rPr>
        <w:t xml:space="preserve"> Tumorresektion </w:t>
      </w:r>
      <w:r w:rsidR="00D564F8" w:rsidRPr="00812C16">
        <w:rPr>
          <w:rFonts w:cs="Arial"/>
        </w:rPr>
        <w:t>aufgrund des hohen Rezidivrisikos</w:t>
      </w:r>
      <w:r w:rsidR="005B70BF" w:rsidRPr="00812C16">
        <w:rPr>
          <w:rFonts w:cs="Arial"/>
        </w:rPr>
        <w:t xml:space="preserve"> (</w:t>
      </w:r>
      <w:r w:rsidR="0005534A" w:rsidRPr="00812C16">
        <w:rPr>
          <w:rFonts w:cs="Arial"/>
        </w:rPr>
        <w:t>Tumorstadium pT4 und/oder mikroskopische</w:t>
      </w:r>
      <w:r w:rsidR="009F7144" w:rsidRPr="00812C16">
        <w:rPr>
          <w:rFonts w:cs="Arial"/>
        </w:rPr>
        <w:t>r</w:t>
      </w:r>
      <w:r w:rsidR="0005534A" w:rsidRPr="00812C16">
        <w:rPr>
          <w:rFonts w:cs="Arial"/>
        </w:rPr>
        <w:t xml:space="preserve"> </w:t>
      </w:r>
      <w:r w:rsidR="009F7144" w:rsidRPr="00812C16">
        <w:rPr>
          <w:rFonts w:cs="Arial"/>
        </w:rPr>
        <w:t>Tumorrest nach Operation</w:t>
      </w:r>
      <w:r w:rsidR="0005534A" w:rsidRPr="00812C16">
        <w:rPr>
          <w:rFonts w:cs="Arial"/>
        </w:rPr>
        <w:t xml:space="preserve"> und/oder </w:t>
      </w:r>
      <w:r w:rsidR="00806C38" w:rsidRPr="00812C16">
        <w:rPr>
          <w:rFonts w:cs="Arial"/>
        </w:rPr>
        <w:t xml:space="preserve">kapselüberschreitendes Wachstum der Lymphknotenmetastasen </w:t>
      </w:r>
      <w:r w:rsidR="00931DDF" w:rsidRPr="00812C16">
        <w:rPr>
          <w:rFonts w:cs="Arial"/>
        </w:rPr>
        <w:t>oder &gt;</w:t>
      </w:r>
      <w:r w:rsidR="004746CA" w:rsidRPr="00812C16">
        <w:rPr>
          <w:rFonts w:cs="Arial"/>
        </w:rPr>
        <w:t xml:space="preserve">3 </w:t>
      </w:r>
      <w:r w:rsidR="00EC5B22" w:rsidRPr="00812C16">
        <w:rPr>
          <w:rFonts w:cs="Arial"/>
        </w:rPr>
        <w:t>Lymphknotenmetastasen)</w:t>
      </w:r>
      <w:r w:rsidR="00C169F2" w:rsidRPr="00812C16">
        <w:rPr>
          <w:rFonts w:cs="Arial"/>
        </w:rPr>
        <w:t xml:space="preserve"> </w:t>
      </w:r>
      <w:r w:rsidR="004C3874" w:rsidRPr="00812C16">
        <w:rPr>
          <w:rFonts w:cs="Arial"/>
        </w:rPr>
        <w:t xml:space="preserve">an einem der 8 Partnerstandorte </w:t>
      </w:r>
      <w:r w:rsidR="0070157D" w:rsidRPr="00812C16">
        <w:rPr>
          <w:rFonts w:cs="Arial"/>
        </w:rPr>
        <w:t xml:space="preserve">des DKTK </w:t>
      </w:r>
      <w:r w:rsidR="00EA70EC" w:rsidRPr="00812C16">
        <w:rPr>
          <w:rFonts w:cs="Arial"/>
        </w:rPr>
        <w:t>eine postoperative Cisplatin-basierte Radiochemotherapie</w:t>
      </w:r>
      <w:r w:rsidR="00191A89" w:rsidRPr="00812C16">
        <w:rPr>
          <w:rFonts w:cs="Arial"/>
        </w:rPr>
        <w:t xml:space="preserve"> (PORT-C)</w:t>
      </w:r>
      <w:r w:rsidR="00C31524" w:rsidRPr="00812C16">
        <w:rPr>
          <w:rFonts w:cs="Arial"/>
        </w:rPr>
        <w:t xml:space="preserve"> gemäß Standardprotokolle </w:t>
      </w:r>
      <w:r w:rsidR="000C77B3" w:rsidRPr="00812C16">
        <w:rPr>
          <w:rFonts w:cs="Arial"/>
        </w:rPr>
        <w:t xml:space="preserve">in kurativer Intension erhalten. </w:t>
      </w:r>
      <w:r w:rsidR="00106D54" w:rsidRPr="00812C16">
        <w:rPr>
          <w:rFonts w:cs="Arial"/>
        </w:rPr>
        <w:t xml:space="preserve">Darüber </w:t>
      </w:r>
      <w:r w:rsidR="003008B6" w:rsidRPr="00812C16">
        <w:rPr>
          <w:rFonts w:cs="Arial"/>
        </w:rPr>
        <w:t>hinaus war</w:t>
      </w:r>
      <w:r w:rsidR="008A7041" w:rsidRPr="00812C16">
        <w:rPr>
          <w:rFonts w:cs="Arial"/>
        </w:rPr>
        <w:t xml:space="preserve"> für d</w:t>
      </w:r>
      <w:r w:rsidR="003008B6" w:rsidRPr="00812C16">
        <w:rPr>
          <w:rFonts w:cs="Arial"/>
        </w:rPr>
        <w:t xml:space="preserve">en </w:t>
      </w:r>
      <w:r w:rsidR="00CC7CAF" w:rsidRPr="00812C16">
        <w:rPr>
          <w:rFonts w:cs="Arial"/>
        </w:rPr>
        <w:t>Studieneinschluss</w:t>
      </w:r>
      <w:r w:rsidR="003008B6" w:rsidRPr="00812C16">
        <w:rPr>
          <w:rFonts w:cs="Arial"/>
        </w:rPr>
        <w:t xml:space="preserve">, </w:t>
      </w:r>
      <w:r w:rsidR="00E76A1F" w:rsidRPr="00812C16">
        <w:rPr>
          <w:rFonts w:cs="Arial"/>
        </w:rPr>
        <w:t xml:space="preserve">neben </w:t>
      </w:r>
      <w:r w:rsidR="009B0D8C" w:rsidRPr="00812C16">
        <w:rPr>
          <w:rFonts w:cs="Arial"/>
        </w:rPr>
        <w:t xml:space="preserve">klinischen </w:t>
      </w:r>
      <w:r w:rsidR="00160347" w:rsidRPr="00812C16">
        <w:rPr>
          <w:rFonts w:cs="Arial"/>
        </w:rPr>
        <w:t>Parametern unter anderem auch das Vorhandensein von FFPE</w:t>
      </w:r>
      <w:r w:rsidR="00615E42" w:rsidRPr="00812C16">
        <w:rPr>
          <w:rFonts w:cs="Arial"/>
        </w:rPr>
        <w:t>-Tumormateria</w:t>
      </w:r>
      <w:r w:rsidR="001A097E" w:rsidRPr="00812C16">
        <w:rPr>
          <w:rFonts w:cs="Arial"/>
        </w:rPr>
        <w:t>l</w:t>
      </w:r>
      <w:r w:rsidR="00D27553" w:rsidRPr="00812C16">
        <w:rPr>
          <w:rFonts w:cs="Arial"/>
        </w:rPr>
        <w:t xml:space="preserve"> (vor jeder tumorspezifischen Behandlung)</w:t>
      </w:r>
      <w:r w:rsidR="00A52409" w:rsidRPr="00812C16">
        <w:rPr>
          <w:rFonts w:cs="Arial"/>
        </w:rPr>
        <w:t xml:space="preserve">, </w:t>
      </w:r>
      <w:r w:rsidR="00615E42" w:rsidRPr="00812C16">
        <w:rPr>
          <w:rFonts w:cs="Arial"/>
        </w:rPr>
        <w:t>Bestrahlungspläne</w:t>
      </w:r>
      <w:r w:rsidR="001A097E" w:rsidRPr="00812C16">
        <w:rPr>
          <w:rFonts w:cs="Arial"/>
        </w:rPr>
        <w:t xml:space="preserve"> sowie </w:t>
      </w:r>
      <w:r w:rsidR="009F6820" w:rsidRPr="00812C16">
        <w:rPr>
          <w:rFonts w:cs="Arial"/>
        </w:rPr>
        <w:t xml:space="preserve">die Daten des klinischem follow-up mit </w:t>
      </w:r>
      <w:r w:rsidR="00527C23" w:rsidRPr="00812C16">
        <w:rPr>
          <w:rFonts w:cs="Arial"/>
        </w:rPr>
        <w:t>Bild</w:t>
      </w:r>
      <w:r w:rsidR="003170F6" w:rsidRPr="00812C16">
        <w:rPr>
          <w:rFonts w:cs="Arial"/>
        </w:rPr>
        <w:t>gebun</w:t>
      </w:r>
      <w:r w:rsidR="00527C23" w:rsidRPr="00812C16">
        <w:rPr>
          <w:rFonts w:cs="Arial"/>
        </w:rPr>
        <w:t>g</w:t>
      </w:r>
      <w:r w:rsidR="003170F6" w:rsidRPr="00812C16">
        <w:rPr>
          <w:rFonts w:cs="Arial"/>
        </w:rPr>
        <w:t xml:space="preserve"> </w:t>
      </w:r>
      <w:r w:rsidR="0085354E" w:rsidRPr="00812C16">
        <w:rPr>
          <w:rFonts w:cs="Arial"/>
        </w:rPr>
        <w:t>/ bildgebender Diagnostik (CT-, MRT</w:t>
      </w:r>
      <w:r w:rsidR="00883F04" w:rsidRPr="00812C16">
        <w:rPr>
          <w:rFonts w:cs="Arial"/>
        </w:rPr>
        <w:t>- oder PET-CT</w:t>
      </w:r>
      <w:r w:rsidR="00D22585" w:rsidRPr="00812C16">
        <w:rPr>
          <w:rFonts w:cs="Arial"/>
        </w:rPr>
        <w:t xml:space="preserve">) </w:t>
      </w:r>
      <w:r w:rsidR="003170F6" w:rsidRPr="00812C16">
        <w:rPr>
          <w:rFonts w:cs="Arial"/>
        </w:rPr>
        <w:t xml:space="preserve">zur späteren </w:t>
      </w:r>
      <w:r w:rsidR="00FA4045" w:rsidRPr="00812C16">
        <w:rPr>
          <w:rFonts w:cs="Arial"/>
        </w:rPr>
        <w:t>Lage-</w:t>
      </w:r>
      <w:r w:rsidR="003170F6" w:rsidRPr="00812C16">
        <w:rPr>
          <w:rFonts w:cs="Arial"/>
        </w:rPr>
        <w:t xml:space="preserve">Beurteilung eines </w:t>
      </w:r>
      <w:r w:rsidR="00B935DB" w:rsidRPr="00812C16">
        <w:rPr>
          <w:rFonts w:cs="Arial"/>
        </w:rPr>
        <w:t xml:space="preserve">möglichen </w:t>
      </w:r>
      <w:r w:rsidR="00CF5184" w:rsidRPr="00812C16">
        <w:rPr>
          <w:rFonts w:cs="Arial"/>
        </w:rPr>
        <w:t>Tumorrezidivs</w:t>
      </w:r>
      <w:r w:rsidR="00B636AD" w:rsidRPr="00812C16">
        <w:rPr>
          <w:rFonts w:cs="Arial"/>
        </w:rPr>
        <w:t xml:space="preserve"> verpfli</w:t>
      </w:r>
      <w:r w:rsidR="004602FE" w:rsidRPr="00812C16">
        <w:rPr>
          <w:rFonts w:cs="Arial"/>
        </w:rPr>
        <w:t>chtend</w:t>
      </w:r>
      <w:r w:rsidR="005442CB" w:rsidRPr="00812C16">
        <w:rPr>
          <w:rFonts w:cs="Arial"/>
        </w:rPr>
        <w:t xml:space="preserve"> und wurde</w:t>
      </w:r>
      <w:r w:rsidR="008F449A" w:rsidRPr="00812C16">
        <w:rPr>
          <w:rFonts w:cs="Arial"/>
        </w:rPr>
        <w:t>n zentral am DKTK-Standort Dresden gesammelt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Lohaus et al., 2014</w:t>
      </w:r>
      <w:r w:rsidR="000112D9">
        <w:rPr>
          <w:rFonts w:cs="Arial"/>
          <w:noProof/>
        </w:rPr>
        <w:t>)</w:t>
      </w:r>
      <w:r w:rsidR="000112D9">
        <w:rPr>
          <w:rFonts w:cs="Arial"/>
        </w:rPr>
        <w:fldChar w:fldCharType="end"/>
      </w:r>
      <w:r w:rsidR="00CF5184" w:rsidRPr="00812C16">
        <w:rPr>
          <w:rFonts w:cs="Arial"/>
        </w:rPr>
        <w:t>.</w:t>
      </w:r>
      <w:r w:rsidR="00615E42" w:rsidRPr="00812C16">
        <w:rPr>
          <w:rFonts w:cs="Arial"/>
        </w:rPr>
        <w:t xml:space="preserve"> </w:t>
      </w:r>
      <w:r w:rsidR="00362F6D" w:rsidRPr="00812C16">
        <w:rPr>
          <w:rFonts w:cs="Arial"/>
          <w:lang w:eastAsia="de-DE"/>
        </w:rPr>
        <w:t xml:space="preserve">Die analysierten Gewebeproben entstammten überwiegend aus Primärresektaten, wobei im Falle von fehlendem Primärtumorresektaten in wenigen Fällen auf Tumorbiopsien, die im Rahmen einer diagnostischen Planendoskopie entnommen wurden, oder Lymphknotenmetastasen zurückgegriffen wurde. </w:t>
      </w:r>
      <w:r w:rsidR="00B93B3B" w:rsidRPr="00812C16">
        <w:rPr>
          <w:rFonts w:cs="Arial"/>
        </w:rPr>
        <w:t>Die Mindestnachbeobachtungszeit musste 24 Monate betragen</w:t>
      </w:r>
      <w:r w:rsidR="006147A7" w:rsidRPr="00812C16">
        <w:rPr>
          <w:rFonts w:cs="Arial"/>
        </w:rPr>
        <w:t xml:space="preserve"> (Letzte Rekrutierung 2010)</w:t>
      </w:r>
      <w:r w:rsidR="0030791B" w:rsidRPr="00812C16">
        <w:rPr>
          <w:rFonts w:cs="Arial"/>
        </w:rPr>
        <w:t xml:space="preserve">. </w:t>
      </w:r>
      <w:r w:rsidR="00883805" w:rsidRPr="00812C16">
        <w:rPr>
          <w:rFonts w:cs="Arial"/>
        </w:rPr>
        <w:t xml:space="preserve">Der Raucherstatus und Alkoholkonsum wurden nicht für alle Patienten konsistent aufgezeichnet und konnten daher nicht analysiert werden. </w:t>
      </w:r>
      <w:r w:rsidR="003C140C" w:rsidRPr="00812C16">
        <w:rPr>
          <w:rFonts w:cs="Arial"/>
        </w:rPr>
        <w:t xml:space="preserve">Alle </w:t>
      </w:r>
      <w:r w:rsidR="00D464E9" w:rsidRPr="00812C16">
        <w:rPr>
          <w:rFonts w:cs="Arial"/>
        </w:rPr>
        <w:t>E</w:t>
      </w:r>
      <w:r w:rsidR="00AF23D1" w:rsidRPr="00812C16">
        <w:rPr>
          <w:rFonts w:cs="Arial"/>
        </w:rPr>
        <w:t>inschlusskriterien sind in</w:t>
      </w:r>
      <w:r w:rsidR="00434F24" w:rsidRPr="00812C16">
        <w:rPr>
          <w:rFonts w:cs="Arial"/>
        </w:rPr>
        <w:t xml:space="preserve"> </w:t>
      </w:r>
      <w:r w:rsidR="005E6E8D" w:rsidRPr="00812C16">
        <w:rPr>
          <w:rFonts w:cs="Arial"/>
        </w:rPr>
        <w:fldChar w:fldCharType="begin"/>
      </w:r>
      <w:r w:rsidR="005E6E8D" w:rsidRPr="00812C16">
        <w:rPr>
          <w:rFonts w:cs="Arial"/>
        </w:rPr>
        <w:instrText xml:space="preserve"> REF _Ref87695915 \h </w:instrText>
      </w:r>
      <w:r w:rsidR="00093D86" w:rsidRPr="00812C16">
        <w:rPr>
          <w:rFonts w:cs="Arial"/>
        </w:rPr>
        <w:instrText xml:space="preserve"> \* MERGEFORMAT </w:instrText>
      </w:r>
      <w:r w:rsidR="005E6E8D" w:rsidRPr="00812C16">
        <w:rPr>
          <w:rFonts w:cs="Arial"/>
        </w:rPr>
      </w:r>
      <w:r w:rsidR="005E6E8D" w:rsidRPr="00812C16">
        <w:rPr>
          <w:rFonts w:cs="Arial"/>
        </w:rPr>
        <w:fldChar w:fldCharType="separate"/>
      </w:r>
      <w:r w:rsidR="00F67803" w:rsidRPr="00812C16">
        <w:rPr>
          <w:rFonts w:cs="Arial"/>
        </w:rPr>
        <w:t xml:space="preserve">Tabelle </w:t>
      </w:r>
      <w:r w:rsidR="00F67803" w:rsidRPr="00F67803">
        <w:rPr>
          <w:rFonts w:cs="Arial"/>
          <w:noProof/>
        </w:rPr>
        <w:t>3</w:t>
      </w:r>
      <w:r w:rsidR="00F67803" w:rsidRPr="00812C16">
        <w:rPr>
          <w:rFonts w:cs="Arial"/>
          <w:noProof/>
        </w:rPr>
        <w:noBreakHyphen/>
      </w:r>
      <w:r w:rsidR="00F67803" w:rsidRPr="00F67803">
        <w:rPr>
          <w:rFonts w:cs="Arial"/>
          <w:noProof/>
        </w:rPr>
        <w:t>1</w:t>
      </w:r>
      <w:r w:rsidR="005E6E8D" w:rsidRPr="00812C16">
        <w:rPr>
          <w:rFonts w:cs="Arial"/>
        </w:rPr>
        <w:fldChar w:fldCharType="end"/>
      </w:r>
      <w:r w:rsidR="00A17C33" w:rsidRPr="00812C16">
        <w:rPr>
          <w:rFonts w:cs="Arial"/>
        </w:rPr>
        <w:t xml:space="preserve"> </w:t>
      </w:r>
      <w:r w:rsidR="00434F24" w:rsidRPr="00812C16">
        <w:rPr>
          <w:rFonts w:cs="Arial"/>
        </w:rPr>
        <w:t>nochm</w:t>
      </w:r>
      <w:r w:rsidR="00CA4BA1" w:rsidRPr="00812C16">
        <w:rPr>
          <w:rFonts w:cs="Arial"/>
        </w:rPr>
        <w:t xml:space="preserve">als übersichtlich dargestellt. </w:t>
      </w:r>
      <w:r w:rsidR="00AF23D1" w:rsidRPr="00812C16">
        <w:rPr>
          <w:rFonts w:cs="Arial"/>
          <w:shd w:val="clear" w:color="auto" w:fill="FFFF00"/>
        </w:rPr>
        <w:t xml:space="preserve"> </w:t>
      </w:r>
      <w:r w:rsidR="00093D86" w:rsidRPr="00812C16">
        <w:rPr>
          <w:rFonts w:cs="Arial"/>
          <w:shd w:val="clear" w:color="auto" w:fill="FFFF00"/>
        </w:rPr>
        <w:t xml:space="preserve">Die </w:t>
      </w:r>
      <w:r w:rsidR="00883805" w:rsidRPr="00812C16">
        <w:rPr>
          <w:rFonts w:cs="Arial"/>
          <w:shd w:val="clear" w:color="auto" w:fill="FFFF00"/>
        </w:rPr>
        <w:t xml:space="preserve">Patientenmerkmale sind in der </w:t>
      </w:r>
      <w:r w:rsidR="00883805" w:rsidRPr="00812C16">
        <w:rPr>
          <w:rFonts w:cs="Arial"/>
          <w:shd w:val="clear" w:color="auto" w:fill="FFFF00"/>
        </w:rPr>
        <w:fldChar w:fldCharType="begin"/>
      </w:r>
      <w:r w:rsidR="00883805" w:rsidRPr="00812C16">
        <w:rPr>
          <w:rFonts w:cs="Arial"/>
          <w:shd w:val="clear" w:color="auto" w:fill="FFFF00"/>
        </w:rPr>
        <w:instrText xml:space="preserve"> REF _Ref85362175 \h  \* MERGEFORMAT </w:instrText>
      </w:r>
      <w:r w:rsidR="00883805" w:rsidRPr="00812C16">
        <w:rPr>
          <w:rFonts w:cs="Arial"/>
          <w:shd w:val="clear" w:color="auto" w:fill="FFFF00"/>
        </w:rPr>
      </w:r>
      <w:r w:rsidR="00883805" w:rsidRPr="00812C16">
        <w:rPr>
          <w:rFonts w:cs="Arial"/>
          <w:shd w:val="clear" w:color="auto" w:fill="FFFF00"/>
        </w:rPr>
        <w:fldChar w:fldCharType="separate"/>
      </w:r>
      <w:r w:rsidR="00F67803" w:rsidRPr="00F67803">
        <w:rPr>
          <w:rFonts w:cs="Arial"/>
          <w:shd w:val="clear" w:color="auto" w:fill="FFFF00"/>
        </w:rPr>
        <w:t xml:space="preserve">Tabelle </w:t>
      </w:r>
      <w:r w:rsidR="00F67803" w:rsidRPr="00F67803">
        <w:rPr>
          <w:rFonts w:cs="Arial"/>
          <w:noProof/>
          <w:shd w:val="clear" w:color="auto" w:fill="FFFF00"/>
        </w:rPr>
        <w:t>4</w:t>
      </w:r>
      <w:r w:rsidR="00F67803" w:rsidRPr="00F67803">
        <w:rPr>
          <w:rFonts w:cs="Arial"/>
          <w:noProof/>
          <w:shd w:val="clear" w:color="auto" w:fill="FFFF00"/>
        </w:rPr>
        <w:noBreakHyphen/>
        <w:t>1</w:t>
      </w:r>
      <w:r w:rsidR="00883805" w:rsidRPr="00812C16">
        <w:rPr>
          <w:rFonts w:cs="Arial"/>
          <w:shd w:val="clear" w:color="auto" w:fill="FFFF00"/>
        </w:rPr>
        <w:fldChar w:fldCharType="end"/>
      </w:r>
      <w:r w:rsidR="00883805" w:rsidRPr="00812C16">
        <w:rPr>
          <w:rFonts w:cs="Arial"/>
          <w:shd w:val="clear" w:color="auto" w:fill="FFFF00"/>
        </w:rPr>
        <w:t xml:space="preserve"> dargestellt.</w:t>
      </w:r>
    </w:p>
    <w:p w14:paraId="1480B218" w14:textId="4AFCF507" w:rsidR="00707BA0" w:rsidRPr="00812C16" w:rsidRDefault="00083C25" w:rsidP="005F6CBA">
      <w:pPr>
        <w:pStyle w:val="Beschriftung"/>
        <w:spacing w:before="120" w:after="0"/>
        <w:rPr>
          <w:rFonts w:cs="Arial"/>
          <w:i w:val="0"/>
          <w:iCs w:val="0"/>
          <w:color w:val="auto"/>
          <w:sz w:val="24"/>
          <w:szCs w:val="24"/>
        </w:rPr>
      </w:pPr>
      <w:bookmarkStart w:id="36" w:name="_Ref87695915"/>
      <w:bookmarkStart w:id="37" w:name="_Toc180788390"/>
      <w:r w:rsidRPr="00812C16">
        <w:rPr>
          <w:rFonts w:cs="Arial"/>
          <w:i w:val="0"/>
          <w:iCs w:val="0"/>
          <w:color w:val="auto"/>
          <w:sz w:val="24"/>
          <w:szCs w:val="24"/>
        </w:rPr>
        <w:t xml:space="preserve">Tabelle </w:t>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STYLEREF 1 \s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3</w:t>
      </w:r>
      <w:r w:rsidR="00A126D9" w:rsidRPr="00812C16">
        <w:rPr>
          <w:rFonts w:cs="Arial"/>
          <w:i w:val="0"/>
          <w:iCs w:val="0"/>
          <w:color w:val="auto"/>
          <w:sz w:val="24"/>
          <w:szCs w:val="24"/>
        </w:rPr>
        <w:fldChar w:fldCharType="end"/>
      </w:r>
      <w:r w:rsidR="00A126D9" w:rsidRPr="00812C16">
        <w:rPr>
          <w:rFonts w:cs="Arial"/>
          <w:i w:val="0"/>
          <w:iCs w:val="0"/>
          <w:color w:val="auto"/>
          <w:sz w:val="24"/>
          <w:szCs w:val="24"/>
        </w:rPr>
        <w:noBreakHyphen/>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SEQ Tabelle \* ARABIC \s 1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1</w:t>
      </w:r>
      <w:r w:rsidR="00A126D9" w:rsidRPr="00812C16">
        <w:rPr>
          <w:rFonts w:cs="Arial"/>
          <w:i w:val="0"/>
          <w:iCs w:val="0"/>
          <w:color w:val="auto"/>
          <w:sz w:val="24"/>
          <w:szCs w:val="24"/>
        </w:rPr>
        <w:fldChar w:fldCharType="end"/>
      </w:r>
      <w:bookmarkEnd w:id="36"/>
      <w:r w:rsidRPr="00812C16">
        <w:rPr>
          <w:rFonts w:cs="Arial"/>
          <w:i w:val="0"/>
          <w:iCs w:val="0"/>
          <w:color w:val="auto"/>
          <w:sz w:val="24"/>
          <w:szCs w:val="24"/>
        </w:rPr>
        <w:t xml:space="preserve">: Einschlusskriterien </w:t>
      </w:r>
      <w:r w:rsidR="00E963C9" w:rsidRPr="00812C16">
        <w:rPr>
          <w:rFonts w:cs="Arial"/>
          <w:i w:val="0"/>
          <w:iCs w:val="0"/>
          <w:color w:val="auto"/>
          <w:sz w:val="24"/>
          <w:szCs w:val="24"/>
        </w:rPr>
        <w:t>für Patienten</w:t>
      </w:r>
      <w:bookmarkEnd w:id="37"/>
    </w:p>
    <w:tbl>
      <w:tblPr>
        <w:tblStyle w:val="Tabellenraster"/>
        <w:tblW w:w="0" w:type="auto"/>
        <w:tblLook w:val="04A0" w:firstRow="1" w:lastRow="0" w:firstColumn="1" w:lastColumn="0" w:noHBand="0" w:noVBand="1"/>
      </w:tblPr>
      <w:tblGrid>
        <w:gridCol w:w="3539"/>
        <w:gridCol w:w="5523"/>
      </w:tblGrid>
      <w:tr w:rsidR="00C636EE" w:rsidRPr="00812C16" w14:paraId="44B259DD" w14:textId="77777777" w:rsidTr="00A030B5">
        <w:tc>
          <w:tcPr>
            <w:tcW w:w="9062" w:type="dxa"/>
            <w:gridSpan w:val="2"/>
            <w:tcBorders>
              <w:left w:val="nil"/>
              <w:right w:val="nil"/>
            </w:tcBorders>
          </w:tcPr>
          <w:p w14:paraId="283CEF3A" w14:textId="77777777" w:rsidR="00C636EE" w:rsidRPr="00812C16" w:rsidRDefault="00FB526C" w:rsidP="00E90946">
            <w:pPr>
              <w:spacing w:line="360" w:lineRule="auto"/>
              <w:rPr>
                <w:rFonts w:cs="Arial"/>
                <w:b/>
                <w:bCs/>
                <w:sz w:val="18"/>
                <w:szCs w:val="18"/>
              </w:rPr>
            </w:pPr>
            <w:r w:rsidRPr="00812C16">
              <w:rPr>
                <w:rFonts w:cs="Arial"/>
                <w:b/>
                <w:bCs/>
                <w:sz w:val="18"/>
                <w:szCs w:val="18"/>
              </w:rPr>
              <w:t>E</w:t>
            </w:r>
            <w:r w:rsidR="00B06F23" w:rsidRPr="00812C16">
              <w:rPr>
                <w:rFonts w:cs="Arial"/>
                <w:b/>
                <w:bCs/>
                <w:sz w:val="18"/>
                <w:szCs w:val="18"/>
              </w:rPr>
              <w:t xml:space="preserve">inschlusskriterien </w:t>
            </w:r>
            <w:r w:rsidR="0079741B" w:rsidRPr="00812C16">
              <w:rPr>
                <w:rFonts w:cs="Arial"/>
                <w:b/>
                <w:bCs/>
                <w:sz w:val="18"/>
                <w:szCs w:val="18"/>
              </w:rPr>
              <w:t xml:space="preserve">für </w:t>
            </w:r>
            <w:r w:rsidR="00B06F23" w:rsidRPr="00812C16">
              <w:rPr>
                <w:rFonts w:cs="Arial"/>
                <w:b/>
                <w:bCs/>
                <w:sz w:val="18"/>
                <w:szCs w:val="18"/>
              </w:rPr>
              <w:t>Patienten</w:t>
            </w:r>
          </w:p>
        </w:tc>
      </w:tr>
      <w:tr w:rsidR="00915CC5" w:rsidRPr="00812C16" w14:paraId="27F92E34" w14:textId="77777777" w:rsidTr="00A030B5">
        <w:tc>
          <w:tcPr>
            <w:tcW w:w="3539" w:type="dxa"/>
            <w:tcBorders>
              <w:left w:val="nil"/>
              <w:bottom w:val="nil"/>
              <w:right w:val="nil"/>
            </w:tcBorders>
          </w:tcPr>
          <w:p w14:paraId="092E4C4E" w14:textId="77777777" w:rsidR="00BA24D6" w:rsidRPr="00812C16" w:rsidRDefault="00BA24D6" w:rsidP="00E90946">
            <w:pPr>
              <w:spacing w:line="360" w:lineRule="auto"/>
              <w:rPr>
                <w:rFonts w:cs="Arial"/>
                <w:sz w:val="18"/>
                <w:szCs w:val="18"/>
              </w:rPr>
            </w:pPr>
            <w:r w:rsidRPr="00812C16">
              <w:rPr>
                <w:rFonts w:cs="Arial"/>
                <w:sz w:val="18"/>
                <w:szCs w:val="18"/>
              </w:rPr>
              <w:t>Histologie</w:t>
            </w:r>
          </w:p>
        </w:tc>
        <w:tc>
          <w:tcPr>
            <w:tcW w:w="5523" w:type="dxa"/>
            <w:tcBorders>
              <w:left w:val="nil"/>
              <w:bottom w:val="nil"/>
              <w:right w:val="nil"/>
            </w:tcBorders>
          </w:tcPr>
          <w:p w14:paraId="5031F7B8" w14:textId="77777777" w:rsidR="00915CC5" w:rsidRPr="00812C16" w:rsidRDefault="00285AAA" w:rsidP="00E90946">
            <w:pPr>
              <w:spacing w:line="360" w:lineRule="auto"/>
              <w:rPr>
                <w:rFonts w:cs="Arial"/>
                <w:sz w:val="18"/>
                <w:szCs w:val="18"/>
              </w:rPr>
            </w:pPr>
            <w:r w:rsidRPr="00812C16">
              <w:rPr>
                <w:rFonts w:cs="Arial"/>
                <w:sz w:val="18"/>
                <w:szCs w:val="18"/>
              </w:rPr>
              <w:t>Histologisch gesichertes Plattenepithelkarzinom</w:t>
            </w:r>
          </w:p>
        </w:tc>
      </w:tr>
      <w:tr w:rsidR="00915CC5" w:rsidRPr="00812C16" w14:paraId="4D37FBA9" w14:textId="77777777" w:rsidTr="00A030B5">
        <w:tc>
          <w:tcPr>
            <w:tcW w:w="3539" w:type="dxa"/>
            <w:tcBorders>
              <w:top w:val="nil"/>
              <w:left w:val="nil"/>
              <w:bottom w:val="nil"/>
              <w:right w:val="nil"/>
            </w:tcBorders>
          </w:tcPr>
          <w:p w14:paraId="1D6E4AFF" w14:textId="77777777" w:rsidR="00915CC5" w:rsidRPr="00812C16" w:rsidRDefault="00BA24D6" w:rsidP="00E90946">
            <w:pPr>
              <w:spacing w:line="360" w:lineRule="auto"/>
              <w:rPr>
                <w:rFonts w:cs="Arial"/>
                <w:sz w:val="18"/>
                <w:szCs w:val="18"/>
              </w:rPr>
            </w:pPr>
            <w:r w:rsidRPr="00812C16">
              <w:rPr>
                <w:rFonts w:cs="Arial"/>
                <w:sz w:val="18"/>
                <w:szCs w:val="18"/>
              </w:rPr>
              <w:t>Tumorlokalisation</w:t>
            </w:r>
          </w:p>
        </w:tc>
        <w:tc>
          <w:tcPr>
            <w:tcW w:w="5523" w:type="dxa"/>
            <w:tcBorders>
              <w:top w:val="nil"/>
              <w:left w:val="nil"/>
              <w:bottom w:val="nil"/>
              <w:right w:val="nil"/>
            </w:tcBorders>
          </w:tcPr>
          <w:p w14:paraId="2B3FE4C4" w14:textId="77777777" w:rsidR="00915CC5" w:rsidRPr="00812C16" w:rsidRDefault="0040303C" w:rsidP="00E90946">
            <w:pPr>
              <w:spacing w:line="360" w:lineRule="auto"/>
              <w:rPr>
                <w:rFonts w:cs="Arial"/>
                <w:sz w:val="18"/>
                <w:szCs w:val="18"/>
              </w:rPr>
            </w:pPr>
            <w:r w:rsidRPr="00812C16">
              <w:rPr>
                <w:rFonts w:cs="Arial"/>
                <w:sz w:val="18"/>
                <w:szCs w:val="18"/>
              </w:rPr>
              <w:t xml:space="preserve">Mundhöhlen-, Oro- oder </w:t>
            </w:r>
            <w:r w:rsidR="008656F5" w:rsidRPr="00812C16">
              <w:rPr>
                <w:rFonts w:cs="Arial"/>
                <w:sz w:val="18"/>
                <w:szCs w:val="18"/>
              </w:rPr>
              <w:t>Hypopharynxkarzinom</w:t>
            </w:r>
            <w:r w:rsidRPr="00812C16">
              <w:rPr>
                <w:rFonts w:cs="Arial"/>
                <w:sz w:val="18"/>
                <w:szCs w:val="18"/>
              </w:rPr>
              <w:t xml:space="preserve"> </w:t>
            </w:r>
          </w:p>
        </w:tc>
      </w:tr>
      <w:tr w:rsidR="00915CC5" w:rsidRPr="00812C16" w14:paraId="695E65D9" w14:textId="77777777" w:rsidTr="00A030B5">
        <w:tc>
          <w:tcPr>
            <w:tcW w:w="3539" w:type="dxa"/>
            <w:tcBorders>
              <w:top w:val="nil"/>
              <w:left w:val="nil"/>
              <w:bottom w:val="nil"/>
              <w:right w:val="nil"/>
            </w:tcBorders>
          </w:tcPr>
          <w:p w14:paraId="77BE4EAB" w14:textId="77777777" w:rsidR="00915CC5" w:rsidRPr="00812C16" w:rsidRDefault="00BA24D6" w:rsidP="00E90946">
            <w:pPr>
              <w:spacing w:line="360" w:lineRule="auto"/>
              <w:rPr>
                <w:rFonts w:cs="Arial"/>
                <w:sz w:val="18"/>
                <w:szCs w:val="18"/>
              </w:rPr>
            </w:pPr>
            <w:r w:rsidRPr="00812C16">
              <w:rPr>
                <w:rFonts w:cs="Arial"/>
                <w:sz w:val="18"/>
                <w:szCs w:val="18"/>
              </w:rPr>
              <w:lastRenderedPageBreak/>
              <w:t>Behandlung</w:t>
            </w:r>
          </w:p>
        </w:tc>
        <w:tc>
          <w:tcPr>
            <w:tcW w:w="5523" w:type="dxa"/>
            <w:tcBorders>
              <w:top w:val="nil"/>
              <w:left w:val="nil"/>
              <w:bottom w:val="nil"/>
              <w:right w:val="nil"/>
            </w:tcBorders>
          </w:tcPr>
          <w:p w14:paraId="5ADCF2E0" w14:textId="77777777" w:rsidR="00915CC5" w:rsidRPr="00812C16" w:rsidRDefault="002D2DA3" w:rsidP="00E90946">
            <w:pPr>
              <w:spacing w:line="360" w:lineRule="auto"/>
              <w:rPr>
                <w:rFonts w:cs="Arial"/>
                <w:sz w:val="18"/>
                <w:szCs w:val="18"/>
              </w:rPr>
            </w:pPr>
            <w:r w:rsidRPr="00812C16">
              <w:rPr>
                <w:rFonts w:cs="Arial"/>
                <w:sz w:val="18"/>
                <w:szCs w:val="18"/>
              </w:rPr>
              <w:t>Zwischen 2004 und 2012</w:t>
            </w:r>
          </w:p>
        </w:tc>
      </w:tr>
      <w:tr w:rsidR="00915CC5" w:rsidRPr="00812C16" w14:paraId="441A6AB0" w14:textId="77777777" w:rsidTr="00A030B5">
        <w:tc>
          <w:tcPr>
            <w:tcW w:w="3539" w:type="dxa"/>
            <w:tcBorders>
              <w:top w:val="nil"/>
              <w:left w:val="nil"/>
              <w:bottom w:val="nil"/>
              <w:right w:val="nil"/>
            </w:tcBorders>
          </w:tcPr>
          <w:p w14:paraId="657613F1" w14:textId="77777777" w:rsidR="00915CC5" w:rsidRPr="00812C16" w:rsidRDefault="00DA6C6C" w:rsidP="00E90946">
            <w:pPr>
              <w:spacing w:line="360" w:lineRule="auto"/>
              <w:rPr>
                <w:rFonts w:cs="Arial"/>
                <w:sz w:val="18"/>
                <w:szCs w:val="18"/>
              </w:rPr>
            </w:pPr>
            <w:r w:rsidRPr="00812C16">
              <w:rPr>
                <w:rFonts w:cs="Arial"/>
                <w:sz w:val="18"/>
                <w:szCs w:val="18"/>
              </w:rPr>
              <w:t>Lokal fortgeschrittene Erkrankung</w:t>
            </w:r>
            <w:r w:rsidR="00FC3E7B" w:rsidRPr="00812C16">
              <w:rPr>
                <w:rFonts w:cs="Arial"/>
                <w:sz w:val="18"/>
                <w:szCs w:val="18"/>
              </w:rPr>
              <w:t xml:space="preserve"> </w:t>
            </w:r>
          </w:p>
        </w:tc>
        <w:tc>
          <w:tcPr>
            <w:tcW w:w="5523" w:type="dxa"/>
            <w:tcBorders>
              <w:top w:val="nil"/>
              <w:left w:val="nil"/>
              <w:bottom w:val="nil"/>
              <w:right w:val="nil"/>
            </w:tcBorders>
          </w:tcPr>
          <w:p w14:paraId="7DE7E3C8" w14:textId="77777777" w:rsidR="00915CC5" w:rsidRPr="00812C16" w:rsidRDefault="002D2DA3" w:rsidP="00E90946">
            <w:pPr>
              <w:spacing w:line="360" w:lineRule="auto"/>
              <w:rPr>
                <w:rFonts w:cs="Arial"/>
                <w:sz w:val="18"/>
                <w:szCs w:val="18"/>
              </w:rPr>
            </w:pPr>
            <w:r w:rsidRPr="00812C16">
              <w:rPr>
                <w:rFonts w:cs="Arial"/>
                <w:sz w:val="18"/>
                <w:szCs w:val="18"/>
              </w:rPr>
              <w:t>K</w:t>
            </w:r>
            <w:r w:rsidR="00091A39" w:rsidRPr="00812C16">
              <w:rPr>
                <w:rFonts w:cs="Arial"/>
                <w:sz w:val="18"/>
                <w:szCs w:val="18"/>
              </w:rPr>
              <w:t xml:space="preserve">urativ </w:t>
            </w:r>
            <w:r w:rsidR="00861713" w:rsidRPr="00812C16">
              <w:rPr>
                <w:rFonts w:cs="Arial"/>
                <w:sz w:val="18"/>
                <w:szCs w:val="18"/>
              </w:rPr>
              <w:t>intendierte</w:t>
            </w:r>
            <w:r w:rsidR="00091A39" w:rsidRPr="00812C16">
              <w:rPr>
                <w:rFonts w:cs="Arial"/>
                <w:sz w:val="18"/>
                <w:szCs w:val="18"/>
              </w:rPr>
              <w:t xml:space="preserve"> </w:t>
            </w:r>
            <w:r w:rsidR="00861713" w:rsidRPr="00812C16">
              <w:rPr>
                <w:rFonts w:cs="Arial"/>
                <w:sz w:val="18"/>
                <w:szCs w:val="18"/>
              </w:rPr>
              <w:t>Cisplatin</w:t>
            </w:r>
            <w:r w:rsidR="00091A39" w:rsidRPr="00812C16">
              <w:rPr>
                <w:rFonts w:cs="Arial"/>
                <w:sz w:val="18"/>
                <w:szCs w:val="18"/>
              </w:rPr>
              <w:t>-basierte Radiochemotherapie der Tumorregion und der Hals</w:t>
            </w:r>
            <w:r w:rsidR="008656F5" w:rsidRPr="00812C16">
              <w:rPr>
                <w:rFonts w:cs="Arial"/>
                <w:sz w:val="18"/>
                <w:szCs w:val="18"/>
              </w:rPr>
              <w:t>lymphknoten</w:t>
            </w:r>
          </w:p>
        </w:tc>
      </w:tr>
      <w:tr w:rsidR="00915CC5" w:rsidRPr="00812C16" w14:paraId="23A9B941" w14:textId="77777777" w:rsidTr="00A030B5">
        <w:tc>
          <w:tcPr>
            <w:tcW w:w="3539" w:type="dxa"/>
            <w:tcBorders>
              <w:top w:val="nil"/>
              <w:left w:val="nil"/>
              <w:bottom w:val="nil"/>
              <w:right w:val="nil"/>
            </w:tcBorders>
          </w:tcPr>
          <w:p w14:paraId="447BC5AB" w14:textId="77777777" w:rsidR="00915CC5" w:rsidRPr="00812C16" w:rsidRDefault="00DA6C6C" w:rsidP="00E90946">
            <w:pPr>
              <w:spacing w:line="360" w:lineRule="auto"/>
              <w:rPr>
                <w:rFonts w:cs="Arial"/>
                <w:sz w:val="18"/>
                <w:szCs w:val="18"/>
              </w:rPr>
            </w:pPr>
            <w:r w:rsidRPr="00812C16">
              <w:rPr>
                <w:rFonts w:cs="Arial"/>
                <w:sz w:val="18"/>
                <w:szCs w:val="18"/>
              </w:rPr>
              <w:t>Follow-up</w:t>
            </w:r>
          </w:p>
        </w:tc>
        <w:tc>
          <w:tcPr>
            <w:tcW w:w="5523" w:type="dxa"/>
            <w:tcBorders>
              <w:top w:val="nil"/>
              <w:left w:val="nil"/>
              <w:bottom w:val="nil"/>
              <w:right w:val="nil"/>
            </w:tcBorders>
          </w:tcPr>
          <w:p w14:paraId="5B5B01E4" w14:textId="77777777" w:rsidR="00335949" w:rsidRPr="00812C16" w:rsidRDefault="00335949" w:rsidP="00335949">
            <w:pPr>
              <w:spacing w:line="360" w:lineRule="auto"/>
              <w:rPr>
                <w:rFonts w:cs="Arial"/>
                <w:sz w:val="18"/>
                <w:szCs w:val="18"/>
              </w:rPr>
            </w:pPr>
            <w:r w:rsidRPr="00812C16">
              <w:rPr>
                <w:rFonts w:cs="Arial"/>
                <w:sz w:val="18"/>
                <w:szCs w:val="18"/>
              </w:rPr>
              <w:t>mindestens 24 Monate ohne fortschreitende Erkrankung</w:t>
            </w:r>
          </w:p>
          <w:p w14:paraId="4D6480B0" w14:textId="77777777" w:rsidR="00915CC5" w:rsidRPr="00812C16" w:rsidRDefault="00915CC5" w:rsidP="00E90946">
            <w:pPr>
              <w:spacing w:line="360" w:lineRule="auto"/>
              <w:rPr>
                <w:rFonts w:cs="Arial"/>
                <w:sz w:val="18"/>
                <w:szCs w:val="18"/>
              </w:rPr>
            </w:pPr>
          </w:p>
        </w:tc>
      </w:tr>
      <w:tr w:rsidR="00915CC5" w:rsidRPr="00812C16" w14:paraId="7D902310" w14:textId="77777777" w:rsidTr="00A030B5">
        <w:tc>
          <w:tcPr>
            <w:tcW w:w="3539" w:type="dxa"/>
            <w:tcBorders>
              <w:top w:val="nil"/>
              <w:left w:val="nil"/>
              <w:bottom w:val="nil"/>
              <w:right w:val="nil"/>
            </w:tcBorders>
          </w:tcPr>
          <w:p w14:paraId="4134B9DF" w14:textId="77777777" w:rsidR="00915CC5" w:rsidRPr="00812C16" w:rsidRDefault="00D669D8" w:rsidP="00E90946">
            <w:pPr>
              <w:spacing w:line="360" w:lineRule="auto"/>
              <w:rPr>
                <w:rFonts w:cs="Arial"/>
                <w:sz w:val="18"/>
                <w:szCs w:val="18"/>
              </w:rPr>
            </w:pPr>
            <w:r w:rsidRPr="00812C16">
              <w:rPr>
                <w:rFonts w:cs="Arial"/>
                <w:sz w:val="18"/>
                <w:szCs w:val="18"/>
              </w:rPr>
              <w:t>Biomaterial</w:t>
            </w:r>
          </w:p>
        </w:tc>
        <w:tc>
          <w:tcPr>
            <w:tcW w:w="5523" w:type="dxa"/>
            <w:tcBorders>
              <w:top w:val="nil"/>
              <w:left w:val="nil"/>
              <w:bottom w:val="nil"/>
              <w:right w:val="nil"/>
            </w:tcBorders>
          </w:tcPr>
          <w:p w14:paraId="1ECB6FE3" w14:textId="77777777" w:rsidR="00915CC5" w:rsidRPr="00812C16" w:rsidRDefault="00A41BED" w:rsidP="00E90946">
            <w:pPr>
              <w:spacing w:line="360" w:lineRule="auto"/>
              <w:rPr>
                <w:rFonts w:cs="Arial"/>
                <w:sz w:val="18"/>
                <w:szCs w:val="18"/>
              </w:rPr>
            </w:pPr>
            <w:r w:rsidRPr="00812C16">
              <w:rPr>
                <w:rFonts w:cs="Arial"/>
                <w:sz w:val="18"/>
                <w:szCs w:val="18"/>
              </w:rPr>
              <w:t>FFPE-Material</w:t>
            </w:r>
          </w:p>
        </w:tc>
      </w:tr>
      <w:tr w:rsidR="00C636EE" w:rsidRPr="00812C16" w14:paraId="49299B99" w14:textId="77777777" w:rsidTr="00A030B5">
        <w:tc>
          <w:tcPr>
            <w:tcW w:w="3539" w:type="dxa"/>
            <w:tcBorders>
              <w:top w:val="nil"/>
              <w:left w:val="nil"/>
              <w:right w:val="nil"/>
            </w:tcBorders>
          </w:tcPr>
          <w:p w14:paraId="1D9E2795" w14:textId="77777777" w:rsidR="00C636EE" w:rsidRPr="00812C16" w:rsidRDefault="005556F0" w:rsidP="00E90946">
            <w:pPr>
              <w:spacing w:line="360" w:lineRule="auto"/>
              <w:rPr>
                <w:rFonts w:cs="Arial"/>
                <w:sz w:val="18"/>
                <w:szCs w:val="18"/>
              </w:rPr>
            </w:pPr>
            <w:r w:rsidRPr="00812C16">
              <w:rPr>
                <w:rFonts w:cs="Arial"/>
                <w:sz w:val="18"/>
                <w:szCs w:val="18"/>
              </w:rPr>
              <w:t>Therapiepläne</w:t>
            </w:r>
            <w:r w:rsidR="00D669D8" w:rsidRPr="00812C16">
              <w:rPr>
                <w:rFonts w:cs="Arial"/>
                <w:sz w:val="18"/>
                <w:szCs w:val="18"/>
              </w:rPr>
              <w:t xml:space="preserve"> und Bildgebung</w:t>
            </w:r>
          </w:p>
        </w:tc>
        <w:tc>
          <w:tcPr>
            <w:tcW w:w="5523" w:type="dxa"/>
            <w:tcBorders>
              <w:top w:val="nil"/>
              <w:left w:val="nil"/>
              <w:right w:val="nil"/>
            </w:tcBorders>
          </w:tcPr>
          <w:p w14:paraId="576141E4" w14:textId="77777777" w:rsidR="00C636EE" w:rsidRPr="00812C16" w:rsidRDefault="005556F0" w:rsidP="00E90946">
            <w:pPr>
              <w:spacing w:line="360" w:lineRule="auto"/>
              <w:rPr>
                <w:rFonts w:cs="Arial"/>
                <w:sz w:val="18"/>
                <w:szCs w:val="18"/>
              </w:rPr>
            </w:pPr>
            <w:r w:rsidRPr="00812C16">
              <w:rPr>
                <w:rFonts w:cs="Arial"/>
                <w:sz w:val="18"/>
                <w:szCs w:val="18"/>
              </w:rPr>
              <w:t>Bestrahlungspläne, CT, MRT oder PET-CT</w:t>
            </w:r>
            <w:r w:rsidR="00F93AF2" w:rsidRPr="00812C16">
              <w:rPr>
                <w:rFonts w:cs="Arial"/>
                <w:sz w:val="18"/>
                <w:szCs w:val="18"/>
              </w:rPr>
              <w:t xml:space="preserve"> </w:t>
            </w:r>
          </w:p>
        </w:tc>
      </w:tr>
    </w:tbl>
    <w:p w14:paraId="5C431944" w14:textId="77777777" w:rsidR="0053616D" w:rsidRPr="00812C16" w:rsidRDefault="00450EF2" w:rsidP="00093D86">
      <w:pPr>
        <w:spacing w:before="120"/>
        <w:rPr>
          <w:rFonts w:cs="Arial"/>
        </w:rPr>
      </w:pPr>
      <w:r w:rsidRPr="00812C16">
        <w:rPr>
          <w:rFonts w:cs="Arial"/>
        </w:rPr>
        <w:t xml:space="preserve">Nachträglich wurden </w:t>
      </w:r>
      <w:r w:rsidR="00114FC2" w:rsidRPr="00812C16">
        <w:rPr>
          <w:rFonts w:cs="Arial"/>
        </w:rPr>
        <w:t>26 Patienten aufgrund von unzureichendem Biomaterial oder Nichterfüll</w:t>
      </w:r>
      <w:r w:rsidR="00671EE7" w:rsidRPr="00812C16">
        <w:rPr>
          <w:rFonts w:cs="Arial"/>
        </w:rPr>
        <w:t>en der Einschlusskriterien ausgeschlossen</w:t>
      </w:r>
      <w:r w:rsidR="007E0528" w:rsidRPr="00812C16">
        <w:rPr>
          <w:rFonts w:cs="Arial"/>
        </w:rPr>
        <w:t xml:space="preserve">. </w:t>
      </w:r>
      <w:r w:rsidR="0042149B" w:rsidRPr="00812C16">
        <w:rPr>
          <w:rFonts w:cs="Arial"/>
        </w:rPr>
        <w:t>Folglich waren für</w:t>
      </w:r>
      <w:r w:rsidR="006315FF" w:rsidRPr="00812C16">
        <w:rPr>
          <w:rFonts w:cs="Arial"/>
        </w:rPr>
        <w:t xml:space="preserve"> das vorliegender Projekt</w:t>
      </w:r>
      <w:r w:rsidR="003127A4" w:rsidRPr="00812C16">
        <w:rPr>
          <w:rFonts w:cs="Arial"/>
        </w:rPr>
        <w:t xml:space="preserve"> 195 in Formalin fixierte und in Paraffin eingebettete (FFPE) Operationspräparate verfügbar die nach standardisierten Verfahren am DKTK-Partnerstandort Dresden verarbeitet wurden</w:t>
      </w:r>
      <w:r w:rsidR="0014771E" w:rsidRPr="00812C16">
        <w:rPr>
          <w:rFonts w:cs="Arial"/>
        </w:rPr>
        <w:t xml:space="preserve"> und für </w:t>
      </w:r>
      <w:r w:rsidR="00327BCE" w:rsidRPr="00812C16">
        <w:rPr>
          <w:rFonts w:cs="Arial"/>
        </w:rPr>
        <w:t xml:space="preserve">die </w:t>
      </w:r>
      <w:r w:rsidR="0079362B" w:rsidRPr="00812C16">
        <w:rPr>
          <w:rFonts w:cs="Arial"/>
        </w:rPr>
        <w:t>Biomarker</w:t>
      </w:r>
      <w:r w:rsidR="00F36867" w:rsidRPr="00812C16">
        <w:rPr>
          <w:rFonts w:cs="Arial"/>
        </w:rPr>
        <w:t>analyse</w:t>
      </w:r>
      <w:r w:rsidR="0079362B" w:rsidRPr="00812C16">
        <w:rPr>
          <w:rFonts w:cs="Arial"/>
        </w:rPr>
        <w:t xml:space="preserve"> zur </w:t>
      </w:r>
      <w:r w:rsidR="00F36867" w:rsidRPr="00812C16">
        <w:rPr>
          <w:rFonts w:cs="Arial"/>
        </w:rPr>
        <w:t>Verfügung</w:t>
      </w:r>
      <w:r w:rsidR="0079362B" w:rsidRPr="00812C16">
        <w:rPr>
          <w:rFonts w:cs="Arial"/>
        </w:rPr>
        <w:t xml:space="preserve"> standen. </w:t>
      </w:r>
    </w:p>
    <w:p w14:paraId="152D39FF" w14:textId="77777777" w:rsidR="00D878CF" w:rsidRPr="00812C16" w:rsidRDefault="00D878CF" w:rsidP="008C6A11">
      <w:pPr>
        <w:pStyle w:val="berschrift2"/>
        <w:rPr>
          <w:rFonts w:cs="Arial"/>
        </w:rPr>
      </w:pPr>
      <w:bookmarkStart w:id="38" w:name="_Toc158006529"/>
      <w:r w:rsidRPr="00812C16">
        <w:rPr>
          <w:rFonts w:cs="Arial"/>
        </w:rPr>
        <w:t>Immunhistologische Analysen</w:t>
      </w:r>
      <w:bookmarkEnd w:id="38"/>
    </w:p>
    <w:p w14:paraId="03169B85" w14:textId="77777777" w:rsidR="0053616D" w:rsidRPr="00812C16" w:rsidRDefault="006748DD" w:rsidP="005547D3">
      <w:pPr>
        <w:pStyle w:val="berschrift3"/>
      </w:pPr>
      <w:bookmarkStart w:id="39" w:name="_Toc158006530"/>
      <w:r w:rsidRPr="00812C16">
        <w:t>Tissue-Microarray</w:t>
      </w:r>
      <w:bookmarkEnd w:id="39"/>
    </w:p>
    <w:p w14:paraId="1558F36B" w14:textId="7CA8ED35" w:rsidR="002A5B74" w:rsidRPr="00812C16" w:rsidRDefault="00AD585F" w:rsidP="009F7746">
      <w:pPr>
        <w:rPr>
          <w:rFonts w:cs="Arial"/>
        </w:rPr>
      </w:pPr>
      <w:r w:rsidRPr="00812C16">
        <w:rPr>
          <w:rFonts w:cs="Arial"/>
        </w:rPr>
        <w:t xml:space="preserve">Die Tissue-Microarray Technik wurde erstmals 1998 beschrieben </w:t>
      </w:r>
      <w:r w:rsidR="000112D9">
        <w:rPr>
          <w:rFonts w:cs="Arial"/>
        </w:rPr>
        <w:fldChar w:fldCharType="begin">
          <w:fldData xml:space="preserve">PEVuZE5vdGU+PENpdGU+PEF1dGhvcj5Lb25vbmVuPC9BdXRob3I+PFllYXI+MTk5ODwvWWVhcj48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Kononen et al., 1998</w:t>
      </w:r>
      <w:r w:rsidR="000112D9">
        <w:rPr>
          <w:rFonts w:cs="Arial"/>
          <w:noProof/>
        </w:rPr>
        <w:t>)</w:t>
      </w:r>
      <w:r w:rsidR="000112D9">
        <w:rPr>
          <w:rFonts w:cs="Arial"/>
        </w:rPr>
        <w:fldChar w:fldCharType="end"/>
      </w:r>
      <w:r w:rsidRPr="00812C16">
        <w:rPr>
          <w:rFonts w:cs="Arial"/>
        </w:rPr>
        <w:t xml:space="preserve"> und </w:t>
      </w:r>
      <w:r w:rsidR="00146E76" w:rsidRPr="00812C16">
        <w:rPr>
          <w:rFonts w:cs="Arial"/>
        </w:rPr>
        <w:t>ermöglicht eine effiziente und auf den Tumor fokussierte simultane Auswertung der einzelnen Gewebeproben</w:t>
      </w:r>
      <w:r w:rsidR="00F03EA6" w:rsidRPr="00812C16">
        <w:rPr>
          <w:rFonts w:cs="Arial"/>
        </w:rPr>
        <w:t xml:space="preserve">. </w:t>
      </w:r>
      <w:r w:rsidR="006A17BF" w:rsidRPr="00812C16">
        <w:rPr>
          <w:rFonts w:cs="Arial"/>
        </w:rPr>
        <w:t xml:space="preserve">Die Methode </w:t>
      </w:r>
      <w:r w:rsidRPr="00812C16">
        <w:rPr>
          <w:rFonts w:cs="Arial"/>
        </w:rPr>
        <w:t>hat seither die Art und Weise wie gewebebasierte Forschung, insbesondere im onkologischen Bereich</w:t>
      </w:r>
      <w:r w:rsidR="00BC6A6C" w:rsidRPr="00812C16">
        <w:rPr>
          <w:rFonts w:cs="Arial"/>
        </w:rPr>
        <w:t xml:space="preserve"> </w:t>
      </w:r>
      <w:r w:rsidRPr="00812C16">
        <w:rPr>
          <w:rFonts w:cs="Arial"/>
        </w:rPr>
        <w:t xml:space="preserve">stattfindet maßgeblich </w:t>
      </w:r>
      <w:r w:rsidR="005D397E" w:rsidRPr="00812C16">
        <w:rPr>
          <w:rFonts w:cs="Arial"/>
        </w:rPr>
        <w:t>geprägt</w:t>
      </w:r>
      <w:r w:rsidRPr="00812C16">
        <w:rPr>
          <w:rFonts w:cs="Arial"/>
        </w:rPr>
        <w:t xml:space="preserve">. Die </w:t>
      </w:r>
      <w:r w:rsidR="004E62F0" w:rsidRPr="00812C16">
        <w:rPr>
          <w:rFonts w:cs="Arial"/>
        </w:rPr>
        <w:t>TMA-Technik</w:t>
      </w:r>
      <w:r w:rsidR="000F5C14" w:rsidRPr="00812C16">
        <w:rPr>
          <w:rFonts w:cs="Arial"/>
        </w:rPr>
        <w:t xml:space="preserve"> ermöglich</w:t>
      </w:r>
      <w:r w:rsidRPr="00812C16">
        <w:rPr>
          <w:rFonts w:cs="Arial"/>
        </w:rPr>
        <w:t>t</w:t>
      </w:r>
      <w:r w:rsidR="000F5C14" w:rsidRPr="00812C16">
        <w:rPr>
          <w:rFonts w:cs="Arial"/>
        </w:rPr>
        <w:t xml:space="preserve"> es, Gewebsproben verschiedener Patienten bzw. verschiedene Gewebeproben eines Patienten hinsichtlich ihrer immunhistochemisc</w:t>
      </w:r>
      <w:r w:rsidR="00506203" w:rsidRPr="00812C16">
        <w:rPr>
          <w:rFonts w:cs="Arial"/>
        </w:rPr>
        <w:t>h</w:t>
      </w:r>
      <w:r w:rsidR="002B7EC4" w:rsidRPr="00812C16">
        <w:rPr>
          <w:rFonts w:cs="Arial"/>
        </w:rPr>
        <w:t>en</w:t>
      </w:r>
      <w:r w:rsidR="000F5C14" w:rsidRPr="00812C16">
        <w:rPr>
          <w:rFonts w:cs="Arial"/>
        </w:rPr>
        <w:t xml:space="preserve"> Proteinexpression simultan und unter gleichen methodischen Bedingungen standardisiert zu untersuchen.</w:t>
      </w:r>
      <w:r w:rsidR="00DF0259" w:rsidRPr="00812C16">
        <w:rPr>
          <w:rFonts w:cs="Arial"/>
        </w:rPr>
        <w:t xml:space="preserve"> </w:t>
      </w:r>
      <w:r w:rsidR="00C80E2B" w:rsidRPr="00812C16">
        <w:rPr>
          <w:rFonts w:cs="Arial"/>
        </w:rPr>
        <w:t xml:space="preserve">Ein TMA-Block </w:t>
      </w:r>
      <w:r w:rsidR="00F51904" w:rsidRPr="00812C16">
        <w:rPr>
          <w:rFonts w:cs="Arial"/>
        </w:rPr>
        <w:t xml:space="preserve">kann </w:t>
      </w:r>
      <w:r w:rsidR="008B2763" w:rsidRPr="00812C16">
        <w:rPr>
          <w:rFonts w:cs="Arial"/>
        </w:rPr>
        <w:t xml:space="preserve">bis zu </w:t>
      </w:r>
      <w:r w:rsidR="007D22AF" w:rsidRPr="00812C16">
        <w:rPr>
          <w:rFonts w:cs="Arial"/>
        </w:rPr>
        <w:t>150</w:t>
      </w:r>
      <w:r w:rsidR="00093D86" w:rsidRPr="00812C16">
        <w:rPr>
          <w:rFonts w:cs="Arial"/>
        </w:rPr>
        <w:t xml:space="preserve"> - 200 </w:t>
      </w:r>
      <w:r w:rsidR="00C80E2B" w:rsidRPr="00812C16">
        <w:rPr>
          <w:rFonts w:cs="Arial"/>
        </w:rPr>
        <w:t>zylindrisches Probematerial von verschiedene</w:t>
      </w:r>
      <w:r w:rsidR="007F453F" w:rsidRPr="00812C16">
        <w:rPr>
          <w:rFonts w:cs="Arial"/>
        </w:rPr>
        <w:t>n</w:t>
      </w:r>
      <w:r w:rsidR="00C80E2B" w:rsidRPr="00812C16">
        <w:rPr>
          <w:rFonts w:cs="Arial"/>
        </w:rPr>
        <w:t xml:space="preserve"> Patienten</w:t>
      </w:r>
      <w:r w:rsidR="00BD71AD" w:rsidRPr="00812C16">
        <w:rPr>
          <w:rFonts w:cs="Arial"/>
        </w:rPr>
        <w:t xml:space="preserve"> </w:t>
      </w:r>
      <w:r w:rsidR="00C80E2B" w:rsidRPr="00812C16">
        <w:rPr>
          <w:rFonts w:cs="Arial"/>
        </w:rPr>
        <w:t xml:space="preserve">mit einem Durchmesser von jeweils 0,6 </w:t>
      </w:r>
      <w:r w:rsidR="00BD71AD" w:rsidRPr="00812C16">
        <w:rPr>
          <w:rFonts w:cs="Arial"/>
        </w:rPr>
        <w:t xml:space="preserve">– 1,0 </w:t>
      </w:r>
      <w:r w:rsidR="00C80E2B" w:rsidRPr="00812C16">
        <w:rPr>
          <w:rFonts w:cs="Arial"/>
        </w:rPr>
        <w:t>mm</w:t>
      </w:r>
      <w:r w:rsidR="007D22AF" w:rsidRPr="00812C16">
        <w:rPr>
          <w:rFonts w:cs="Arial"/>
        </w:rPr>
        <w:t xml:space="preserve"> enthalten</w:t>
      </w:r>
      <w:r w:rsidR="00C80E2B" w:rsidRPr="00812C16">
        <w:rPr>
          <w:rFonts w:cs="Arial"/>
        </w:rPr>
        <w:t xml:space="preserve">. Die Gewebezylinder werden mit einer Hohlnadel aus einem vorher </w:t>
      </w:r>
      <w:r w:rsidR="00BD71AD" w:rsidRPr="00812C16">
        <w:rPr>
          <w:rFonts w:cs="Arial"/>
        </w:rPr>
        <w:t>ausgewählten</w:t>
      </w:r>
      <w:r w:rsidR="00C80E2B" w:rsidRPr="00812C16">
        <w:rPr>
          <w:rFonts w:cs="Arial"/>
        </w:rPr>
        <w:t xml:space="preserve"> </w:t>
      </w:r>
      <w:r w:rsidR="00BD71AD" w:rsidRPr="00812C16">
        <w:rPr>
          <w:rFonts w:cs="Arial"/>
        </w:rPr>
        <w:t>repräsentativen</w:t>
      </w:r>
      <w:r w:rsidR="00C80E2B" w:rsidRPr="00812C16">
        <w:rPr>
          <w:rFonts w:cs="Arial"/>
        </w:rPr>
        <w:t xml:space="preserve"> Bereich eines </w:t>
      </w:r>
      <w:r w:rsidR="00342950" w:rsidRPr="00812C16">
        <w:rPr>
          <w:rFonts w:cs="Arial"/>
        </w:rPr>
        <w:t>Spender-</w:t>
      </w:r>
      <w:r w:rsidR="00C80E2B" w:rsidRPr="00812C16">
        <w:rPr>
          <w:rFonts w:cs="Arial"/>
        </w:rPr>
        <w:t xml:space="preserve">Paraffinblocks entnommen und danach in vorgefertigte </w:t>
      </w:r>
      <w:r w:rsidR="0086250C" w:rsidRPr="00812C16">
        <w:rPr>
          <w:rFonts w:cs="Arial"/>
        </w:rPr>
        <w:t>Löcher</w:t>
      </w:r>
      <w:r w:rsidR="00C80E2B" w:rsidRPr="00812C16">
        <w:rPr>
          <w:rFonts w:cs="Arial"/>
        </w:rPr>
        <w:t xml:space="preserve"> in einem </w:t>
      </w:r>
      <w:r w:rsidR="0086250C" w:rsidRPr="00812C16">
        <w:rPr>
          <w:rFonts w:cs="Arial"/>
        </w:rPr>
        <w:t>ursprünglich</w:t>
      </w:r>
      <w:r w:rsidR="00C80E2B" w:rsidRPr="00812C16">
        <w:rPr>
          <w:rFonts w:cs="Arial"/>
        </w:rPr>
        <w:t xml:space="preserve"> leeren </w:t>
      </w:r>
      <w:r w:rsidR="00342950" w:rsidRPr="00812C16">
        <w:rPr>
          <w:rFonts w:cs="Arial"/>
        </w:rPr>
        <w:t>E</w:t>
      </w:r>
      <w:r w:rsidR="00CD50A5" w:rsidRPr="00812C16">
        <w:rPr>
          <w:rFonts w:cs="Arial"/>
        </w:rPr>
        <w:t>mpfänger-</w:t>
      </w:r>
      <w:r w:rsidR="00C80E2B" w:rsidRPr="00812C16">
        <w:rPr>
          <w:rFonts w:cs="Arial"/>
        </w:rPr>
        <w:t xml:space="preserve">Paraffinblock eingebracht. </w:t>
      </w:r>
    </w:p>
    <w:p w14:paraId="107F08E6" w14:textId="77777777" w:rsidR="00FB4CED" w:rsidRPr="00812C16" w:rsidRDefault="009F7746" w:rsidP="002A5B74">
      <w:pPr>
        <w:spacing w:before="120" w:after="0"/>
        <w:rPr>
          <w:rFonts w:cs="Arial"/>
          <w:i/>
          <w:iCs/>
        </w:rPr>
      </w:pPr>
      <w:r w:rsidRPr="00812C16">
        <w:rPr>
          <w:rFonts w:cs="Arial"/>
          <w:i/>
          <w:iCs/>
        </w:rPr>
        <w:t>Herstellung der Referenzschnitte (HE-Färbung)</w:t>
      </w:r>
    </w:p>
    <w:p w14:paraId="74850C6F" w14:textId="77777777" w:rsidR="00942EA6" w:rsidRPr="00812C16" w:rsidRDefault="00692E12" w:rsidP="002A5B74">
      <w:pPr>
        <w:rPr>
          <w:rFonts w:cs="Arial"/>
        </w:rPr>
      </w:pPr>
      <w:r w:rsidRPr="00812C16">
        <w:rPr>
          <w:rFonts w:cs="Arial"/>
        </w:rPr>
        <w:t>U</w:t>
      </w:r>
      <w:r w:rsidR="00942EA6" w:rsidRPr="00812C16">
        <w:rPr>
          <w:rFonts w:cs="Arial"/>
        </w:rPr>
        <w:t xml:space="preserve">m das Vorhandensein eines Plattenepithelkarzinoms histologisch zu bestätigen und um repräsentative Tumorregionen im FFPE-Material für die zu untersuchenden </w:t>
      </w:r>
      <w:r w:rsidR="00942EA6" w:rsidRPr="00812C16">
        <w:rPr>
          <w:rFonts w:cs="Arial"/>
        </w:rPr>
        <w:lastRenderedPageBreak/>
        <w:t>Stanzungen zu definieren</w:t>
      </w:r>
      <w:r w:rsidR="001E7095" w:rsidRPr="00812C16">
        <w:rPr>
          <w:rFonts w:cs="Arial"/>
        </w:rPr>
        <w:t xml:space="preserve">, wurden für alle FFPE-Tumorproben des </w:t>
      </w:r>
      <w:r w:rsidR="00B42DE2" w:rsidRPr="00812C16">
        <w:rPr>
          <w:rFonts w:cs="Arial"/>
        </w:rPr>
        <w:t>Kollektivs zunächst</w:t>
      </w:r>
      <w:r w:rsidR="001E7095" w:rsidRPr="00812C16">
        <w:rPr>
          <w:rFonts w:cs="Arial"/>
        </w:rPr>
        <w:t xml:space="preserve"> Objektträger mit Gewebeschnitten in Hämatoxylin- und Eosinfärbung (HE-Färbung) angefertigt</w:t>
      </w:r>
      <w:r w:rsidR="002D4165" w:rsidRPr="00812C16">
        <w:rPr>
          <w:rFonts w:cs="Arial"/>
        </w:rPr>
        <w:t>.</w:t>
      </w:r>
      <w:r w:rsidR="00942EA6" w:rsidRPr="00812C16">
        <w:rPr>
          <w:rFonts w:cs="Arial"/>
        </w:rPr>
        <w:t xml:space="preserve"> Dabei wurden je 3 μm Schnitte der </w:t>
      </w:r>
      <w:r w:rsidR="00A42DDA" w:rsidRPr="00812C16">
        <w:rPr>
          <w:rFonts w:cs="Arial"/>
        </w:rPr>
        <w:t xml:space="preserve">195 </w:t>
      </w:r>
      <w:r w:rsidR="00942EA6" w:rsidRPr="00812C16">
        <w:rPr>
          <w:rFonts w:cs="Arial"/>
        </w:rPr>
        <w:t>zu untersuchenden FFPE-Blöcke mit einem Mikrotom angefertigt und auf Glasobjektträger aufgezogen und anschließend 24 Stunden bei Raumtemperatur getrocknet. Danach wurden die Schnitte in einer absteigenden Alkoholreihe deparaffiniert (Xylol, Propanol, Ethanol 96%, Ethanol 70%, Aqua dest.) und in TRIS-Puffer gewaschen. Nach der Inkubation mit Hämatoxylin und anschließendem Waschen mit Leitungswasser wurden die Schnitte mit Eosin inkubiert. Durch eine aufsteigende Alkoholreihe erfolgte die Entwässerung. Zum Schluss wurden die Schnitte mit Deckgläsern versehen.</w:t>
      </w:r>
      <w:r w:rsidR="00844FC9" w:rsidRPr="00812C16">
        <w:rPr>
          <w:rFonts w:cs="Arial"/>
          <w:b/>
          <w:bCs/>
        </w:rPr>
        <w:t xml:space="preserve"> </w:t>
      </w:r>
      <w:r w:rsidR="00942EA6" w:rsidRPr="00812C16">
        <w:rPr>
          <w:rFonts w:cs="Arial"/>
        </w:rPr>
        <w:t>Diese Referenzschnitte wurden</w:t>
      </w:r>
      <w:r w:rsidR="00E7475C" w:rsidRPr="00812C16">
        <w:rPr>
          <w:rFonts w:cs="Arial"/>
        </w:rPr>
        <w:t xml:space="preserve"> histologisch</w:t>
      </w:r>
      <w:r w:rsidR="00942EA6" w:rsidRPr="00812C16">
        <w:rPr>
          <w:rFonts w:cs="Arial"/>
        </w:rPr>
        <w:t xml:space="preserve"> beurteilt und di</w:t>
      </w:r>
      <w:r w:rsidR="006025C1" w:rsidRPr="00812C16">
        <w:rPr>
          <w:rFonts w:cs="Arial"/>
        </w:rPr>
        <w:t xml:space="preserve">e </w:t>
      </w:r>
      <w:r w:rsidR="001C2AEB" w:rsidRPr="00812C16">
        <w:rPr>
          <w:rFonts w:cs="Arial"/>
        </w:rPr>
        <w:t>repräsentativen</w:t>
      </w:r>
      <w:r w:rsidR="008C46F9" w:rsidRPr="00812C16">
        <w:rPr>
          <w:rFonts w:cs="Arial"/>
        </w:rPr>
        <w:t xml:space="preserve"> </w:t>
      </w:r>
      <w:r w:rsidR="006025C1" w:rsidRPr="00812C16">
        <w:rPr>
          <w:rFonts w:cs="Arial"/>
        </w:rPr>
        <w:t>Tumor</w:t>
      </w:r>
      <w:r w:rsidR="008C46F9" w:rsidRPr="00812C16">
        <w:rPr>
          <w:rFonts w:cs="Arial"/>
        </w:rPr>
        <w:t>regionen</w:t>
      </w:r>
      <w:r w:rsidR="00942EA6" w:rsidRPr="00812C16">
        <w:rPr>
          <w:rFonts w:cs="Arial"/>
        </w:rPr>
        <w:t xml:space="preserve"> markiert (HNSCC, Lymphknoten Gewebe und normales Plattenepithel der Kopf-Hals Bereiches). Anschließend erfolgte die Übertragung der Markierung auf die </w:t>
      </w:r>
      <w:r w:rsidR="00735093" w:rsidRPr="00812C16">
        <w:rPr>
          <w:rFonts w:cs="Arial"/>
        </w:rPr>
        <w:t xml:space="preserve">(Spender-) </w:t>
      </w:r>
      <w:r w:rsidR="00942EA6" w:rsidRPr="00812C16">
        <w:rPr>
          <w:rFonts w:cs="Arial"/>
        </w:rPr>
        <w:t>Paraffinblöcke.</w:t>
      </w:r>
      <w:r w:rsidR="00967476" w:rsidRPr="00812C16">
        <w:rPr>
          <w:rFonts w:cs="Arial"/>
        </w:rPr>
        <w:t xml:space="preserve"> </w:t>
      </w:r>
    </w:p>
    <w:p w14:paraId="2F3AF6F6" w14:textId="77777777" w:rsidR="00EB73CB" w:rsidRPr="00812C16" w:rsidRDefault="005506A3" w:rsidP="002A5B74">
      <w:pPr>
        <w:spacing w:before="120" w:after="0"/>
        <w:rPr>
          <w:rFonts w:cs="Arial"/>
          <w:i/>
          <w:iCs/>
        </w:rPr>
      </w:pPr>
      <w:r w:rsidRPr="00812C16">
        <w:rPr>
          <w:rFonts w:cs="Arial"/>
          <w:i/>
          <w:iCs/>
        </w:rPr>
        <w:t xml:space="preserve">Herstellung der Tissue Microarray </w:t>
      </w:r>
      <w:r w:rsidR="005A4B8B" w:rsidRPr="00812C16">
        <w:rPr>
          <w:rFonts w:cs="Arial"/>
          <w:i/>
          <w:iCs/>
        </w:rPr>
        <w:t>Blöcke</w:t>
      </w:r>
      <w:r w:rsidRPr="00812C16">
        <w:rPr>
          <w:rFonts w:cs="Arial"/>
          <w:i/>
          <w:iCs/>
        </w:rPr>
        <w:t xml:space="preserve"> für die </w:t>
      </w:r>
      <w:r w:rsidR="005A4B8B" w:rsidRPr="00812C16">
        <w:rPr>
          <w:rFonts w:cs="Arial"/>
          <w:i/>
          <w:iCs/>
        </w:rPr>
        <w:t>Biomarkeranalyse</w:t>
      </w:r>
    </w:p>
    <w:p w14:paraId="0420FFEE" w14:textId="77777777" w:rsidR="00F9654E" w:rsidRPr="00812C16" w:rsidRDefault="00A70AA1" w:rsidP="004E62F0">
      <w:pPr>
        <w:rPr>
          <w:rFonts w:cs="Arial"/>
        </w:rPr>
      </w:pPr>
      <w:r w:rsidRPr="00812C16">
        <w:rPr>
          <w:rFonts w:cs="Arial"/>
        </w:rPr>
        <w:t xml:space="preserve">Nachdem </w:t>
      </w:r>
      <w:r w:rsidR="00280AB9" w:rsidRPr="00812C16">
        <w:rPr>
          <w:rFonts w:cs="Arial"/>
        </w:rPr>
        <w:t xml:space="preserve">die </w:t>
      </w:r>
      <w:r w:rsidRPr="00812C16">
        <w:rPr>
          <w:rFonts w:cs="Arial"/>
        </w:rPr>
        <w:t xml:space="preserve">mikroskopisch </w:t>
      </w:r>
      <w:r w:rsidR="00B55092" w:rsidRPr="00812C16">
        <w:rPr>
          <w:rFonts w:cs="Arial"/>
        </w:rPr>
        <w:t>repräsentative</w:t>
      </w:r>
      <w:r w:rsidR="00280AB9" w:rsidRPr="00812C16">
        <w:rPr>
          <w:rFonts w:cs="Arial"/>
        </w:rPr>
        <w:t>n</w:t>
      </w:r>
      <w:r w:rsidRPr="00812C16">
        <w:rPr>
          <w:rFonts w:cs="Arial"/>
        </w:rPr>
        <w:t xml:space="preserve"> </w:t>
      </w:r>
      <w:r w:rsidR="00280AB9" w:rsidRPr="00812C16">
        <w:rPr>
          <w:rFonts w:cs="Arial"/>
        </w:rPr>
        <w:t xml:space="preserve">Bereiche </w:t>
      </w:r>
      <w:r w:rsidRPr="00812C16">
        <w:rPr>
          <w:rFonts w:cs="Arial"/>
        </w:rPr>
        <w:t xml:space="preserve">der in Paraffin eingebetteten Operationsresektate </w:t>
      </w:r>
      <w:r w:rsidR="00B55092" w:rsidRPr="00812C16">
        <w:rPr>
          <w:rFonts w:cs="Arial"/>
        </w:rPr>
        <w:t>entsprechend</w:t>
      </w:r>
      <w:r w:rsidR="003C1AB9" w:rsidRPr="00812C16">
        <w:rPr>
          <w:rFonts w:cs="Arial"/>
        </w:rPr>
        <w:t xml:space="preserve"> der HE-</w:t>
      </w:r>
      <w:r w:rsidR="005506A3" w:rsidRPr="00812C16">
        <w:rPr>
          <w:rFonts w:cs="Arial"/>
        </w:rPr>
        <w:t>Referenzpräparate auf dem Spender-Block übertragen</w:t>
      </w:r>
      <w:r w:rsidRPr="00812C16">
        <w:rPr>
          <w:rFonts w:cs="Arial"/>
        </w:rPr>
        <w:t xml:space="preserve"> wurden, erfolgte die Anfertigung von Gewebe-Mikroarrays (tissue micro arrays, TMA). Dazu wurden mit einem semiautomatischen Gewebe-Mikro-Arrayer (MiniCore®, Alphelys) 1 mm dicke Gewebezylinder </w:t>
      </w:r>
      <w:r w:rsidR="00CD6D66" w:rsidRPr="00812C16">
        <w:rPr>
          <w:rFonts w:cs="Arial"/>
        </w:rPr>
        <w:t>über</w:t>
      </w:r>
      <w:r w:rsidRPr="00812C16">
        <w:rPr>
          <w:rFonts w:cs="Arial"/>
        </w:rPr>
        <w:t xml:space="preserve"> eine Hohlnadel aus vorher </w:t>
      </w:r>
      <w:r w:rsidR="00D21A0E" w:rsidRPr="00812C16">
        <w:rPr>
          <w:rFonts w:cs="Arial"/>
        </w:rPr>
        <w:t>ausgewählten</w:t>
      </w:r>
      <w:r w:rsidRPr="00812C16">
        <w:rPr>
          <w:rFonts w:cs="Arial"/>
        </w:rPr>
        <w:t xml:space="preserve"> </w:t>
      </w:r>
      <w:r w:rsidR="00D21A0E" w:rsidRPr="00812C16">
        <w:rPr>
          <w:rFonts w:cs="Arial"/>
        </w:rPr>
        <w:t>repräsentativen</w:t>
      </w:r>
      <w:r w:rsidRPr="00812C16">
        <w:rPr>
          <w:rFonts w:cs="Arial"/>
        </w:rPr>
        <w:t xml:space="preserve"> Tumorarealen im Spenderblock ausgestanzt. Diese Gewebezylinder wurden in leere Stanzlöcher eines Empfängerblocks </w:t>
      </w:r>
      <w:r w:rsidR="00B45D15" w:rsidRPr="00812C16">
        <w:rPr>
          <w:rFonts w:cs="Arial"/>
        </w:rPr>
        <w:t>überführt</w:t>
      </w:r>
      <w:r w:rsidRPr="00812C16">
        <w:rPr>
          <w:rFonts w:cs="Arial"/>
        </w:rPr>
        <w:t xml:space="preserve">. Idealerweise wurden je Fall drei Stanzzylinder entnommen, um die </w:t>
      </w:r>
      <w:r w:rsidR="00B45D15" w:rsidRPr="00812C16">
        <w:rPr>
          <w:rFonts w:cs="Arial"/>
        </w:rPr>
        <w:t>Heterogenität</w:t>
      </w:r>
      <w:r w:rsidRPr="00812C16">
        <w:rPr>
          <w:rFonts w:cs="Arial"/>
        </w:rPr>
        <w:t xml:space="preserve"> innerhalb des Tumors zu </w:t>
      </w:r>
      <w:r w:rsidR="00B45D15" w:rsidRPr="00812C16">
        <w:rPr>
          <w:rFonts w:cs="Arial"/>
        </w:rPr>
        <w:t>berücksichtigen</w:t>
      </w:r>
      <w:r w:rsidRPr="00812C16">
        <w:rPr>
          <w:rFonts w:cs="Arial"/>
        </w:rPr>
        <w:t xml:space="preserve">. </w:t>
      </w:r>
      <w:r w:rsidR="00C779F0" w:rsidRPr="00812C16">
        <w:rPr>
          <w:rFonts w:cs="Arial"/>
        </w:rPr>
        <w:t xml:space="preserve">Somit </w:t>
      </w:r>
      <w:r w:rsidR="00292274" w:rsidRPr="00812C16">
        <w:rPr>
          <w:rFonts w:cs="Arial"/>
        </w:rPr>
        <w:t>war es möglich pro Trä</w:t>
      </w:r>
      <w:r w:rsidR="00605B21" w:rsidRPr="00812C16">
        <w:rPr>
          <w:rFonts w:cs="Arial"/>
        </w:rPr>
        <w:t>gerblock</w:t>
      </w:r>
      <w:r w:rsidR="00292274" w:rsidRPr="00812C16">
        <w:rPr>
          <w:rFonts w:cs="Arial"/>
        </w:rPr>
        <w:t xml:space="preserve"> bis zu </w:t>
      </w:r>
      <w:r w:rsidR="00B45D15" w:rsidRPr="00812C16">
        <w:rPr>
          <w:rFonts w:cs="Arial"/>
        </w:rPr>
        <w:t>112</w:t>
      </w:r>
      <w:r w:rsidR="00292274" w:rsidRPr="00812C16">
        <w:rPr>
          <w:rFonts w:cs="Arial"/>
        </w:rPr>
        <w:t xml:space="preserve"> Stanzen </w:t>
      </w:r>
      <w:r w:rsidR="00605B21" w:rsidRPr="00812C16">
        <w:rPr>
          <w:rFonts w:cs="Arial"/>
        </w:rPr>
        <w:t>einzubringen.</w:t>
      </w:r>
      <w:r w:rsidR="00E92FF1" w:rsidRPr="00812C16">
        <w:rPr>
          <w:rFonts w:cs="Arial"/>
        </w:rPr>
        <w:t xml:space="preserve"> Durch Erhitzung auf 60°C </w:t>
      </w:r>
      <w:r w:rsidR="00C53A15" w:rsidRPr="00812C16">
        <w:rPr>
          <w:rFonts w:cs="Arial"/>
        </w:rPr>
        <w:t xml:space="preserve">über 5 Minuten </w:t>
      </w:r>
      <w:r w:rsidR="00E92FF1" w:rsidRPr="00812C16">
        <w:rPr>
          <w:rFonts w:cs="Arial"/>
        </w:rPr>
        <w:t>konnte ein Verbund des Träger- und Gewebeparaffins erreicht werden</w:t>
      </w:r>
      <w:r w:rsidR="00A67040" w:rsidRPr="00812C16">
        <w:rPr>
          <w:rFonts w:cs="Arial"/>
        </w:rPr>
        <w:t xml:space="preserve">. </w:t>
      </w:r>
      <w:r w:rsidRPr="00812C16">
        <w:rPr>
          <w:rFonts w:cs="Arial"/>
        </w:rPr>
        <w:t xml:space="preserve">Die Anordnung der Stanzzylinder im Empfängerblock erfolgte über einen zuvor definierten Lageplan, der für die </w:t>
      </w:r>
      <w:r w:rsidR="00B45D15" w:rsidRPr="00812C16">
        <w:rPr>
          <w:rFonts w:cs="Arial"/>
        </w:rPr>
        <w:t>spätere</w:t>
      </w:r>
      <w:r w:rsidRPr="00812C16">
        <w:rPr>
          <w:rFonts w:cs="Arial"/>
        </w:rPr>
        <w:t xml:space="preserve"> Auswertung eine eindeutige Zuordnung zum pseudonymisierten Patienten </w:t>
      </w:r>
      <w:r w:rsidR="00B45D15" w:rsidRPr="00812C16">
        <w:rPr>
          <w:rFonts w:cs="Arial"/>
        </w:rPr>
        <w:t>gewährleistet</w:t>
      </w:r>
      <w:r w:rsidRPr="00812C16">
        <w:rPr>
          <w:rFonts w:cs="Arial"/>
        </w:rPr>
        <w:t xml:space="preserve">. </w:t>
      </w:r>
      <w:r w:rsidR="00B45D15" w:rsidRPr="00812C16">
        <w:rPr>
          <w:rFonts w:cs="Arial"/>
        </w:rPr>
        <w:t xml:space="preserve">In Abbildung sind der Aufbau und das Prinzip der TMA-Technik sowie der Dokumentation beispielhaft dargestellt. </w:t>
      </w:r>
    </w:p>
    <w:p w14:paraId="010708A9" w14:textId="77777777" w:rsidR="007C74C5" w:rsidRPr="00812C16" w:rsidRDefault="00B71E93" w:rsidP="004E62F0">
      <w:pPr>
        <w:rPr>
          <w:rFonts w:cs="Arial"/>
        </w:rPr>
      </w:pPr>
      <w:r w:rsidRPr="00812C16">
        <w:rPr>
          <w:rFonts w:cs="Arial"/>
          <w:noProof/>
        </w:rPr>
        <w:lastRenderedPageBreak/>
        <w:drawing>
          <wp:inline distT="0" distB="0" distL="0" distR="0" wp14:anchorId="642B8FB8" wp14:editId="763582D2">
            <wp:extent cx="5717540" cy="2225675"/>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2225675"/>
                    </a:xfrm>
                    <a:prstGeom prst="rect">
                      <a:avLst/>
                    </a:prstGeom>
                    <a:noFill/>
                    <a:ln>
                      <a:noFill/>
                    </a:ln>
                  </pic:spPr>
                </pic:pic>
              </a:graphicData>
            </a:graphic>
          </wp:inline>
        </w:drawing>
      </w:r>
    </w:p>
    <w:p w14:paraId="05E3DB8B" w14:textId="42BBA8CC" w:rsidR="007C74C5" w:rsidRPr="00812C16" w:rsidRDefault="00B45D15" w:rsidP="00B45D15">
      <w:pPr>
        <w:pStyle w:val="Beschriftung"/>
        <w:rPr>
          <w:rFonts w:cs="Arial"/>
        </w:rPr>
      </w:pPr>
      <w:bookmarkStart w:id="40" w:name="_Toc180788379"/>
      <w:r w:rsidRPr="00812C16">
        <w:rPr>
          <w:rFonts w:cs="Arial"/>
        </w:rPr>
        <w:t xml:space="preserve">Abbildung </w:t>
      </w:r>
      <w:r w:rsidR="00BF08D6" w:rsidRPr="00812C16">
        <w:rPr>
          <w:rFonts w:cs="Arial"/>
        </w:rPr>
        <w:fldChar w:fldCharType="begin"/>
      </w:r>
      <w:r w:rsidR="00BF08D6" w:rsidRPr="00812C16">
        <w:rPr>
          <w:rFonts w:cs="Arial"/>
        </w:rPr>
        <w:instrText xml:space="preserve"> STYLEREF 1 \s </w:instrText>
      </w:r>
      <w:r w:rsidR="00BF08D6" w:rsidRPr="00812C16">
        <w:rPr>
          <w:rFonts w:cs="Arial"/>
        </w:rPr>
        <w:fldChar w:fldCharType="separate"/>
      </w:r>
      <w:r w:rsidR="00F67803">
        <w:rPr>
          <w:rFonts w:cs="Arial"/>
          <w:noProof/>
        </w:rPr>
        <w:t>3</w:t>
      </w:r>
      <w:r w:rsidR="00BF08D6" w:rsidRPr="00812C16">
        <w:rPr>
          <w:rFonts w:cs="Arial"/>
        </w:rPr>
        <w:fldChar w:fldCharType="end"/>
      </w:r>
      <w:r w:rsidR="00BF08D6" w:rsidRPr="00812C16">
        <w:rPr>
          <w:rFonts w:cs="Arial"/>
        </w:rPr>
        <w:noBreakHyphen/>
      </w:r>
      <w:r w:rsidR="00BF08D6" w:rsidRPr="00812C16">
        <w:rPr>
          <w:rFonts w:cs="Arial"/>
        </w:rPr>
        <w:fldChar w:fldCharType="begin"/>
      </w:r>
      <w:r w:rsidR="00BF08D6" w:rsidRPr="00812C16">
        <w:rPr>
          <w:rFonts w:cs="Arial"/>
        </w:rPr>
        <w:instrText xml:space="preserve"> SEQ Abbildung \* ARABIC \s 1 </w:instrText>
      </w:r>
      <w:r w:rsidR="00BF08D6" w:rsidRPr="00812C16">
        <w:rPr>
          <w:rFonts w:cs="Arial"/>
        </w:rPr>
        <w:fldChar w:fldCharType="separate"/>
      </w:r>
      <w:r w:rsidR="00F67803">
        <w:rPr>
          <w:rFonts w:cs="Arial"/>
          <w:noProof/>
        </w:rPr>
        <w:t>1</w:t>
      </w:r>
      <w:r w:rsidR="00BF08D6" w:rsidRPr="00812C16">
        <w:rPr>
          <w:rFonts w:cs="Arial"/>
        </w:rPr>
        <w:fldChar w:fldCharType="end"/>
      </w:r>
      <w:r w:rsidRPr="00812C16">
        <w:rPr>
          <w:rFonts w:cs="Arial"/>
        </w:rPr>
        <w:t>: Aufbau der Tissue Microarray-Technik sowie Prinzip der Ortsdokumentation der einzelnen Tumor-Spots</w:t>
      </w:r>
      <w:bookmarkEnd w:id="40"/>
    </w:p>
    <w:p w14:paraId="116A140E" w14:textId="77777777" w:rsidR="00EE3946" w:rsidRPr="00812C16" w:rsidRDefault="00B71E93" w:rsidP="00EE3946">
      <w:r w:rsidRPr="00812C16">
        <w:rPr>
          <w:noProof/>
        </w:rPr>
        <w:drawing>
          <wp:inline distT="0" distB="0" distL="0" distR="0" wp14:anchorId="7DE8B197" wp14:editId="62F1DF12">
            <wp:extent cx="5871845" cy="146494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12021" r="13159" b="88383"/>
                    <a:stretch>
                      <a:fillRect/>
                    </a:stretch>
                  </pic:blipFill>
                  <pic:spPr bwMode="auto">
                    <a:xfrm>
                      <a:off x="0" y="0"/>
                      <a:ext cx="5871845" cy="1464945"/>
                    </a:xfrm>
                    <a:prstGeom prst="rect">
                      <a:avLst/>
                    </a:prstGeom>
                    <a:noFill/>
                    <a:ln>
                      <a:noFill/>
                    </a:ln>
                  </pic:spPr>
                </pic:pic>
              </a:graphicData>
            </a:graphic>
          </wp:inline>
        </w:drawing>
      </w:r>
    </w:p>
    <w:p w14:paraId="2D9010AC" w14:textId="77777777" w:rsidR="00D878CF" w:rsidRPr="00812C16" w:rsidRDefault="005477B8" w:rsidP="005547D3">
      <w:pPr>
        <w:pStyle w:val="berschrift3"/>
      </w:pPr>
      <w:bookmarkStart w:id="41" w:name="_Toc158006531"/>
      <w:r w:rsidRPr="00812C16">
        <w:t>Immunhistologische Reaktionen</w:t>
      </w:r>
      <w:bookmarkEnd w:id="41"/>
      <w:r w:rsidRPr="00812C16">
        <w:t xml:space="preserve"> </w:t>
      </w:r>
    </w:p>
    <w:p w14:paraId="0ADC57CF" w14:textId="77777777" w:rsidR="002B69CA" w:rsidRPr="00812C16" w:rsidRDefault="002B69CA" w:rsidP="00D76FCC">
      <w:pPr>
        <w:rPr>
          <w:rFonts w:cs="Arial"/>
        </w:rPr>
      </w:pPr>
      <w:r w:rsidRPr="00812C16">
        <w:rPr>
          <w:rFonts w:cs="Arial"/>
        </w:rPr>
        <w:t xml:space="preserve">Die immunhistologische Färbereaktion wurde nach der indirekten Avidin-Biotin-Komplex- (ABC)-Methode durchgeführt. </w:t>
      </w:r>
    </w:p>
    <w:p w14:paraId="4221442A" w14:textId="77777777" w:rsidR="004E62F0" w:rsidRPr="00812C16" w:rsidRDefault="00305A8F" w:rsidP="00D76FCC">
      <w:pPr>
        <w:rPr>
          <w:rFonts w:cs="Arial"/>
        </w:rPr>
      </w:pPr>
      <w:r w:rsidRPr="00812C16">
        <w:rPr>
          <w:rFonts w:cs="Arial"/>
        </w:rPr>
        <w:t>Für</w:t>
      </w:r>
      <w:r w:rsidR="00D527C8" w:rsidRPr="00812C16">
        <w:rPr>
          <w:rFonts w:cs="Arial"/>
        </w:rPr>
        <w:t xml:space="preserve"> die </w:t>
      </w:r>
      <w:r w:rsidRPr="00812C16">
        <w:rPr>
          <w:rFonts w:cs="Arial"/>
        </w:rPr>
        <w:t>immunhistochemische</w:t>
      </w:r>
      <w:r w:rsidR="00D527C8" w:rsidRPr="00812C16">
        <w:rPr>
          <w:rFonts w:cs="Arial"/>
        </w:rPr>
        <w:t xml:space="preserve"> </w:t>
      </w:r>
      <w:r w:rsidRPr="00812C16">
        <w:rPr>
          <w:rFonts w:cs="Arial"/>
        </w:rPr>
        <w:t>Färbung</w:t>
      </w:r>
      <w:r w:rsidR="00D527C8" w:rsidRPr="00812C16">
        <w:rPr>
          <w:rFonts w:cs="Arial"/>
        </w:rPr>
        <w:t xml:space="preserve"> wurden von jedem TMA-Block jeweils 3 μm dicke Schnitte angefertigt. Diese wurden in Xylol entparaffiniert und anschließend in einer absteigenden Alkoholreihe rehydriert. Für die anschließende Demaskierung der Primärantikörper-Bindungsstellen wurden die </w:t>
      </w:r>
      <w:r w:rsidR="00242CBF" w:rsidRPr="00812C16">
        <w:rPr>
          <w:rFonts w:cs="Arial"/>
        </w:rPr>
        <w:t>Objektträger</w:t>
      </w:r>
      <w:r w:rsidR="00D527C8" w:rsidRPr="00812C16">
        <w:rPr>
          <w:rFonts w:cs="Arial"/>
        </w:rPr>
        <w:t xml:space="preserve"> in Zitratpuffer</w:t>
      </w:r>
      <w:r w:rsidR="00F97383" w:rsidRPr="00812C16">
        <w:rPr>
          <w:rFonts w:cs="Arial"/>
        </w:rPr>
        <w:t xml:space="preserve"> (pH 6; Dako)</w:t>
      </w:r>
      <w:r w:rsidR="00D527C8" w:rsidRPr="00812C16">
        <w:rPr>
          <w:rFonts w:cs="Arial"/>
        </w:rPr>
        <w:t xml:space="preserve"> für 35 min bei 650W in einer Mikrowelle erhitzt und nach dem </w:t>
      </w:r>
      <w:r w:rsidR="00C0210C" w:rsidRPr="00812C16">
        <w:rPr>
          <w:rFonts w:cs="Arial"/>
        </w:rPr>
        <w:t>Abkühlen</w:t>
      </w:r>
      <w:r w:rsidR="00D527C8" w:rsidRPr="00812C16">
        <w:rPr>
          <w:rFonts w:cs="Arial"/>
        </w:rPr>
        <w:t xml:space="preserve"> mit Waschpuffer gespült. Anschließend erfolgte die Blockierung der endogenen Peroxidaseaktivität (DAKO RealTM Peroxidase Blocking Solution; 10 min). Die TMA-Schnitte wurden mit dem monoklonalen Primärantikörper </w:t>
      </w:r>
      <w:r w:rsidR="00D527C8" w:rsidRPr="00812C16">
        <w:rPr>
          <w:rFonts w:cs="Arial"/>
          <w:i/>
          <w:iCs/>
        </w:rPr>
        <w:t xml:space="preserve">Maus anti-human CD44-Antikörper </w:t>
      </w:r>
      <w:r w:rsidR="00D527C8" w:rsidRPr="00812C16">
        <w:rPr>
          <w:rFonts w:cs="Arial"/>
        </w:rPr>
        <w:t xml:space="preserve">(Clone DF 1485; </w:t>
      </w:r>
      <w:r w:rsidR="00C0210C" w:rsidRPr="00812C16">
        <w:rPr>
          <w:rFonts w:cs="Arial"/>
        </w:rPr>
        <w:t>Verdünnung</w:t>
      </w:r>
      <w:r w:rsidR="00D527C8" w:rsidRPr="00812C16">
        <w:rPr>
          <w:rFonts w:cs="Arial"/>
        </w:rPr>
        <w:t xml:space="preserve"> 1:100; Dako) für eine Stunde bei Raumtemperatur in einer feuchten Kammer inkubiert. Die Negativkontrolle wurde entsprechend mit IgG1-Kontrollreagenz (Mouse IgG1; Dako) inkubiert. Nach Zugabe des Visualisierungs-reagenz (Dako REAL EnVision) und anschließender </w:t>
      </w:r>
      <w:r w:rsidR="00C0210C" w:rsidRPr="00812C16">
        <w:rPr>
          <w:rFonts w:cs="Arial"/>
        </w:rPr>
        <w:t>Spülung</w:t>
      </w:r>
      <w:r w:rsidR="00D527C8" w:rsidRPr="00812C16">
        <w:rPr>
          <w:rFonts w:cs="Arial"/>
        </w:rPr>
        <w:t xml:space="preserve"> der </w:t>
      </w:r>
      <w:r w:rsidR="00C0210C" w:rsidRPr="00812C16">
        <w:rPr>
          <w:rFonts w:cs="Arial"/>
        </w:rPr>
        <w:t>Objektträger</w:t>
      </w:r>
      <w:r w:rsidR="00D527C8" w:rsidRPr="00812C16">
        <w:rPr>
          <w:rFonts w:cs="Arial"/>
        </w:rPr>
        <w:t xml:space="preserve"> mit Waschpuffer ergab sich die Farbreaktion durch Zugabe von DAB-</w:t>
      </w:r>
      <w:r w:rsidR="00D527C8" w:rsidRPr="00812C16">
        <w:rPr>
          <w:rFonts w:cs="Arial"/>
        </w:rPr>
        <w:lastRenderedPageBreak/>
        <w:t xml:space="preserve">Chromogenlösung entsprechend der Antigenverteilung im Gewebe. Die Gegenfärbung der Schnitte erfolgte mit Hämalaun (nach Mayer). Abschließend wurden die </w:t>
      </w:r>
      <w:r w:rsidR="00C0210C" w:rsidRPr="00812C16">
        <w:rPr>
          <w:rFonts w:cs="Arial"/>
        </w:rPr>
        <w:t>gefärbten</w:t>
      </w:r>
      <w:r w:rsidR="00D527C8" w:rsidRPr="00812C16">
        <w:rPr>
          <w:rFonts w:cs="Arial"/>
        </w:rPr>
        <w:t xml:space="preserve"> Schnitte in aufsteigenden Alkohollösungen und Xylol dehydriert und mit Eukitt eingedeckelt. </w:t>
      </w:r>
    </w:p>
    <w:p w14:paraId="1140E04B" w14:textId="77777777" w:rsidR="00D33E46" w:rsidRPr="00812C16" w:rsidRDefault="005477B8" w:rsidP="005547D3">
      <w:pPr>
        <w:pStyle w:val="berschrift3"/>
      </w:pPr>
      <w:bookmarkStart w:id="42" w:name="_Toc158006532"/>
      <w:r w:rsidRPr="00812C16">
        <w:t>Immunhistologische Auswertung</w:t>
      </w:r>
      <w:bookmarkEnd w:id="42"/>
      <w:r w:rsidRPr="00812C16">
        <w:t xml:space="preserve"> </w:t>
      </w:r>
    </w:p>
    <w:p w14:paraId="00E95958" w14:textId="77777777" w:rsidR="00304367" w:rsidRPr="00812C16" w:rsidRDefault="00D527C8" w:rsidP="000943C4">
      <w:pPr>
        <w:rPr>
          <w:rFonts w:cs="Arial"/>
        </w:rPr>
      </w:pPr>
      <w:r w:rsidRPr="00812C16">
        <w:rPr>
          <w:rFonts w:cs="Arial"/>
        </w:rPr>
        <w:t xml:space="preserve">Die lichtmikroskopische Auswertung der immunhistochemisch </w:t>
      </w:r>
      <w:r w:rsidR="00C0210C" w:rsidRPr="00812C16">
        <w:rPr>
          <w:rFonts w:cs="Arial"/>
        </w:rPr>
        <w:t>gefärbten</w:t>
      </w:r>
      <w:r w:rsidRPr="00812C16">
        <w:rPr>
          <w:rFonts w:cs="Arial"/>
        </w:rPr>
        <w:t xml:space="preserve"> TMA-Schnitte erfolgte durch zwei </w:t>
      </w:r>
      <w:r w:rsidR="00C0210C" w:rsidRPr="00812C16">
        <w:rPr>
          <w:rFonts w:cs="Arial"/>
        </w:rPr>
        <w:t>unabhängige</w:t>
      </w:r>
      <w:r w:rsidRPr="00812C16">
        <w:rPr>
          <w:rFonts w:cs="Arial"/>
        </w:rPr>
        <w:t xml:space="preserve"> Untersucher (A.L. und C.v.N.; &lt;5% Abweichung zwischen den Ergebnissen beider Untersucher). Die Auswertung erfolgte semiquantitativ </w:t>
      </w:r>
      <w:r w:rsidR="00D300DF" w:rsidRPr="00812C16">
        <w:rPr>
          <w:rFonts w:cs="Arial"/>
        </w:rPr>
        <w:t xml:space="preserve">bei 100-, 200- und 400-facher Vergrößerung am Axioskop 50 (Zeiss, Germany) </w:t>
      </w:r>
      <w:r w:rsidRPr="00812C16">
        <w:rPr>
          <w:rFonts w:cs="Arial"/>
        </w:rPr>
        <w:t xml:space="preserve">unter </w:t>
      </w:r>
      <w:r w:rsidR="00C0210C" w:rsidRPr="00812C16">
        <w:rPr>
          <w:rFonts w:cs="Arial"/>
        </w:rPr>
        <w:t>Berücksichtigung</w:t>
      </w:r>
      <w:r w:rsidRPr="00812C16">
        <w:rPr>
          <w:rFonts w:cs="Arial"/>
        </w:rPr>
        <w:t xml:space="preserve"> der Färbeintensität (negativ, +, ++). </w:t>
      </w:r>
      <w:r w:rsidR="00D300DF" w:rsidRPr="00812C16">
        <w:rPr>
          <w:rFonts w:cs="Arial"/>
        </w:rPr>
        <w:t xml:space="preserve">Jede Gewebestanze wurde zunächst separat bewertet. Als nicht auswertbar galten neben nicht vorhandenen Stanzen solche, die nicht oder nur zu einem kleinen Teil (&lt;10%) aus Tumorgewebe bestanden, außerdem jene, welche sich </w:t>
      </w:r>
      <w:r w:rsidR="00991A22" w:rsidRPr="00812C16">
        <w:rPr>
          <w:rFonts w:cs="Arial"/>
        </w:rPr>
        <w:t>inhomogen</w:t>
      </w:r>
      <w:r w:rsidR="00D300DF" w:rsidRPr="00812C16">
        <w:rPr>
          <w:rFonts w:cs="Arial"/>
        </w:rPr>
        <w:t xml:space="preserve"> anfärbten.</w:t>
      </w:r>
      <w:r w:rsidR="008501B9" w:rsidRPr="00812C16">
        <w:rPr>
          <w:rFonts w:cs="Arial"/>
        </w:rPr>
        <w:t xml:space="preserve"> </w:t>
      </w:r>
      <w:r w:rsidRPr="00812C16">
        <w:rPr>
          <w:rFonts w:cs="Arial"/>
        </w:rPr>
        <w:t>Bei mehreren auswertbaren Stanzen</w:t>
      </w:r>
      <w:r w:rsidR="00130BC2" w:rsidRPr="00812C16">
        <w:rPr>
          <w:rFonts w:cs="Arial"/>
        </w:rPr>
        <w:t xml:space="preserve"> pro Patientenprobe</w:t>
      </w:r>
      <w:r w:rsidRPr="00812C16">
        <w:rPr>
          <w:rFonts w:cs="Arial"/>
        </w:rPr>
        <w:t xml:space="preserve"> wurde nur die </w:t>
      </w:r>
      <w:r w:rsidR="00C0210C" w:rsidRPr="00812C16">
        <w:rPr>
          <w:rFonts w:cs="Arial"/>
        </w:rPr>
        <w:t>stärkste</w:t>
      </w:r>
      <w:r w:rsidRPr="00812C16">
        <w:rPr>
          <w:rFonts w:cs="Arial"/>
        </w:rPr>
        <w:t xml:space="preserve"> Färbeintensität </w:t>
      </w:r>
      <w:r w:rsidR="00C0210C" w:rsidRPr="00812C16">
        <w:rPr>
          <w:rFonts w:cs="Arial"/>
        </w:rPr>
        <w:t>berücksichtigt</w:t>
      </w:r>
      <w:r w:rsidRPr="00812C16">
        <w:rPr>
          <w:rFonts w:cs="Arial"/>
        </w:rPr>
        <w:t>. Karzinome mit</w:t>
      </w:r>
      <w:r w:rsidR="003D6B8D" w:rsidRPr="00812C16">
        <w:rPr>
          <w:rFonts w:cs="Arial"/>
        </w:rPr>
        <w:t xml:space="preserve"> mäßiger oder starker</w:t>
      </w:r>
      <w:r w:rsidRPr="00812C16">
        <w:rPr>
          <w:rFonts w:cs="Arial"/>
        </w:rPr>
        <w:t xml:space="preserve"> CD44-Expression (+, ++)</w:t>
      </w:r>
      <w:r w:rsidR="003D6B8D" w:rsidRPr="00812C16">
        <w:rPr>
          <w:rFonts w:cs="Arial"/>
        </w:rPr>
        <w:t xml:space="preserve"> </w:t>
      </w:r>
      <w:r w:rsidR="003A755C" w:rsidRPr="00812C16">
        <w:rPr>
          <w:rFonts w:cs="Arial"/>
        </w:rPr>
        <w:t xml:space="preserve">wurden </w:t>
      </w:r>
      <w:r w:rsidR="003D6B8D" w:rsidRPr="00812C16">
        <w:rPr>
          <w:rFonts w:cs="Arial"/>
        </w:rPr>
        <w:t>als CD44-positiv</w:t>
      </w:r>
      <w:r w:rsidR="00130BC2" w:rsidRPr="00812C16">
        <w:rPr>
          <w:rFonts w:cs="Arial"/>
        </w:rPr>
        <w:t xml:space="preserve"> angesehen</w:t>
      </w:r>
      <w:r w:rsidR="003A755C" w:rsidRPr="00812C16">
        <w:rPr>
          <w:rFonts w:cs="Arial"/>
        </w:rPr>
        <w:t xml:space="preserve"> </w:t>
      </w:r>
      <w:r w:rsidRPr="00812C16">
        <w:rPr>
          <w:rFonts w:cs="Arial"/>
        </w:rPr>
        <w:t xml:space="preserve">und </w:t>
      </w:r>
      <w:r w:rsidR="003D6B8D" w:rsidRPr="00812C16">
        <w:rPr>
          <w:rFonts w:cs="Arial"/>
        </w:rPr>
        <w:t xml:space="preserve">Karzinome mit </w:t>
      </w:r>
      <w:r w:rsidRPr="00812C16">
        <w:rPr>
          <w:rFonts w:cs="Arial"/>
        </w:rPr>
        <w:t xml:space="preserve">nicht nachweisbarer CD44-Expression </w:t>
      </w:r>
      <w:r w:rsidR="003D6B8D" w:rsidRPr="00812C16">
        <w:rPr>
          <w:rFonts w:cs="Arial"/>
        </w:rPr>
        <w:t xml:space="preserve">(0) </w:t>
      </w:r>
      <w:r w:rsidR="00130BC2" w:rsidRPr="00812C16">
        <w:rPr>
          <w:rFonts w:cs="Arial"/>
        </w:rPr>
        <w:t xml:space="preserve">wurden </w:t>
      </w:r>
      <w:r w:rsidR="003D6B8D" w:rsidRPr="00812C16">
        <w:rPr>
          <w:rFonts w:cs="Arial"/>
        </w:rPr>
        <w:t>als CD44-</w:t>
      </w:r>
      <w:r w:rsidRPr="00812C16">
        <w:rPr>
          <w:rFonts w:cs="Arial"/>
        </w:rPr>
        <w:t>negativ</w:t>
      </w:r>
      <w:r w:rsidR="003A755C" w:rsidRPr="00812C16">
        <w:rPr>
          <w:rFonts w:cs="Arial"/>
        </w:rPr>
        <w:t xml:space="preserve"> </w:t>
      </w:r>
      <w:r w:rsidR="003D6B8D" w:rsidRPr="00812C16">
        <w:rPr>
          <w:rFonts w:cs="Arial"/>
        </w:rPr>
        <w:t xml:space="preserve">für die weitere statistische </w:t>
      </w:r>
      <w:r w:rsidR="00130BC2" w:rsidRPr="00812C16">
        <w:rPr>
          <w:rFonts w:cs="Arial"/>
        </w:rPr>
        <w:t>Auswertung berücksichtigt</w:t>
      </w:r>
      <w:r w:rsidR="003D6B8D" w:rsidRPr="00812C16">
        <w:rPr>
          <w:rFonts w:cs="Arial"/>
        </w:rPr>
        <w:t>. Ein Tumor galt insgesamt als nicht bewertbar, wenn weniger als zwei auswertbare Stanzen vorhanden waren. Nicht bewertbare Tumoren gingen nicht in die Statistik mit ein.</w:t>
      </w:r>
      <w:r w:rsidRPr="00812C16">
        <w:rPr>
          <w:rFonts w:cs="Arial"/>
        </w:rPr>
        <w:t xml:space="preserve"> </w:t>
      </w:r>
      <w:r w:rsidR="00F97383" w:rsidRPr="00812C16">
        <w:rPr>
          <w:rFonts w:cs="Arial"/>
        </w:rPr>
        <w:t>Insgesamt w</w:t>
      </w:r>
      <w:r w:rsidR="00F40C4B" w:rsidRPr="00812C16">
        <w:rPr>
          <w:rFonts w:cs="Arial"/>
        </w:rPr>
        <w:t>aren</w:t>
      </w:r>
      <w:r w:rsidR="00F97383" w:rsidRPr="00812C16">
        <w:rPr>
          <w:rFonts w:cs="Arial"/>
        </w:rPr>
        <w:t xml:space="preserve"> </w:t>
      </w:r>
      <w:r w:rsidR="00130BC2" w:rsidRPr="00812C16">
        <w:rPr>
          <w:rFonts w:cs="Arial"/>
        </w:rPr>
        <w:t xml:space="preserve">jedoch </w:t>
      </w:r>
      <w:r w:rsidR="00F97383" w:rsidRPr="00812C16">
        <w:rPr>
          <w:rFonts w:cs="Arial"/>
        </w:rPr>
        <w:t xml:space="preserve">TMA-Kerne von 195 Patienten hinsichtlich der CD44-Proteinexpression </w:t>
      </w:r>
      <w:r w:rsidR="00F40C4B" w:rsidRPr="00812C16">
        <w:rPr>
          <w:rFonts w:cs="Arial"/>
        </w:rPr>
        <w:t>auswertbar</w:t>
      </w:r>
      <w:r w:rsidR="00F97383" w:rsidRPr="00812C16">
        <w:rPr>
          <w:rFonts w:cs="Arial"/>
        </w:rPr>
        <w:t>.</w:t>
      </w:r>
    </w:p>
    <w:p w14:paraId="13152C02" w14:textId="77777777" w:rsidR="00EE3946" w:rsidRPr="00812C16" w:rsidRDefault="00B71E93" w:rsidP="00EE3946">
      <w:pPr>
        <w:keepNext/>
        <w:spacing w:after="0"/>
      </w:pPr>
      <w:r w:rsidRPr="00812C16">
        <w:rPr>
          <w:noProof/>
        </w:rPr>
        <w:drawing>
          <wp:inline distT="0" distB="0" distL="0" distR="0" wp14:anchorId="7407A10F" wp14:editId="63BAAF63">
            <wp:extent cx="5761990" cy="146494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12021" r="13159" b="88383"/>
                    <a:stretch>
                      <a:fillRect/>
                    </a:stretch>
                  </pic:blipFill>
                  <pic:spPr bwMode="auto">
                    <a:xfrm>
                      <a:off x="0" y="0"/>
                      <a:ext cx="5761990" cy="1464945"/>
                    </a:xfrm>
                    <a:prstGeom prst="rect">
                      <a:avLst/>
                    </a:prstGeom>
                    <a:noFill/>
                    <a:ln>
                      <a:noFill/>
                    </a:ln>
                  </pic:spPr>
                </pic:pic>
              </a:graphicData>
            </a:graphic>
          </wp:inline>
        </w:drawing>
      </w:r>
    </w:p>
    <w:p w14:paraId="2E46148E" w14:textId="2EEE7BAF" w:rsidR="007C17BF" w:rsidRPr="00812C16" w:rsidRDefault="00EE3946" w:rsidP="00EE3946">
      <w:pPr>
        <w:pStyle w:val="Beschriftung"/>
        <w:spacing w:after="360" w:line="240" w:lineRule="auto"/>
        <w:rPr>
          <w:rFonts w:cs="Arial"/>
          <w:b/>
          <w:bCs/>
          <w:i w:val="0"/>
          <w:iCs w:val="0"/>
          <w:color w:val="000000" w:themeColor="text1"/>
          <w:sz w:val="20"/>
          <w:szCs w:val="20"/>
        </w:rPr>
      </w:pPr>
      <w:bookmarkStart w:id="43" w:name="_Toc180788380"/>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Immunhistochemische Färbung von CD44 mit unterschiedlichen Färbeintensitäten. Alle Färbeintensitäten (+, ++, +++) wurden als positive Färbung angesehen</w:t>
      </w:r>
      <w:bookmarkEnd w:id="43"/>
    </w:p>
    <w:p w14:paraId="518F6A08" w14:textId="77777777" w:rsidR="007C17BF" w:rsidRPr="00812C16" w:rsidRDefault="007C17BF" w:rsidP="007C17BF">
      <w:pPr>
        <w:spacing w:before="100" w:beforeAutospacing="1" w:after="100" w:afterAutospacing="1" w:line="240" w:lineRule="auto"/>
        <w:jc w:val="left"/>
        <w:rPr>
          <w:rFonts w:cs="Arial"/>
          <w:lang w:eastAsia="de-DE"/>
        </w:rPr>
      </w:pPr>
      <w:r w:rsidRPr="00812C16">
        <w:rPr>
          <w:rFonts w:cs="Arial"/>
          <w:lang w:eastAsia="de-DE"/>
        </w:rPr>
        <w:t xml:space="preserve">Mit Hilfe des Tissue-Microarray(TMA)-Verfahrens konnte das Karzinomgewebe (n = 169) auf 11 TMA- Blöcke überführt werden. Davon wurden 10 für das Tonsillen-Karzinomgewebe verbraucht. Das Gewebe der Lymphknotenmetastasen wurde auf einen separaten TMA-Block überführt. Insgesamt lagen 1.401 Gewebestanzen vor. Von insgesamt 169 Fällen </w:t>
      </w:r>
      <w:r w:rsidRPr="00812C16">
        <w:rPr>
          <w:rFonts w:cs="Arial"/>
          <w:shd w:val="clear" w:color="auto" w:fill="FFFFFF"/>
          <w:lang w:eastAsia="de-DE"/>
        </w:rPr>
        <w:t>waren 166 (98,2%) auswertbar</w:t>
      </w:r>
      <w:r w:rsidRPr="00812C16">
        <w:rPr>
          <w:rFonts w:cs="Arial"/>
          <w:lang w:eastAsia="de-DE"/>
        </w:rPr>
        <w:t xml:space="preserve">. Bei den verbliebenen 3 Fällen (0,8%) ließ sich kein Tumorgewebe im Schnittpräparat diagnostizieren. Das </w:t>
      </w:r>
      <w:r w:rsidRPr="00812C16">
        <w:rPr>
          <w:rFonts w:cs="Arial"/>
          <w:lang w:eastAsia="de-DE"/>
        </w:rPr>
        <w:lastRenderedPageBreak/>
        <w:t xml:space="preserve">Gewebe der Lymphknotenmetastasen war in 96% (n = 26) der </w:t>
      </w:r>
      <w:r w:rsidR="00991A22" w:rsidRPr="00812C16">
        <w:rPr>
          <w:rFonts w:cs="Arial"/>
          <w:lang w:eastAsia="de-DE"/>
        </w:rPr>
        <w:t xml:space="preserve">Fälle </w:t>
      </w:r>
      <w:r w:rsidRPr="00812C16">
        <w:rPr>
          <w:rFonts w:cs="Arial"/>
          <w:lang w:eastAsia="de-DE"/>
        </w:rPr>
        <w:t xml:space="preserve">auswertbar. Die geringe Anzahl der </w:t>
      </w:r>
      <w:r w:rsidR="00991A22" w:rsidRPr="00812C16">
        <w:rPr>
          <w:rFonts w:cs="Arial"/>
          <w:lang w:eastAsia="de-DE"/>
        </w:rPr>
        <w:t>Ausfälle</w:t>
      </w:r>
      <w:r w:rsidRPr="00812C16">
        <w:rPr>
          <w:rFonts w:cs="Arial"/>
          <w:lang w:eastAsia="de-DE"/>
        </w:rPr>
        <w:t xml:space="preserve"> kam dadurch zustande, dass jedes Karzinomgewebe pro Fall dreimal gestanzt wurde. </w:t>
      </w:r>
    </w:p>
    <w:p w14:paraId="05E3A052" w14:textId="77777777" w:rsidR="007C17BF" w:rsidRPr="00812C16" w:rsidRDefault="007C17BF" w:rsidP="000943C4">
      <w:pPr>
        <w:rPr>
          <w:rFonts w:cs="Arial"/>
        </w:rPr>
      </w:pPr>
    </w:p>
    <w:p w14:paraId="088A18B3" w14:textId="77777777" w:rsidR="00980CFA" w:rsidRPr="00812C16" w:rsidRDefault="0074123A" w:rsidP="00980CFA">
      <w:pPr>
        <w:pStyle w:val="berschrift2"/>
        <w:rPr>
          <w:rFonts w:cs="Arial"/>
        </w:rPr>
      </w:pPr>
      <w:bookmarkStart w:id="44" w:name="_Toc158006533"/>
      <w:r w:rsidRPr="00812C16">
        <w:rPr>
          <w:rFonts w:cs="Arial"/>
        </w:rPr>
        <w:t xml:space="preserve">Statistische Methoden </w:t>
      </w:r>
      <w:r w:rsidR="00C570CC" w:rsidRPr="00812C16">
        <w:rPr>
          <w:rFonts w:cs="Arial"/>
        </w:rPr>
        <w:t>und</w:t>
      </w:r>
      <w:r w:rsidR="00E025CB" w:rsidRPr="00812C16">
        <w:rPr>
          <w:rFonts w:cs="Arial"/>
        </w:rPr>
        <w:t xml:space="preserve"> klinische Endpunkte</w:t>
      </w:r>
      <w:bookmarkEnd w:id="44"/>
      <w:r w:rsidR="00E025CB" w:rsidRPr="00812C16">
        <w:rPr>
          <w:rFonts w:cs="Arial"/>
        </w:rPr>
        <w:t xml:space="preserve"> </w:t>
      </w:r>
    </w:p>
    <w:p w14:paraId="34E23344" w14:textId="77777777" w:rsidR="003133CE" w:rsidRPr="00812C16" w:rsidRDefault="00373BAC" w:rsidP="00A049BC">
      <w:pPr>
        <w:rPr>
          <w:rFonts w:cs="Arial"/>
        </w:rPr>
      </w:pPr>
      <w:r w:rsidRPr="00812C16">
        <w:rPr>
          <w:rFonts w:cs="Arial"/>
        </w:rPr>
        <w:t>Zunächst</w:t>
      </w:r>
      <w:r w:rsidR="00A049BC" w:rsidRPr="00812C16">
        <w:rPr>
          <w:rFonts w:cs="Arial"/>
        </w:rPr>
        <w:t xml:space="preserve"> wurden alle Daten mit dem Tabellenkalkulationsprogramm Excel erfasst. Nach </w:t>
      </w:r>
      <w:r w:rsidRPr="00812C16">
        <w:rPr>
          <w:rFonts w:cs="Arial"/>
        </w:rPr>
        <w:t>Verschlüsselung</w:t>
      </w:r>
      <w:r w:rsidR="00A049BC" w:rsidRPr="00812C16">
        <w:rPr>
          <w:rFonts w:cs="Arial"/>
        </w:rPr>
        <w:t xml:space="preserve"> der Patientenidentitäten wurden diese anonymisiert in das </w:t>
      </w:r>
      <w:r w:rsidR="00F66B81" w:rsidRPr="00812C16">
        <w:rPr>
          <w:rFonts w:cs="Arial"/>
        </w:rPr>
        <w:t>SPSS</w:t>
      </w:r>
      <w:r w:rsidR="00A049BC" w:rsidRPr="00812C16">
        <w:rPr>
          <w:rFonts w:cs="Arial"/>
        </w:rPr>
        <w:t>S</w:t>
      </w:r>
      <w:r w:rsidR="00F66B81" w:rsidRPr="00812C16">
        <w:rPr>
          <w:rFonts w:cs="Arial"/>
        </w:rPr>
        <w:t>-</w:t>
      </w:r>
      <w:r w:rsidR="00DF3A92" w:rsidRPr="00812C16">
        <w:rPr>
          <w:rFonts w:cs="Arial"/>
        </w:rPr>
        <w:t>Software-Programm (Statistical Package for the Social Science Version 28.0 für Mac OS)</w:t>
      </w:r>
      <w:r w:rsidR="00A049BC" w:rsidRPr="00812C16">
        <w:rPr>
          <w:rFonts w:cs="Arial"/>
        </w:rPr>
        <w:t xml:space="preserve"> </w:t>
      </w:r>
      <w:r w:rsidRPr="00812C16">
        <w:rPr>
          <w:rFonts w:cs="Arial"/>
        </w:rPr>
        <w:t>übernommen</w:t>
      </w:r>
      <w:r w:rsidR="00A049BC" w:rsidRPr="00812C16">
        <w:rPr>
          <w:rFonts w:cs="Arial"/>
        </w:rPr>
        <w:t xml:space="preserve">, mit dem die statistische Auswertung der gesammelten Daten erfolgte. </w:t>
      </w:r>
    </w:p>
    <w:p w14:paraId="64D57FEF" w14:textId="77777777" w:rsidR="00B96A17" w:rsidRPr="00812C16" w:rsidRDefault="00B96A17" w:rsidP="00AF7ACF">
      <w:pPr>
        <w:spacing w:after="360"/>
        <w:rPr>
          <w:rFonts w:cs="Arial"/>
        </w:rPr>
      </w:pPr>
    </w:p>
    <w:p w14:paraId="6D99D18F" w14:textId="77777777" w:rsidR="007B6D25" w:rsidRPr="00812C16" w:rsidRDefault="00373BAC" w:rsidP="00AF7ACF">
      <w:pPr>
        <w:spacing w:after="360"/>
        <w:rPr>
          <w:rFonts w:cs="Arial"/>
        </w:rPr>
      </w:pPr>
      <w:r w:rsidRPr="00812C16">
        <w:rPr>
          <w:rFonts w:cs="Arial"/>
        </w:rPr>
        <w:t xml:space="preserve">Der Beobachtungszeitraum </w:t>
      </w:r>
      <w:r w:rsidR="003300A6" w:rsidRPr="00812C16">
        <w:rPr>
          <w:rFonts w:cs="Arial"/>
        </w:rPr>
        <w:t xml:space="preserve">wurde </w:t>
      </w:r>
      <w:r w:rsidRPr="00812C16">
        <w:rPr>
          <w:rFonts w:cs="Arial"/>
        </w:rPr>
        <w:t>für alle Er</w:t>
      </w:r>
      <w:r w:rsidR="008501B9" w:rsidRPr="00812C16">
        <w:rPr>
          <w:rFonts w:cs="Arial"/>
        </w:rPr>
        <w:t>e</w:t>
      </w:r>
      <w:r w:rsidRPr="00812C16">
        <w:rPr>
          <w:rFonts w:cs="Arial"/>
        </w:rPr>
        <w:t xml:space="preserve">igniszeitanalysen wurde vom ersten Tag der Strahlentherapie bis zum Datum </w:t>
      </w:r>
      <w:r w:rsidR="008501B9" w:rsidRPr="00812C16">
        <w:rPr>
          <w:rFonts w:cs="Arial"/>
        </w:rPr>
        <w:t>des Ereignisses</w:t>
      </w:r>
      <w:r w:rsidRPr="00812C16">
        <w:rPr>
          <w:rFonts w:cs="Arial"/>
        </w:rPr>
        <w:t xml:space="preserve"> oder der Zensur berechnet</w:t>
      </w:r>
      <w:r w:rsidR="008501B9" w:rsidRPr="00812C16">
        <w:rPr>
          <w:rFonts w:cs="Arial"/>
        </w:rPr>
        <w:t xml:space="preserve">. </w:t>
      </w:r>
      <w:r w:rsidR="003133CE" w:rsidRPr="00812C16">
        <w:rPr>
          <w:rFonts w:cs="Arial"/>
        </w:rPr>
        <w:t xml:space="preserve">Die Mindestnachbeobachtungszeit </w:t>
      </w:r>
      <w:r w:rsidR="00741213" w:rsidRPr="00812C16">
        <w:rPr>
          <w:rFonts w:cs="Arial"/>
        </w:rPr>
        <w:t xml:space="preserve">der einzelnen Patienten </w:t>
      </w:r>
      <w:r w:rsidR="003133CE" w:rsidRPr="00812C16">
        <w:rPr>
          <w:rFonts w:cs="Arial"/>
        </w:rPr>
        <w:t xml:space="preserve">musste </w:t>
      </w:r>
      <w:r w:rsidR="00DF4C3C" w:rsidRPr="00812C16">
        <w:rPr>
          <w:rFonts w:cs="Arial"/>
        </w:rPr>
        <w:t xml:space="preserve">(gemäß der Einschlusskriterien) </w:t>
      </w:r>
      <w:r w:rsidR="003133CE" w:rsidRPr="00812C16">
        <w:rPr>
          <w:rFonts w:cs="Arial"/>
        </w:rPr>
        <w:t xml:space="preserve">24 Monate </w:t>
      </w:r>
      <w:r w:rsidR="00DF4C3C" w:rsidRPr="00812C16">
        <w:rPr>
          <w:rFonts w:cs="Arial"/>
        </w:rPr>
        <w:t>betragen,</w:t>
      </w:r>
      <w:r w:rsidR="003133CE" w:rsidRPr="00812C16">
        <w:rPr>
          <w:rFonts w:cs="Arial"/>
        </w:rPr>
        <w:t xml:space="preserve"> um</w:t>
      </w:r>
      <w:r w:rsidR="00D96322" w:rsidRPr="00812C16">
        <w:rPr>
          <w:rFonts w:cs="Arial"/>
        </w:rPr>
        <w:t xml:space="preserve"> in </w:t>
      </w:r>
      <w:r w:rsidR="003133CE" w:rsidRPr="00812C16">
        <w:rPr>
          <w:rFonts w:cs="Arial"/>
        </w:rPr>
        <w:t xml:space="preserve">der statistischen Datenauswertung </w:t>
      </w:r>
      <w:r w:rsidR="00D96322" w:rsidRPr="00812C16">
        <w:rPr>
          <w:rFonts w:cs="Arial"/>
        </w:rPr>
        <w:t>berücksichtigt zu werden.</w:t>
      </w:r>
      <w:r w:rsidR="004404A1" w:rsidRPr="00812C16">
        <w:rPr>
          <w:rFonts w:cs="Arial"/>
        </w:rPr>
        <w:t xml:space="preserve"> Der primäre Endpunkt war die lokoregionäre Kontrolle (LRC) und sekundäre Endpunkte waren das metastasenfrei Überleben (MFS) und das Gesamtüberleben (GS). </w:t>
      </w:r>
      <w:r w:rsidR="007B6D25" w:rsidRPr="00812C16">
        <w:rPr>
          <w:rFonts w:cs="Arial"/>
        </w:rPr>
        <w:t xml:space="preserve">Die verscheidenn klinischen Endpunkte wurden wie folgt definiert: </w:t>
      </w:r>
    </w:p>
    <w:tbl>
      <w:tblPr>
        <w:tblStyle w:val="Tabellenraster"/>
        <w:tblW w:w="9072" w:type="dxa"/>
        <w:tblBorders>
          <w:top w:val="none" w:sz="0" w:space="0" w:color="auto"/>
          <w:left w:val="none" w:sz="0" w:space="0" w:color="auto"/>
          <w:bottom w:val="none" w:sz="0" w:space="0" w:color="auto"/>
          <w:right w:val="none" w:sz="0" w:space="0" w:color="auto"/>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2268"/>
        <w:gridCol w:w="6804"/>
      </w:tblGrid>
      <w:tr w:rsidR="00AF7ACF" w:rsidRPr="00812C16" w14:paraId="497F1A35" w14:textId="77777777" w:rsidTr="00AB1440">
        <w:tc>
          <w:tcPr>
            <w:tcW w:w="2268" w:type="dxa"/>
            <w:tcBorders>
              <w:top w:val="single" w:sz="4" w:space="0" w:color="000000" w:themeColor="text1"/>
              <w:bottom w:val="single" w:sz="4" w:space="0" w:color="000000" w:themeColor="text1"/>
              <w:right w:val="nil"/>
            </w:tcBorders>
          </w:tcPr>
          <w:p w14:paraId="41093DB4" w14:textId="77777777" w:rsidR="00027171" w:rsidRPr="00812C16" w:rsidRDefault="00027171" w:rsidP="00AB1440">
            <w:pPr>
              <w:spacing w:before="30" w:after="30"/>
              <w:rPr>
                <w:rFonts w:cs="Arial"/>
                <w:b/>
                <w:bCs/>
                <w:sz w:val="20"/>
                <w:szCs w:val="20"/>
              </w:rPr>
            </w:pPr>
            <w:r w:rsidRPr="00812C16">
              <w:rPr>
                <w:rFonts w:cs="Arial"/>
                <w:b/>
                <w:bCs/>
                <w:sz w:val="20"/>
                <w:szCs w:val="20"/>
              </w:rPr>
              <w:t>Klinischer Endpunkt</w:t>
            </w:r>
          </w:p>
        </w:tc>
        <w:tc>
          <w:tcPr>
            <w:tcW w:w="6804" w:type="dxa"/>
            <w:tcBorders>
              <w:top w:val="single" w:sz="4" w:space="0" w:color="000000" w:themeColor="text1"/>
              <w:left w:val="nil"/>
              <w:bottom w:val="single" w:sz="4" w:space="0" w:color="000000" w:themeColor="text1"/>
            </w:tcBorders>
          </w:tcPr>
          <w:p w14:paraId="1A910BD1" w14:textId="77777777" w:rsidR="00027171" w:rsidRPr="00812C16" w:rsidRDefault="00027171" w:rsidP="00AB1440">
            <w:pPr>
              <w:spacing w:before="30" w:after="30"/>
              <w:rPr>
                <w:rFonts w:cs="Arial"/>
                <w:b/>
                <w:bCs/>
                <w:sz w:val="20"/>
                <w:szCs w:val="20"/>
              </w:rPr>
            </w:pPr>
            <w:r w:rsidRPr="00812C16">
              <w:rPr>
                <w:rFonts w:cs="Arial"/>
                <w:b/>
                <w:bCs/>
                <w:sz w:val="20"/>
                <w:szCs w:val="20"/>
              </w:rPr>
              <w:t>Definition</w:t>
            </w:r>
          </w:p>
        </w:tc>
      </w:tr>
      <w:tr w:rsidR="000F7CB9" w:rsidRPr="00812C16" w14:paraId="35BCF49E" w14:textId="77777777" w:rsidTr="00AB1440">
        <w:tc>
          <w:tcPr>
            <w:tcW w:w="2268" w:type="dxa"/>
            <w:tcBorders>
              <w:top w:val="single" w:sz="4" w:space="0" w:color="000000" w:themeColor="text1"/>
              <w:right w:val="nil"/>
            </w:tcBorders>
          </w:tcPr>
          <w:p w14:paraId="2C1D2F75" w14:textId="77777777" w:rsidR="00027171" w:rsidRPr="00812C16" w:rsidRDefault="00027171" w:rsidP="00AB1440">
            <w:pPr>
              <w:spacing w:before="30" w:after="30" w:line="360" w:lineRule="auto"/>
              <w:rPr>
                <w:rFonts w:cs="Arial"/>
                <w:sz w:val="20"/>
                <w:szCs w:val="20"/>
              </w:rPr>
            </w:pPr>
            <w:r w:rsidRPr="00812C16">
              <w:rPr>
                <w:rFonts w:cs="Arial"/>
                <w:sz w:val="20"/>
                <w:szCs w:val="20"/>
              </w:rPr>
              <w:t>Lokoregionäre Tumorkontrolle</w:t>
            </w:r>
          </w:p>
        </w:tc>
        <w:tc>
          <w:tcPr>
            <w:tcW w:w="6804" w:type="dxa"/>
            <w:tcBorders>
              <w:top w:val="single" w:sz="4" w:space="0" w:color="000000" w:themeColor="text1"/>
              <w:left w:val="nil"/>
            </w:tcBorders>
          </w:tcPr>
          <w:p w14:paraId="76B26AED" w14:textId="77777777" w:rsidR="00027171" w:rsidRPr="00812C16" w:rsidRDefault="00AF7ACF" w:rsidP="00AB1440">
            <w:pPr>
              <w:spacing w:before="30" w:after="30" w:line="360" w:lineRule="auto"/>
              <w:rPr>
                <w:rFonts w:cs="Arial"/>
                <w:sz w:val="20"/>
                <w:szCs w:val="20"/>
              </w:rPr>
            </w:pPr>
            <w:r w:rsidRPr="00812C16">
              <w:rPr>
                <w:rFonts w:cs="Arial"/>
                <w:sz w:val="20"/>
                <w:szCs w:val="20"/>
              </w:rPr>
              <w:t>Zeitraum zwischen der Radiochemotherapie und dem Auftreten eines Lokalrezidivs (Ereignis) bzw. das zuletzt erfasste Datum der Nachbeobachtung, an dem das Ereignis nicht eingetreten war</w:t>
            </w:r>
          </w:p>
        </w:tc>
      </w:tr>
      <w:tr w:rsidR="000F7CB9" w:rsidRPr="00812C16" w14:paraId="412DFD24" w14:textId="77777777" w:rsidTr="00AB1440">
        <w:tc>
          <w:tcPr>
            <w:tcW w:w="2268" w:type="dxa"/>
            <w:tcBorders>
              <w:right w:val="nil"/>
            </w:tcBorders>
          </w:tcPr>
          <w:p w14:paraId="2D01283E" w14:textId="77777777" w:rsidR="00027171" w:rsidRPr="00812C16" w:rsidRDefault="00027171" w:rsidP="00AB1440">
            <w:pPr>
              <w:spacing w:before="30" w:after="30" w:line="360" w:lineRule="auto"/>
              <w:rPr>
                <w:rFonts w:cs="Arial"/>
                <w:sz w:val="20"/>
                <w:szCs w:val="20"/>
              </w:rPr>
            </w:pPr>
            <w:r w:rsidRPr="00812C16">
              <w:rPr>
                <w:rFonts w:cs="Arial"/>
                <w:sz w:val="20"/>
                <w:szCs w:val="20"/>
              </w:rPr>
              <w:t>Fernmetastasenfreies Überleben</w:t>
            </w:r>
          </w:p>
        </w:tc>
        <w:tc>
          <w:tcPr>
            <w:tcW w:w="6804" w:type="dxa"/>
            <w:tcBorders>
              <w:left w:val="nil"/>
            </w:tcBorders>
          </w:tcPr>
          <w:p w14:paraId="20719A02"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Radiochemotheraphie und dem Auftreten von Fernmetastasen bzw. das zuletzt erfasste Datum der Nachbeobachtung, an dem das Ereignis nicht eingetreten war </w:t>
            </w:r>
          </w:p>
        </w:tc>
      </w:tr>
      <w:tr w:rsidR="000F7CB9" w:rsidRPr="00812C16" w14:paraId="73AD5438" w14:textId="77777777" w:rsidTr="00AB1440">
        <w:tc>
          <w:tcPr>
            <w:tcW w:w="2268" w:type="dxa"/>
            <w:tcBorders>
              <w:bottom w:val="single" w:sz="4" w:space="0" w:color="000000" w:themeColor="text1"/>
              <w:right w:val="nil"/>
            </w:tcBorders>
          </w:tcPr>
          <w:p w14:paraId="1C5533AF" w14:textId="77777777" w:rsidR="00027171" w:rsidRPr="00812C16" w:rsidRDefault="00027171" w:rsidP="00AB1440">
            <w:pPr>
              <w:spacing w:before="30" w:after="30" w:line="360" w:lineRule="auto"/>
              <w:rPr>
                <w:rFonts w:cs="Arial"/>
                <w:sz w:val="20"/>
                <w:szCs w:val="20"/>
              </w:rPr>
            </w:pPr>
            <w:r w:rsidRPr="00812C16">
              <w:rPr>
                <w:rFonts w:cs="Arial"/>
                <w:sz w:val="20"/>
                <w:szCs w:val="20"/>
              </w:rPr>
              <w:t>Gesamtüberleben</w:t>
            </w:r>
          </w:p>
        </w:tc>
        <w:tc>
          <w:tcPr>
            <w:tcW w:w="6804" w:type="dxa"/>
            <w:tcBorders>
              <w:left w:val="nil"/>
              <w:bottom w:val="single" w:sz="4" w:space="0" w:color="000000" w:themeColor="text1"/>
            </w:tcBorders>
          </w:tcPr>
          <w:p w14:paraId="0BAC7FBE"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Radiochemotherapie und dem </w:t>
            </w:r>
            <w:r w:rsidR="000E7EC3" w:rsidRPr="00812C16">
              <w:rPr>
                <w:rFonts w:cs="Arial"/>
                <w:sz w:val="20"/>
                <w:szCs w:val="20"/>
              </w:rPr>
              <w:t xml:space="preserve">tumorbedingten </w:t>
            </w:r>
            <w:r w:rsidRPr="00812C16">
              <w:rPr>
                <w:rFonts w:cs="Arial"/>
                <w:sz w:val="20"/>
                <w:szCs w:val="20"/>
              </w:rPr>
              <w:t xml:space="preserve">Todeszeitpunkt </w:t>
            </w:r>
            <w:r w:rsidR="000E7EC3" w:rsidRPr="00812C16">
              <w:rPr>
                <w:rFonts w:cs="Arial"/>
                <w:sz w:val="20"/>
                <w:szCs w:val="20"/>
              </w:rPr>
              <w:t>/ Tod jedweder Art </w:t>
            </w:r>
            <w:r w:rsidRPr="00812C16">
              <w:rPr>
                <w:rFonts w:cs="Arial"/>
                <w:sz w:val="20"/>
                <w:szCs w:val="20"/>
              </w:rPr>
              <w:t xml:space="preserve">bzw. der zuletzt erfasste Zeitpunkt, an dem die Patienten am Leben waren </w:t>
            </w:r>
          </w:p>
        </w:tc>
      </w:tr>
    </w:tbl>
    <w:p w14:paraId="5B84CB06" w14:textId="77777777" w:rsidR="008B3C7E" w:rsidRPr="00812C16" w:rsidRDefault="00A049BC" w:rsidP="00AF7ACF">
      <w:pPr>
        <w:spacing w:before="360"/>
        <w:rPr>
          <w:rFonts w:cs="Arial"/>
        </w:rPr>
      </w:pPr>
      <w:r w:rsidRPr="00812C16">
        <w:rPr>
          <w:rFonts w:cs="Arial"/>
        </w:rPr>
        <w:t xml:space="preserve">Der Endpunkt für das Gesamtüberleben (OS) war entweder das </w:t>
      </w:r>
      <w:r w:rsidR="0042790C" w:rsidRPr="00812C16">
        <w:rPr>
          <w:rFonts w:cs="Arial"/>
        </w:rPr>
        <w:t xml:space="preserve">tumorbedingte </w:t>
      </w:r>
      <w:r w:rsidRPr="00812C16">
        <w:rPr>
          <w:rFonts w:cs="Arial"/>
        </w:rPr>
        <w:t xml:space="preserve">Sterbedatum oder der zuletzt erfasste Zeitpunkt, an dem die Patienten am Leben </w:t>
      </w:r>
      <w:r w:rsidRPr="00812C16">
        <w:rPr>
          <w:rFonts w:cs="Arial"/>
        </w:rPr>
        <w:lastRenderedPageBreak/>
        <w:t xml:space="preserve">waren. Die Endpunkte für das metastasenfreie </w:t>
      </w:r>
      <w:r w:rsidR="00741213" w:rsidRPr="00812C16">
        <w:rPr>
          <w:rFonts w:cs="Arial"/>
        </w:rPr>
        <w:t>Überleben</w:t>
      </w:r>
      <w:r w:rsidRPr="00812C16">
        <w:rPr>
          <w:rFonts w:cs="Arial"/>
        </w:rPr>
        <w:t xml:space="preserve"> (MFS) und die </w:t>
      </w:r>
      <w:r w:rsidR="00741213" w:rsidRPr="00812C16">
        <w:rPr>
          <w:rFonts w:cs="Arial"/>
        </w:rPr>
        <w:t>lokoregionäre</w:t>
      </w:r>
      <w:r w:rsidRPr="00812C16">
        <w:rPr>
          <w:rFonts w:cs="Arial"/>
        </w:rPr>
        <w:t xml:space="preserve"> Kontrolle (LRC) waren entweder das Diagnosedatum der Metastase bzw. des Rezidivs oder das zuletzt erfasste Datum</w:t>
      </w:r>
      <w:r w:rsidR="00D41320" w:rsidRPr="00812C16">
        <w:rPr>
          <w:rFonts w:cs="Arial"/>
        </w:rPr>
        <w:t xml:space="preserve"> der Nachbeobachtung</w:t>
      </w:r>
      <w:r w:rsidRPr="00812C16">
        <w:rPr>
          <w:rFonts w:cs="Arial"/>
        </w:rPr>
        <w:t xml:space="preserve">, zu dem keines der beiden Ereignisse eingetreten war. Die Diagnosesicherung des Rezidivs erfolgte hierbei pathologisch nach bioptischer Probenentnahme. </w:t>
      </w:r>
    </w:p>
    <w:p w14:paraId="106D8790" w14:textId="77777777" w:rsidR="004F4D11" w:rsidRPr="00812C16" w:rsidRDefault="004F4D11" w:rsidP="00E42184">
      <w:pPr>
        <w:rPr>
          <w:rFonts w:cs="Arial"/>
        </w:rPr>
      </w:pPr>
    </w:p>
    <w:p w14:paraId="54F665BF" w14:textId="77777777" w:rsidR="00E42184" w:rsidRPr="00812C16" w:rsidRDefault="00E42184" w:rsidP="00E42184">
      <w:pPr>
        <w:rPr>
          <w:rFonts w:cs="Arial"/>
        </w:rPr>
      </w:pPr>
      <w:r w:rsidRPr="00812C16">
        <w:rPr>
          <w:rFonts w:cs="Arial"/>
        </w:rPr>
        <w:t>Die Dauer der Ereignis</w:t>
      </w:r>
      <w:r w:rsidR="00121513" w:rsidRPr="00812C16">
        <w:rPr>
          <w:rFonts w:cs="Arial"/>
        </w:rPr>
        <w:t xml:space="preserve">freien Zeit / Überelebnseiz </w:t>
      </w:r>
      <w:r w:rsidRPr="00812C16">
        <w:rPr>
          <w:rFonts w:cs="Arial"/>
        </w:rPr>
        <w:t xml:space="preserve"> (Follow Up) wurde für alle o.g. Endpunkte mithilfe de</w:t>
      </w:r>
      <w:r w:rsidR="002979A6" w:rsidRPr="00812C16">
        <w:rPr>
          <w:rFonts w:cs="Arial"/>
        </w:rPr>
        <w:t xml:space="preserve">r </w:t>
      </w:r>
      <w:r w:rsidRPr="00812C16">
        <w:rPr>
          <w:rFonts w:cs="Arial"/>
        </w:rPr>
        <w:t>Kaplan-Meier</w:t>
      </w:r>
      <w:r w:rsidR="002979A6" w:rsidRPr="00812C16">
        <w:rPr>
          <w:rFonts w:cs="Arial"/>
        </w:rPr>
        <w:t>-</w:t>
      </w:r>
      <w:r w:rsidR="008B3C7E" w:rsidRPr="00812C16">
        <w:rPr>
          <w:rFonts w:cs="Arial"/>
        </w:rPr>
        <w:t>Methode</w:t>
      </w:r>
      <w:r w:rsidRPr="00812C16">
        <w:rPr>
          <w:rFonts w:cs="Arial"/>
        </w:rPr>
        <w:t xml:space="preserve"> geschätzt und in entsprechende Überlebenskurven grafisch dargestellt. </w:t>
      </w:r>
      <w:r w:rsidR="00121513" w:rsidRPr="00812C16">
        <w:rPr>
          <w:rFonts w:cs="Arial"/>
        </w:rPr>
        <w:t xml:space="preserve">Für alle Endpunkte wurden die entsprechenden Überlebsraten und (wenn möglich) mediane Überlebszeit angegeben. </w:t>
      </w:r>
      <w:r w:rsidRPr="00812C16">
        <w:rPr>
          <w:rFonts w:cs="Arial"/>
        </w:rPr>
        <w:t xml:space="preserve">Die berechneten Zeitwerte </w:t>
      </w:r>
      <w:r w:rsidR="00F606F5" w:rsidRPr="00812C16">
        <w:rPr>
          <w:rFonts w:cs="Arial"/>
        </w:rPr>
        <w:t xml:space="preserve">der Überlebenswahrscheinlichkeit </w:t>
      </w:r>
      <w:r w:rsidRPr="00812C16">
        <w:rPr>
          <w:rFonts w:cs="Arial"/>
        </w:rPr>
        <w:t>wurden</w:t>
      </w:r>
      <w:r w:rsidR="000022F4" w:rsidRPr="00812C16">
        <w:rPr>
          <w:rFonts w:cs="Arial"/>
        </w:rPr>
        <w:t>, wenn möglich</w:t>
      </w:r>
      <w:r w:rsidRPr="00812C16">
        <w:rPr>
          <w:rFonts w:cs="Arial"/>
        </w:rPr>
        <w:t xml:space="preserve"> jeweils als Median gemessen. </w:t>
      </w:r>
    </w:p>
    <w:p w14:paraId="0BAA2057" w14:textId="77777777" w:rsidR="00121513" w:rsidRPr="00812C16" w:rsidRDefault="00121513" w:rsidP="00121513">
      <w:pPr>
        <w:spacing w:after="240" w:line="275" w:lineRule="atLeast"/>
        <w:jc w:val="left"/>
        <w:rPr>
          <w:rFonts w:cs="Arial"/>
          <w:color w:val="334D97"/>
          <w:lang w:eastAsia="de-DE"/>
        </w:rPr>
      </w:pPr>
      <w:r w:rsidRPr="00812C16">
        <w:rPr>
          <w:rFonts w:cs="Arial"/>
          <w:color w:val="334D97"/>
          <w:lang w:eastAsia="de-DE"/>
        </w:rPr>
        <w:t>Bei der Analyse von Überlebenszeitdaten wird das Kaplan-Meier-Verfahren benutzt. Es können Überlebensraten und die mediane Überlebenszeit angegeben werden. Mit Hilfe des Log-rank-Tests kann man die Überlebenszeiten von zwei Gruppen miteinander vergleichen. Für multivariable Modelle verwendet man die Cox-Regression. Das Hazard Ratio als deskriptives Maß für den Unterschied von Überlebenszeiten wird erläutert. </w:t>
      </w:r>
    </w:p>
    <w:p w14:paraId="18A755D1" w14:textId="77777777" w:rsidR="00121513" w:rsidRPr="00812C16" w:rsidRDefault="00121513" w:rsidP="00121513">
      <w:pPr>
        <w:spacing w:after="0" w:line="240" w:lineRule="auto"/>
        <w:jc w:val="left"/>
        <w:rPr>
          <w:rFonts w:cs="Arial"/>
          <w:lang w:eastAsia="de-DE"/>
        </w:rPr>
      </w:pPr>
    </w:p>
    <w:p w14:paraId="6693ECD8" w14:textId="77777777" w:rsidR="004E2700" w:rsidRPr="00812C16" w:rsidRDefault="004E2700" w:rsidP="004E2700">
      <w:pPr>
        <w:rPr>
          <w:rFonts w:cs="Arial"/>
        </w:rPr>
      </w:pPr>
      <w:r w:rsidRPr="00812C16">
        <w:rPr>
          <w:rFonts w:cs="Arial"/>
        </w:rPr>
        <w:t xml:space="preserve">Nachbeobachtungszeit wurde vom Zeitpunkt der primären Tumorresektion berechnet und die Überlebsnwahrscheinlichkeit für alle Endpunkte mit hilfe der Kaplan maier methode geschätzt. </w:t>
      </w:r>
    </w:p>
    <w:p w14:paraId="53F203F8" w14:textId="77777777" w:rsidR="004E2700" w:rsidRPr="00812C16" w:rsidRDefault="004E2700" w:rsidP="004E2700">
      <w:pPr>
        <w:spacing w:after="360"/>
        <w:rPr>
          <w:rFonts w:cs="Arial"/>
        </w:rPr>
      </w:pPr>
      <w:r w:rsidRPr="00812C16">
        <w:rPr>
          <w:rFonts w:cs="Arial"/>
        </w:rPr>
        <w:t>Die Überlebenszeitanalysen</w:t>
      </w:r>
      <w:r w:rsidRPr="00812C16">
        <w:rPr>
          <w:rFonts w:cs="Arial"/>
          <w:b/>
          <w:bCs/>
        </w:rPr>
        <w:t xml:space="preserve"> </w:t>
      </w:r>
      <w:r w:rsidRPr="00812C16">
        <w:rPr>
          <w:rFonts w:cs="Arial"/>
        </w:rPr>
        <w:t xml:space="preserve">wurden mit dem univariaten Verfahren nach Kaplan- Meier durchgeführt und die geschätzten Überlebenszeiten in Kaplan-Meier Ereigniskurven dargestellt </w:t>
      </w:r>
    </w:p>
    <w:p w14:paraId="068F1159" w14:textId="77777777" w:rsidR="004E2700" w:rsidRPr="00812C16" w:rsidRDefault="004E2700" w:rsidP="004E2700">
      <w:pPr>
        <w:spacing w:after="360"/>
        <w:rPr>
          <w:rFonts w:cs="Arial"/>
        </w:rPr>
      </w:pPr>
    </w:p>
    <w:p w14:paraId="3999250D" w14:textId="77777777" w:rsidR="004E2700" w:rsidRPr="00812C16" w:rsidRDefault="004E2700" w:rsidP="004E2700">
      <w:pPr>
        <w:spacing w:after="360"/>
        <w:rPr>
          <w:rFonts w:cs="Arial"/>
        </w:rPr>
      </w:pPr>
      <w:r w:rsidRPr="00812C16">
        <w:rPr>
          <w:rFonts w:cs="Arial"/>
        </w:rPr>
        <w:sym w:font="Wingdings" w:char="003F"/>
      </w:r>
      <w:r w:rsidRPr="00812C16">
        <w:rPr>
          <w:rFonts w:cs="Arial"/>
        </w:rPr>
        <w:t xml:space="preserve"> Kaplan meier kurven daruas überlebsraten und mediane überlebesnzeit wenn weniger alks bei der hälfte ein ereignis eigetreten wa</w:t>
      </w:r>
    </w:p>
    <w:p w14:paraId="432F3385" w14:textId="77777777" w:rsidR="000022F4" w:rsidRPr="00812C16" w:rsidRDefault="000022F4" w:rsidP="00E42184">
      <w:pPr>
        <w:rPr>
          <w:rFonts w:cs="Arial"/>
        </w:rPr>
      </w:pPr>
    </w:p>
    <w:p w14:paraId="04D86051" w14:textId="77777777" w:rsidR="000022F4" w:rsidRPr="00812C16" w:rsidRDefault="000022F4" w:rsidP="00E42184">
      <w:pPr>
        <w:rPr>
          <w:rFonts w:cs="Arial"/>
        </w:rPr>
      </w:pPr>
      <w:r w:rsidRPr="00812C16">
        <w:rPr>
          <w:rFonts w:cs="Arial"/>
        </w:rPr>
        <w:t xml:space="preserve">Falls der Kaplan-Meier-Schätzer in der gesamten Beobachtungszeit über 50 % liegt, ist die mediane Überlebenszeit nicht zu bestimmen. In diesem Fall ist bis zur </w:t>
      </w:r>
      <w:r w:rsidRPr="00812C16">
        <w:rPr>
          <w:rFonts w:cs="Arial"/>
        </w:rPr>
        <w:lastRenderedPageBreak/>
        <w:t xml:space="preserve">maximalen Beobachtungszeit für weniger als die Hälfte der Patienten ein Ereignis eingetreten. </w:t>
      </w:r>
    </w:p>
    <w:p w14:paraId="7BF3C596" w14:textId="77777777" w:rsidR="000022F4" w:rsidRPr="00812C16" w:rsidRDefault="000022F4" w:rsidP="000022F4">
      <w:pPr>
        <w:rPr>
          <w:rFonts w:cs="Arial"/>
        </w:rPr>
      </w:pPr>
      <w:r w:rsidRPr="00812C16">
        <w:rPr>
          <w:rFonts w:cs="Arial"/>
        </w:rPr>
        <w:t>Die mediane Überlebenszeit bzw. mediane ereignisfreie Zeit kann man nur bestimmen, falls der Kaplan-Meier Schätzer unter 0,5 fällt. Falls im Beobachtungszeitraum bei weniger als 50% der Klienten ein Ereignis eingetreten ist, kann die mediane Überlebenszeit nicht angegeben werden.</w:t>
      </w:r>
    </w:p>
    <w:p w14:paraId="51EFF43E" w14:textId="77777777" w:rsidR="000022F4" w:rsidRPr="00812C16" w:rsidRDefault="000022F4" w:rsidP="000022F4">
      <w:pPr>
        <w:rPr>
          <w:rFonts w:cs="Arial"/>
        </w:rPr>
      </w:pPr>
      <w:r w:rsidRPr="00812C16">
        <w:rPr>
          <w:rFonts w:cs="Arial"/>
        </w:rPr>
        <w:t>Als Alternative zur medianen Überlebenszeit wird irrtümlich manchmal statt der medianen Überlebenszeit die mittlere oder durchschnittliche Überlebenszeit angegeben. Diese Maßzahl ist aber bei Vorliegen von Zensierungen unbrauchbar und nicht mehr zu interpretieren. Vorsicht ist vor allem deshalb geboten, da diese Maßzahl standardmäßig von vielen Programmen berechnet wird.</w:t>
      </w:r>
    </w:p>
    <w:p w14:paraId="7D79C5F6" w14:textId="77777777" w:rsidR="00096370" w:rsidRPr="00812C16" w:rsidRDefault="00E42184" w:rsidP="00E42184">
      <w:pPr>
        <w:rPr>
          <w:rFonts w:cs="Arial"/>
        </w:rPr>
      </w:pPr>
      <w:r w:rsidRPr="00812C16">
        <w:rPr>
          <w:rFonts w:cs="Arial"/>
        </w:rPr>
        <w:t xml:space="preserve">Die Berechnung der statistischen Signifikanz der Unterschiede zwischen den Überlebenskurven zweier Subgruppen erfolgte mit dem </w:t>
      </w:r>
      <w:r w:rsidRPr="00812C16">
        <w:rPr>
          <w:rFonts w:cs="Arial"/>
          <w:b/>
          <w:bCs/>
        </w:rPr>
        <w:t>Log Rank</w:t>
      </w:r>
      <w:r w:rsidRPr="00812C16">
        <w:rPr>
          <w:rFonts w:cs="Arial"/>
        </w:rPr>
        <w:t xml:space="preserve"> Test, bei dem das Signifikanzniveau auf 5% (p&lt;0,05) gesetzt wurde. Ein signifikanter Unterschied wurde </w:t>
      </w:r>
      <w:r w:rsidR="001F780E" w:rsidRPr="00812C16">
        <w:rPr>
          <w:rFonts w:cs="Arial"/>
        </w:rPr>
        <w:t xml:space="preserve">somit </w:t>
      </w:r>
      <w:r w:rsidRPr="00812C16">
        <w:rPr>
          <w:rFonts w:cs="Arial"/>
        </w:rPr>
        <w:t xml:space="preserve">bei einem p-Wert von &lt;0,05 (Kaplan-Meier-Methode) und &lt;0,1 (Cox-Regression) angenommen. </w:t>
      </w:r>
      <w:r w:rsidR="001F780E" w:rsidRPr="00812C16">
        <w:rPr>
          <w:rFonts w:cs="Arial"/>
        </w:rPr>
        <w:t>Bei einem p&lt;0,05 (Log Rank) in der Kaplan-Meier-Analyse wurde ggf. eine multivariate Analyse mittels Cox-Regression durchgeführt, um die Signifikanz zu validieren.</w:t>
      </w:r>
      <w:r w:rsidR="008B3C7E" w:rsidRPr="00812C16">
        <w:rPr>
          <w:rFonts w:cs="Arial"/>
        </w:rPr>
        <w:t xml:space="preserve"> </w:t>
      </w:r>
    </w:p>
    <w:p w14:paraId="43AC6D98" w14:textId="77777777" w:rsidR="00096370" w:rsidRPr="00812C16" w:rsidRDefault="00E42184" w:rsidP="00E42184">
      <w:pPr>
        <w:rPr>
          <w:rFonts w:cs="Arial"/>
        </w:rPr>
      </w:pPr>
      <w:r w:rsidRPr="00812C16">
        <w:rPr>
          <w:rFonts w:cs="Arial"/>
        </w:rPr>
        <w:t>Der Einfluss potenzieller prognostischer Variablen auf die Endpunkte wurde mit dem</w:t>
      </w:r>
      <w:r w:rsidR="00C90298" w:rsidRPr="00812C16">
        <w:rPr>
          <w:rFonts w:cs="Arial"/>
        </w:rPr>
        <w:t xml:space="preserve"> univunivariaten</w:t>
      </w:r>
      <w:r w:rsidRPr="00812C16">
        <w:rPr>
          <w:rFonts w:cs="Arial"/>
        </w:rPr>
        <w:t xml:space="preserve"> </w:t>
      </w:r>
      <w:r w:rsidRPr="00812C16">
        <w:rPr>
          <w:rFonts w:cs="Arial"/>
          <w:b/>
          <w:bCs/>
        </w:rPr>
        <w:t>Cox-Regressionsmodell</w:t>
      </w:r>
      <w:r w:rsidRPr="00812C16">
        <w:rPr>
          <w:rFonts w:cs="Arial"/>
        </w:rPr>
        <w:t xml:space="preserve"> bewertet. Parameter, die in der univariaten Analyse als signifikant befunden wurden, wurden in ein multivariates Cox-Modell aufgenommen. Bei dieser Methode wurde ein signifikanter Unterschied bei einem p-Wert von &lt;0,1 angenommen.</w:t>
      </w:r>
      <w:r w:rsidR="008B3C7E" w:rsidRPr="00812C16">
        <w:rPr>
          <w:rFonts w:cs="Arial"/>
        </w:rPr>
        <w:t xml:space="preserve"> </w:t>
      </w:r>
    </w:p>
    <w:p w14:paraId="48F54A8B" w14:textId="77777777" w:rsidR="009D1611" w:rsidRPr="00812C16" w:rsidRDefault="009D1611" w:rsidP="009D1611">
      <w:pPr>
        <w:rPr>
          <w:rFonts w:cs="Arial"/>
          <w:sz w:val="21"/>
          <w:szCs w:val="22"/>
          <w:lang w:eastAsia="de-DE"/>
        </w:rPr>
      </w:pPr>
      <w:r w:rsidRPr="00812C16">
        <w:rPr>
          <w:rFonts w:cs="Arial"/>
          <w:sz w:val="21"/>
          <w:szCs w:val="22"/>
          <w:lang w:eastAsia="de-DE"/>
        </w:rPr>
        <w:t>Das Risiko am Tumor zu versterben wurde schließlich in der so genannten Hazard Ratio (HR) ausgedrückt. Bei einer HR=1,0 für eine Patientengruppe gab es keinen Unterschied zur Referenzgruppe; bei einer HR&lt;1,0 hatte die Patientengruppe im Vergleich zur Referenzgruppe ein besseres Überleben und bei einer HR&gt;1,0 hatte die Patientengruppe im Vergleich zur Referenzgruppe ein schlechteres Überleben.</w:t>
      </w:r>
    </w:p>
    <w:p w14:paraId="053986AC" w14:textId="77777777" w:rsidR="009D1611" w:rsidRPr="00812C16" w:rsidRDefault="009D1611" w:rsidP="009D1611">
      <w:pPr>
        <w:rPr>
          <w:lang w:eastAsia="de-DE"/>
        </w:rPr>
      </w:pPr>
    </w:p>
    <w:p w14:paraId="0AF0359A" w14:textId="77777777" w:rsidR="009D1611" w:rsidRPr="00812C16" w:rsidRDefault="009D1611" w:rsidP="009D1611">
      <w:pPr>
        <w:rPr>
          <w:lang w:eastAsia="de-DE"/>
        </w:rPr>
      </w:pPr>
      <w:r w:rsidRPr="00812C16">
        <w:rPr>
          <w:lang w:eastAsia="de-DE"/>
        </w:rPr>
        <w:t xml:space="preserve">Ein Signifikanter P- Wert bedeutet das die Kovariate einfluss auf das Überleben, die Ereigniszeit hat. </w:t>
      </w:r>
    </w:p>
    <w:p w14:paraId="3C450281" w14:textId="77777777" w:rsidR="009D1611" w:rsidRPr="00812C16" w:rsidRDefault="009D1611" w:rsidP="00E42184">
      <w:pPr>
        <w:rPr>
          <w:rFonts w:cs="Arial"/>
        </w:rPr>
      </w:pPr>
    </w:p>
    <w:p w14:paraId="3E7DD320" w14:textId="77777777" w:rsidR="00714336" w:rsidRPr="00812C16" w:rsidRDefault="00714336" w:rsidP="00714336">
      <w:pPr>
        <w:rPr>
          <w:rFonts w:cs="Arial"/>
        </w:rPr>
      </w:pPr>
      <w:r w:rsidRPr="00812C16">
        <w:rPr>
          <w:rFonts w:cs="Arial"/>
        </w:rPr>
        <w:lastRenderedPageBreak/>
        <w:t>Außerdem gingen folgende Parameter in die univariate Analyse ein:</w:t>
      </w:r>
    </w:p>
    <w:p w14:paraId="7C19384E" w14:textId="77777777" w:rsidR="00714336" w:rsidRPr="00812C16" w:rsidRDefault="00714336" w:rsidP="00246EB5">
      <w:pPr>
        <w:pStyle w:val="Listenabsatz"/>
        <w:numPr>
          <w:ilvl w:val="0"/>
          <w:numId w:val="6"/>
        </w:numPr>
        <w:rPr>
          <w:rFonts w:cs="Arial"/>
        </w:rPr>
      </w:pPr>
      <w:r w:rsidRPr="00812C16">
        <w:rPr>
          <w:rFonts w:cs="Arial"/>
        </w:rPr>
        <w:t>Klinische Prognosefaktoren</w:t>
      </w:r>
    </w:p>
    <w:p w14:paraId="6E9205B0" w14:textId="77777777" w:rsidR="00714336" w:rsidRPr="00812C16" w:rsidRDefault="00714336" w:rsidP="00246EB5">
      <w:pPr>
        <w:pStyle w:val="Listenabsatz"/>
        <w:numPr>
          <w:ilvl w:val="1"/>
          <w:numId w:val="6"/>
        </w:numPr>
        <w:rPr>
          <w:rFonts w:cs="Arial"/>
        </w:rPr>
      </w:pPr>
      <w:r w:rsidRPr="00812C16">
        <w:rPr>
          <w:rFonts w:cs="Arial"/>
        </w:rPr>
        <w:t>T-Stadium des Tumors</w:t>
      </w:r>
    </w:p>
    <w:p w14:paraId="72F12CCB" w14:textId="77777777" w:rsidR="00714336" w:rsidRPr="00812C16" w:rsidRDefault="00714336" w:rsidP="00246EB5">
      <w:pPr>
        <w:pStyle w:val="Listenabsatz"/>
        <w:numPr>
          <w:ilvl w:val="1"/>
          <w:numId w:val="6"/>
        </w:numPr>
        <w:rPr>
          <w:rFonts w:cs="Arial"/>
        </w:rPr>
      </w:pPr>
      <w:r w:rsidRPr="00812C16">
        <w:rPr>
          <w:rFonts w:cs="Arial"/>
        </w:rPr>
        <w:t>Differenzierungsgrad des Tumors</w:t>
      </w:r>
    </w:p>
    <w:p w14:paraId="29504B54" w14:textId="77777777" w:rsidR="00714336" w:rsidRPr="00812C16" w:rsidRDefault="00714336" w:rsidP="00246EB5">
      <w:pPr>
        <w:pStyle w:val="Listenabsatz"/>
        <w:numPr>
          <w:ilvl w:val="1"/>
          <w:numId w:val="6"/>
        </w:numPr>
        <w:rPr>
          <w:rFonts w:cs="Arial"/>
        </w:rPr>
      </w:pPr>
      <w:r w:rsidRPr="00812C16">
        <w:rPr>
          <w:rFonts w:cs="Arial"/>
        </w:rPr>
        <w:t>Status des Resektionsrandes:</w:t>
      </w:r>
    </w:p>
    <w:p w14:paraId="0866986E" w14:textId="77777777" w:rsidR="00714336" w:rsidRPr="00812C16" w:rsidRDefault="00714336" w:rsidP="00246EB5">
      <w:pPr>
        <w:pStyle w:val="Listenabsatz"/>
        <w:numPr>
          <w:ilvl w:val="1"/>
          <w:numId w:val="6"/>
        </w:numPr>
        <w:rPr>
          <w:rFonts w:cs="Arial"/>
        </w:rPr>
      </w:pPr>
      <w:r w:rsidRPr="00812C16">
        <w:rPr>
          <w:rFonts w:cs="Arial"/>
        </w:rPr>
        <w:t>Zeitraum zwischen OP und adjuvanter Strahlentherapie (Mittelwert = 63 Tage)</w:t>
      </w:r>
    </w:p>
    <w:p w14:paraId="62F26F4D" w14:textId="77777777" w:rsidR="00714336" w:rsidRPr="00812C16" w:rsidRDefault="00714336" w:rsidP="00246EB5">
      <w:pPr>
        <w:pStyle w:val="Listenabsatz"/>
        <w:numPr>
          <w:ilvl w:val="1"/>
          <w:numId w:val="6"/>
        </w:numPr>
        <w:rPr>
          <w:rFonts w:cs="Arial"/>
        </w:rPr>
      </w:pPr>
      <w:r w:rsidRPr="00812C16">
        <w:rPr>
          <w:rFonts w:cs="Arial"/>
        </w:rPr>
        <w:t>Tumorlokalisation: Mundhöhle, Oropharynx, Hypopharynx, Larynx</w:t>
      </w:r>
    </w:p>
    <w:p w14:paraId="09A4D7C9" w14:textId="77777777" w:rsidR="00714336" w:rsidRPr="00812C16" w:rsidRDefault="00714336" w:rsidP="00246EB5">
      <w:pPr>
        <w:pStyle w:val="Listenabsatz"/>
        <w:numPr>
          <w:ilvl w:val="1"/>
          <w:numId w:val="6"/>
        </w:numPr>
        <w:rPr>
          <w:rFonts w:cs="Arial"/>
        </w:rPr>
      </w:pPr>
      <w:r w:rsidRPr="00812C16">
        <w:rPr>
          <w:rFonts w:cs="Arial"/>
        </w:rPr>
        <w:t>UICC – Stadium des Tumors</w:t>
      </w:r>
    </w:p>
    <w:p w14:paraId="13F6E255" w14:textId="77777777" w:rsidR="00714336" w:rsidRPr="00812C16" w:rsidRDefault="00714336" w:rsidP="00246EB5">
      <w:pPr>
        <w:pStyle w:val="Listenabsatz"/>
        <w:numPr>
          <w:ilvl w:val="0"/>
          <w:numId w:val="6"/>
        </w:numPr>
        <w:rPr>
          <w:rFonts w:cs="Arial"/>
        </w:rPr>
      </w:pPr>
      <w:r w:rsidRPr="00812C16">
        <w:rPr>
          <w:rFonts w:cs="Arial"/>
        </w:rPr>
        <w:t>Pathologische/biologische Prognosefaktoren</w:t>
      </w:r>
    </w:p>
    <w:p w14:paraId="0155A615" w14:textId="77777777" w:rsidR="00714336" w:rsidRPr="00812C16" w:rsidRDefault="00714336" w:rsidP="00246EB5">
      <w:pPr>
        <w:pStyle w:val="Listenabsatz"/>
        <w:numPr>
          <w:ilvl w:val="1"/>
          <w:numId w:val="6"/>
        </w:numPr>
        <w:rPr>
          <w:rFonts w:cs="Arial"/>
        </w:rPr>
      </w:pPr>
      <w:r w:rsidRPr="00812C16">
        <w:rPr>
          <w:rFonts w:cs="Arial"/>
        </w:rPr>
        <w:t>HPV16-DNA-Status</w:t>
      </w:r>
    </w:p>
    <w:p w14:paraId="4DD126E1" w14:textId="77777777" w:rsidR="00714336" w:rsidRPr="00812C16" w:rsidRDefault="00714336" w:rsidP="00246EB5">
      <w:pPr>
        <w:pStyle w:val="Listenabsatz"/>
        <w:numPr>
          <w:ilvl w:val="1"/>
          <w:numId w:val="6"/>
        </w:numPr>
        <w:rPr>
          <w:rFonts w:cs="Arial"/>
        </w:rPr>
      </w:pPr>
      <w:r w:rsidRPr="00812C16">
        <w:rPr>
          <w:rFonts w:cs="Arial"/>
        </w:rPr>
        <w:t xml:space="preserve">CD44-Expressions-Status </w:t>
      </w:r>
    </w:p>
    <w:p w14:paraId="6BCD68DE" w14:textId="77777777" w:rsidR="00714336" w:rsidRPr="00812C16" w:rsidRDefault="00714336" w:rsidP="00714336">
      <w:pPr>
        <w:rPr>
          <w:rFonts w:cs="Arial"/>
        </w:rPr>
      </w:pPr>
      <w:r w:rsidRPr="00812C16">
        <w:rPr>
          <w:rFonts w:cs="Arial"/>
          <w:lang w:eastAsia="de-DE"/>
        </w:rPr>
        <w:t>den immunhistochemischen Färbeergebnissen der CD44-Proteinexpression, dem HPV16-DNA-Status, der histopathologischen Differenzierungsgraden, der Tumorlokalisation, der Tumorausdehnung (pT-Kategorie), der Stadiengruppierung der Karzinome bezüglich der TNM-Kategorien (UICC-Stadien), des Alters (50-54, 55-59, 60-64,…), der Nikotin- und Alkoholanamnese</w:t>
      </w:r>
    </w:p>
    <w:p w14:paraId="423CFDDE" w14:textId="77777777" w:rsidR="00096370" w:rsidRPr="00812C16" w:rsidRDefault="00E42184" w:rsidP="00E42184">
      <w:pPr>
        <w:rPr>
          <w:rFonts w:cs="Arial"/>
        </w:rPr>
      </w:pPr>
      <w:r w:rsidRPr="00812C16">
        <w:rPr>
          <w:rFonts w:cs="Arial"/>
        </w:rPr>
        <w:t xml:space="preserve">Statistische Analysen wurden für alle Patienten und für die </w:t>
      </w:r>
      <w:r w:rsidRPr="00812C16">
        <w:rPr>
          <w:rFonts w:cs="Arial"/>
          <w:b/>
          <w:bCs/>
        </w:rPr>
        <w:t>Untergruppe</w:t>
      </w:r>
      <w:r w:rsidRPr="00812C16">
        <w:rPr>
          <w:rFonts w:cs="Arial"/>
        </w:rPr>
        <w:t xml:space="preserve"> der Patienten mit </w:t>
      </w:r>
      <w:r w:rsidR="00096370" w:rsidRPr="00812C16">
        <w:rPr>
          <w:rFonts w:cs="Arial"/>
        </w:rPr>
        <w:t xml:space="preserve">Mundhöhlenkrebs sowie Oropharyngealkarzinomen durchgeführt. Patienten, bei denen </w:t>
      </w:r>
      <w:r w:rsidR="00F606F5" w:rsidRPr="00812C16">
        <w:rPr>
          <w:rFonts w:cs="Arial"/>
        </w:rPr>
        <w:t>ein h</w:t>
      </w:r>
      <w:r w:rsidR="00096370" w:rsidRPr="00812C16">
        <w:rPr>
          <w:rFonts w:cs="Arial"/>
        </w:rPr>
        <w:t>ypopharyngeal</w:t>
      </w:r>
      <w:r w:rsidR="00F606F5" w:rsidRPr="00812C16">
        <w:rPr>
          <w:rFonts w:cs="Arial"/>
        </w:rPr>
        <w:t xml:space="preserve">es Karzinom </w:t>
      </w:r>
      <w:r w:rsidR="00096370" w:rsidRPr="00812C16">
        <w:rPr>
          <w:rFonts w:cs="Arial"/>
        </w:rPr>
        <w:t xml:space="preserve">diagnostiziert wurde, wurden aufgrund der geringen Anzahl von Fällen von dieser Untergruppenanalyse ausgeschlossen. Für eine weitere Stratifizierung wurden statistische Analysen für die Subgruppen der Patienten mit HPV16 </w:t>
      </w:r>
      <w:r w:rsidR="00566B51" w:rsidRPr="00812C16">
        <w:rPr>
          <w:rFonts w:cs="Arial"/>
        </w:rPr>
        <w:t>DNA</w:t>
      </w:r>
      <w:r w:rsidR="00096370" w:rsidRPr="00812C16">
        <w:rPr>
          <w:rFonts w:cs="Arial"/>
        </w:rPr>
        <w:t xml:space="preserve">-negativen Tumoren durchgeführt. In der Untergruppe der Patienten mit HPV16 DNA-positiven Tumoren traten nur zwei Rezidiven auf. Daher war es nicht möglich, signifikante Unterschiede in der LRC für diese Teilgruppe zu erkennen. </w:t>
      </w:r>
    </w:p>
    <w:p w14:paraId="38E3F2CF" w14:textId="2AC8E721" w:rsidR="002903EB" w:rsidRPr="00812C16" w:rsidRDefault="002903EB" w:rsidP="00E42184">
      <w:pPr>
        <w:rPr>
          <w:rFonts w:cs="Arial"/>
        </w:rPr>
      </w:pPr>
      <w:r w:rsidRPr="00812C16">
        <w:rPr>
          <w:rFonts w:cs="Arial"/>
          <w:lang w:eastAsia="de-DE"/>
        </w:rPr>
        <w:t xml:space="preserve">Patienten mit HPV-assoziierten Kopf-Hals-Plattenepithelkarzinome besitzen ein insgesamt besserer klinisches Outcome als Patienten mit HPV-negativen Tumoren </w:t>
      </w:r>
      <w:r w:rsidR="000112D9">
        <w:rPr>
          <w:rFonts w:cs="Arial"/>
          <w:lang w:eastAsia="de-DE"/>
        </w:rPr>
        <w:fldChar w:fldCharType="begin">
          <w:fldData xml:space="preserve">PEVuZE5vdGU+PENpdGU+PEF1dGhvcj5Mb2hhdXM8L0F1dGhvcj48WWVhcj4yMDE0PC9ZZWFyPjxS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Chen et al., 2010</w:t>
      </w:r>
      <w:r w:rsidR="000112D9">
        <w:rPr>
          <w:rFonts w:cs="Arial"/>
          <w:noProof/>
          <w:lang w:eastAsia="de-DE"/>
        </w:rPr>
        <w:t xml:space="preserve">; </w:t>
      </w:r>
      <w:r w:rsidR="009D0F7A" w:rsidRPr="002A19C6">
        <w:t>Fakhry et al., 2008</w:t>
      </w:r>
      <w:r w:rsidR="000112D9">
        <w:rPr>
          <w:rFonts w:cs="Arial"/>
          <w:noProof/>
          <w:lang w:eastAsia="de-DE"/>
        </w:rPr>
        <w:t xml:space="preserve">; </w:t>
      </w:r>
      <w:r w:rsidR="009D0F7A" w:rsidRPr="002A19C6">
        <w:t>Gillison et al., 2000</w:t>
      </w:r>
      <w:r w:rsidR="000112D9">
        <w:rPr>
          <w:rFonts w:cs="Arial"/>
          <w:noProof/>
          <w:lang w:eastAsia="de-DE"/>
        </w:rPr>
        <w:t xml:space="preserve">; </w:t>
      </w:r>
      <w:r w:rsidR="009D0F7A" w:rsidRPr="002A19C6">
        <w:t>Lindel et al., 2001</w:t>
      </w:r>
      <w:r w:rsidR="000112D9">
        <w:rPr>
          <w:rFonts w:cs="Arial"/>
          <w:noProof/>
          <w:lang w:eastAsia="de-DE"/>
        </w:rPr>
        <w:t xml:space="preserve">; </w:t>
      </w:r>
      <w:r w:rsidR="009D0F7A" w:rsidRPr="002A19C6">
        <w:t>Lohaus et al., 2014</w:t>
      </w:r>
      <w:r w:rsidR="000112D9">
        <w:rPr>
          <w:rFonts w:cs="Arial"/>
          <w:noProof/>
          <w:lang w:eastAsia="de-DE"/>
        </w:rPr>
        <w:t xml:space="preserve">; </w:t>
      </w:r>
      <w:r w:rsidR="009D0F7A" w:rsidRPr="002A19C6">
        <w:t>Shi et al., 2009</w:t>
      </w:r>
      <w:r w:rsidR="000112D9">
        <w:rPr>
          <w:rFonts w:cs="Arial"/>
          <w:noProof/>
          <w:lang w:eastAsia="de-DE"/>
        </w:rPr>
        <w:t xml:space="preserve">; </w:t>
      </w:r>
      <w:r w:rsidR="009D0F7A" w:rsidRPr="002A19C6">
        <w:t>Weinberger et al., 2006</w:t>
      </w:r>
      <w:r w:rsidR="000112D9">
        <w:rPr>
          <w:rFonts w:cs="Arial"/>
          <w:noProof/>
          <w:lang w:eastAsia="de-DE"/>
        </w:rPr>
        <w:t>)</w:t>
      </w:r>
      <w:r w:rsidR="000112D9">
        <w:rPr>
          <w:rFonts w:cs="Arial"/>
          <w:lang w:eastAsia="de-DE"/>
        </w:rPr>
        <w:fldChar w:fldCharType="end"/>
      </w:r>
      <w:r w:rsidRPr="00812C16">
        <w:rPr>
          <w:rFonts w:cs="Arial"/>
          <w:lang w:eastAsia="de-DE"/>
        </w:rPr>
        <w:t xml:space="preserve">. Deshalb wurden univariate Ereignisdatenanalysen hinsichtlich des Einflusses der CD44-Proteinexpression, sowohl für die loko-regionäre Tumorkontrolle als auch für das Fernmetastasen-freie </w:t>
      </w:r>
      <w:r w:rsidRPr="00812C16">
        <w:rPr>
          <w:rFonts w:cs="Arial"/>
          <w:lang w:eastAsia="de-DE"/>
        </w:rPr>
        <w:lastRenderedPageBreak/>
        <w:t>Überleben und Gesamtüberleben stratifiziert nach den viralen Marker HPV16 DNA analysiert, um das diagnostische und prognostische Potential dieser Marker zu prüfen.</w:t>
      </w:r>
    </w:p>
    <w:p w14:paraId="1BE6BBC7" w14:textId="77777777" w:rsidR="00E42184" w:rsidRPr="00812C16" w:rsidRDefault="005B379A" w:rsidP="00E42184">
      <w:pPr>
        <w:rPr>
          <w:rFonts w:cs="Arial"/>
        </w:rPr>
      </w:pPr>
      <w:r w:rsidRPr="00812C16">
        <w:rPr>
          <w:rFonts w:cs="Arial"/>
        </w:rPr>
        <w:t xml:space="preserve">Die </w:t>
      </w:r>
      <w:r w:rsidR="00096370" w:rsidRPr="00812C16">
        <w:rPr>
          <w:rFonts w:cs="Arial"/>
        </w:rPr>
        <w:t>Sensitivität</w:t>
      </w:r>
      <w:r w:rsidRPr="00812C16">
        <w:rPr>
          <w:rFonts w:cs="Arial"/>
        </w:rPr>
        <w:t xml:space="preserve"> und </w:t>
      </w:r>
      <w:r w:rsidR="00096370" w:rsidRPr="00812C16">
        <w:rPr>
          <w:rFonts w:cs="Arial"/>
        </w:rPr>
        <w:t>Spezifität</w:t>
      </w:r>
      <w:r w:rsidRPr="00812C16">
        <w:rPr>
          <w:rFonts w:cs="Arial"/>
        </w:rPr>
        <w:t xml:space="preserve"> </w:t>
      </w:r>
      <w:r w:rsidR="00096370" w:rsidRPr="00812C16">
        <w:rPr>
          <w:rFonts w:cs="Arial"/>
        </w:rPr>
        <w:t>der</w:t>
      </w:r>
      <w:r w:rsidR="005D2A89" w:rsidRPr="00812C16">
        <w:rPr>
          <w:rFonts w:cs="Arial"/>
        </w:rPr>
        <w:t xml:space="preserve"> CD44-Expression zur Vorhersage eines </w:t>
      </w:r>
      <w:r w:rsidR="00096370" w:rsidRPr="00812C16">
        <w:rPr>
          <w:rFonts w:cs="Arial"/>
        </w:rPr>
        <w:t>lokoregionären</w:t>
      </w:r>
      <w:r w:rsidR="005D2A89" w:rsidRPr="00812C16">
        <w:rPr>
          <w:rFonts w:cs="Arial"/>
        </w:rPr>
        <w:t xml:space="preserve"> </w:t>
      </w:r>
      <w:r w:rsidR="00096370" w:rsidRPr="00812C16">
        <w:rPr>
          <w:rFonts w:cs="Arial"/>
        </w:rPr>
        <w:t>Rezidivs</w:t>
      </w:r>
      <w:r w:rsidR="005D2A89" w:rsidRPr="00812C16">
        <w:rPr>
          <w:rFonts w:cs="Arial"/>
        </w:rPr>
        <w:t xml:space="preserve"> wurden durch Kreuztabellen bestimmt.</w:t>
      </w:r>
    </w:p>
    <w:p w14:paraId="7DBE8D31" w14:textId="77777777" w:rsidR="00E42184" w:rsidRPr="00812C16" w:rsidRDefault="00E42184" w:rsidP="00E42184">
      <w:pPr>
        <w:rPr>
          <w:rFonts w:cs="Arial"/>
        </w:rPr>
      </w:pPr>
    </w:p>
    <w:p w14:paraId="123B9115" w14:textId="77777777" w:rsidR="00E42184" w:rsidRPr="00812C16" w:rsidRDefault="00C44464" w:rsidP="00E42184">
      <w:pPr>
        <w:rPr>
          <w:rFonts w:cs="Arial"/>
        </w:rPr>
      </w:pPr>
      <w:r w:rsidRPr="00812C16">
        <w:rPr>
          <w:rFonts w:cs="Arial"/>
        </w:rPr>
        <w:t>die für die Tumorlokalisierung geschichtet wurden</w:t>
      </w:r>
    </w:p>
    <w:p w14:paraId="123984E9" w14:textId="77777777" w:rsidR="00D941CB" w:rsidRPr="00812C16" w:rsidRDefault="00D941CB" w:rsidP="00DF4C3C">
      <w:pPr>
        <w:rPr>
          <w:rFonts w:cs="Arial"/>
        </w:rPr>
      </w:pPr>
    </w:p>
    <w:p w14:paraId="43AC8D8D" w14:textId="77777777" w:rsidR="00B2437F" w:rsidRPr="00812C16" w:rsidRDefault="00201988" w:rsidP="009C61B9">
      <w:pPr>
        <w:rPr>
          <w:rFonts w:cs="Arial"/>
        </w:rPr>
      </w:pPr>
      <w:r w:rsidRPr="00812C16">
        <w:rPr>
          <w:rFonts w:cs="Arial"/>
        </w:rPr>
        <w:t>Zur Vorhersage des 2-Jahres-LRC wurde eine multivariate logistische Regression durchgeführt</w:t>
      </w:r>
    </w:p>
    <w:p w14:paraId="4DBF28D2" w14:textId="77777777" w:rsidR="009C61B9" w:rsidRPr="00812C16" w:rsidRDefault="00B2437F" w:rsidP="009C61B9">
      <w:pPr>
        <w:rPr>
          <w:rFonts w:cs="Arial"/>
        </w:rPr>
      </w:pPr>
      <w:r w:rsidRPr="00812C16">
        <w:rPr>
          <w:rFonts w:cs="Arial"/>
        </w:rPr>
        <w:t>Um die Überlebenskurven von Patienten zu vergleichen, die nach HPV16-DNA-Status, CSC-Markerexpression und Hypoxiestatus geschichtet waren, wurden Log-Rank-Tests durchgeführt</w:t>
      </w:r>
    </w:p>
    <w:p w14:paraId="398DEEE2" w14:textId="77777777" w:rsidR="009D6D21" w:rsidRPr="00812C16" w:rsidRDefault="00FA539B" w:rsidP="00462A46">
      <w:pPr>
        <w:spacing w:after="0"/>
        <w:rPr>
          <w:rFonts w:cs="Arial"/>
        </w:rPr>
      </w:pPr>
      <w:r w:rsidRPr="00812C16">
        <w:rPr>
          <w:rFonts w:cs="Arial"/>
        </w:rPr>
        <w:t>Konfindnenzintervall = Vertrauenswahrscheinlichkeit</w:t>
      </w:r>
    </w:p>
    <w:p w14:paraId="151231D7" w14:textId="77777777" w:rsidR="000E4D64" w:rsidRPr="00812C16" w:rsidRDefault="000E4D64" w:rsidP="000E4D64">
      <w:pPr>
        <w:spacing w:after="0"/>
        <w:jc w:val="left"/>
        <w:rPr>
          <w:rFonts w:ascii="Times New Roman" w:hAnsi="Times New Roman"/>
        </w:rPr>
      </w:pPr>
      <w:r w:rsidRPr="00812C16">
        <w:rPr>
          <w:rFonts w:ascii="Georgia" w:hAnsi="Georgia"/>
          <w:color w:val="2E2E2E"/>
          <w:sz w:val="27"/>
          <w:szCs w:val="27"/>
        </w:rPr>
        <w:t>Statistische Analysen wurden für alle Patienten und für die Untergruppen von Patienten mit Mundhöhlenkrebs sowie Oropharyngealkarzinomen durchgeführt. Patienten, bei denen</w:t>
      </w:r>
      <w:r w:rsidRPr="00812C16">
        <w:rPr>
          <w:rStyle w:val="apple-converted-space"/>
          <w:rFonts w:ascii="Georgia" w:hAnsi="Georgia"/>
          <w:color w:val="2E2E2E"/>
          <w:sz w:val="27"/>
          <w:szCs w:val="27"/>
        </w:rPr>
        <w:t> </w:t>
      </w:r>
      <w:hyperlink r:id="rId18" w:tooltip="Erfahren Sie mehr über Hypopharyngealkrebs auf den KI-generierten Themenseiten von ScienceDirect" w:history="1">
        <w:r w:rsidRPr="00812C16">
          <w:rPr>
            <w:rStyle w:val="Hyperlink"/>
            <w:rFonts w:ascii="Georgia" w:hAnsi="Georgia"/>
            <w:color w:val="2E2E2E"/>
            <w:sz w:val="27"/>
            <w:szCs w:val="27"/>
          </w:rPr>
          <w:t>Hypophoaryngealkrebs</w:t>
        </w:r>
        <w:r w:rsidRPr="00812C16">
          <w:rPr>
            <w:rStyle w:val="apple-converted-space"/>
            <w:rFonts w:ascii="Georgia" w:hAnsi="Georgia"/>
            <w:color w:val="2E2E2E"/>
            <w:sz w:val="27"/>
            <w:szCs w:val="27"/>
            <w:u w:val="single"/>
          </w:rPr>
          <w:t> </w:t>
        </w:r>
      </w:hyperlink>
      <w:r w:rsidRPr="00812C16">
        <w:rPr>
          <w:rFonts w:ascii="Georgia" w:hAnsi="Georgia"/>
          <w:color w:val="2E2E2E"/>
          <w:sz w:val="27"/>
          <w:szCs w:val="27"/>
        </w:rPr>
        <w:t>diagnostiziert wurde, wurden aufgrund der geringen Anzahl von Fällen von dieser Untergruppenanalyse ausgeschlossen.</w:t>
      </w:r>
      <w:r w:rsidRPr="00812C16">
        <w:rPr>
          <w:rStyle w:val="apple-converted-space"/>
          <w:rFonts w:ascii="Georgia" w:hAnsi="Georgia"/>
          <w:color w:val="2E2E2E"/>
          <w:sz w:val="27"/>
          <w:szCs w:val="27"/>
        </w:rPr>
        <w:t> </w:t>
      </w:r>
    </w:p>
    <w:p w14:paraId="760EC17F" w14:textId="77777777" w:rsidR="009D6D21" w:rsidRPr="00812C16" w:rsidRDefault="009D6D21" w:rsidP="00462A46">
      <w:pPr>
        <w:spacing w:after="0"/>
        <w:rPr>
          <w:rFonts w:cs="Arial"/>
          <w:b/>
          <w:bCs/>
        </w:rPr>
      </w:pPr>
    </w:p>
    <w:p w14:paraId="2F220E6A" w14:textId="77777777" w:rsidR="00F606F5" w:rsidRPr="00812C16" w:rsidRDefault="00F606F5" w:rsidP="00A7438E">
      <w:pPr>
        <w:spacing w:after="0"/>
        <w:rPr>
          <w:rFonts w:cs="Arial"/>
        </w:rPr>
      </w:pPr>
    </w:p>
    <w:p w14:paraId="488FB3ED" w14:textId="77777777" w:rsidR="00A7438E" w:rsidRPr="00812C16" w:rsidRDefault="00A7438E" w:rsidP="00A7438E">
      <w:pPr>
        <w:spacing w:after="0"/>
        <w:rPr>
          <w:rFonts w:cs="Arial"/>
        </w:rPr>
      </w:pPr>
      <w:r w:rsidRPr="00812C16">
        <w:rPr>
          <w:rFonts w:cs="Arial"/>
        </w:rPr>
        <w:t xml:space="preserve"> Die Einteilung der Ordinaten der Kaplan-Meier-Plots erfolgte von 0,00 in Zweierschritten bis 1,00, zur besseren Übersicht in einigen Abbildungen von 0,5 in Einerschritten bis 1,00. Berechnungsziele waren die allgemeine Überlebensrate, die krankheitsfreie Überlebensrate (Patientinnen ohne Metastasen oder lokoregionäres Rezidiv) und die lokale Kontrolle. Die Kaplan-Meier-Kurven wurden mit Hilfe des Log-Rank-Tests auf Signifikanz geprüft. </w:t>
      </w:r>
    </w:p>
    <w:p w14:paraId="4BF66683" w14:textId="77777777" w:rsidR="00A7438E" w:rsidRPr="00812C16" w:rsidRDefault="00A7438E" w:rsidP="00A7438E">
      <w:pPr>
        <w:spacing w:after="0"/>
        <w:rPr>
          <w:rFonts w:cs="Arial"/>
        </w:rPr>
      </w:pPr>
      <w:r w:rsidRPr="00812C16">
        <w:rPr>
          <w:rFonts w:cs="Arial"/>
        </w:rPr>
        <w:t xml:space="preserve">Weitere Analysen erfolgten nach dem univariaten Cox-Regression-Modell. Positive Regressionskoeffizienten verringern die Ereigniswahrscheinlichkeit, negative vergrößern diese. Der Exp(B) ist der Wert, um den sich das Risiko für ein Ereignis verändert, wenn die untersuchte Variable um eine Einheit steigt. Ein Wert von eins </w:t>
      </w:r>
      <w:r w:rsidRPr="00812C16">
        <w:rPr>
          <w:rFonts w:cs="Arial"/>
        </w:rPr>
        <w:lastRenderedPageBreak/>
        <w:t xml:space="preserve">lässt das Risiko unverändert. Ist der Wert &gt;1 steigt das Risiko für ein Ereignis, ist der Wert &lt;1 sinkt das Risiko. </w:t>
      </w:r>
    </w:p>
    <w:p w14:paraId="46C77A25" w14:textId="77777777" w:rsidR="00A7438E" w:rsidRPr="00812C16" w:rsidRDefault="00A7438E" w:rsidP="00A7438E">
      <w:pPr>
        <w:spacing w:after="0"/>
        <w:rPr>
          <w:rFonts w:cs="Arial"/>
        </w:rPr>
      </w:pPr>
      <w:r w:rsidRPr="00812C16">
        <w:rPr>
          <w:rFonts w:cs="Arial"/>
        </w:rPr>
        <w:t xml:space="preserve">16 </w:t>
      </w:r>
    </w:p>
    <w:p w14:paraId="6DA5AD03" w14:textId="77777777" w:rsidR="00A7438E" w:rsidRPr="00812C16" w:rsidRDefault="00A7438E" w:rsidP="00A7438E">
      <w:pPr>
        <w:spacing w:after="0"/>
        <w:rPr>
          <w:rFonts w:cs="Arial"/>
        </w:rPr>
      </w:pPr>
      <w:r w:rsidRPr="00812C16">
        <w:rPr>
          <w:rFonts w:cs="Arial"/>
        </w:rPr>
        <w:t xml:space="preserve">Multivariate Analysen wurden mit dem Cox-Regressions-Modell berechnet. Dabei wurden die signifikanten Variablen der univariaten Analyse in das Modell eingeschlossen. Die Reduktion der Variablen erfolgte über eine schrittweise Rückwärts-Prozedur nach der Wald-Methode. </w:t>
      </w:r>
    </w:p>
    <w:p w14:paraId="07EB488D" w14:textId="77777777" w:rsidR="00A7438E" w:rsidRPr="00812C16" w:rsidRDefault="00A7438E" w:rsidP="00A7438E">
      <w:pPr>
        <w:spacing w:after="0"/>
        <w:rPr>
          <w:rFonts w:cs="Arial"/>
        </w:rPr>
      </w:pPr>
      <w:r w:rsidRPr="00812C16">
        <w:rPr>
          <w:rFonts w:cs="Arial"/>
        </w:rPr>
        <w:t xml:space="preserve">Häufigkeiten wurden mit Kreuztabellen und dem Chi-Quadrat-Test bewertet. Waren die Voraussetzungen für den Chi-Quadrat-Test nicht gegeben, wurde der exakte Test nach Fisher verwendet. Der Vergleich von Mittelwerten kontinuierlicher Größen erfolgte mit dem zweiseitigen t-Test. </w:t>
      </w:r>
    </w:p>
    <w:p w14:paraId="684AF175" w14:textId="77777777" w:rsidR="00462A46" w:rsidRPr="00812C16" w:rsidRDefault="00462A46" w:rsidP="00462A46">
      <w:pPr>
        <w:rPr>
          <w:rFonts w:cs="Arial"/>
        </w:rPr>
      </w:pPr>
    </w:p>
    <w:p w14:paraId="1E1E041A" w14:textId="77777777" w:rsidR="00B32A40" w:rsidRPr="00812C16" w:rsidRDefault="00B32A40" w:rsidP="0074123A">
      <w:pPr>
        <w:rPr>
          <w:rFonts w:cs="Arial"/>
        </w:rPr>
      </w:pPr>
    </w:p>
    <w:p w14:paraId="009010D2" w14:textId="77777777" w:rsidR="0074123A" w:rsidRPr="00812C16" w:rsidRDefault="0074123A" w:rsidP="0074123A">
      <w:pPr>
        <w:spacing w:after="0"/>
        <w:rPr>
          <w:rFonts w:cs="Arial"/>
        </w:rPr>
      </w:pPr>
      <w:r w:rsidRPr="00812C16">
        <w:rPr>
          <w:rFonts w:cs="Arial"/>
        </w:rPr>
        <w:t xml:space="preserve">Die deskriptiven Daten wurden mittels absoluter und relativer Häufigkeit sowie Mittelwert, Median und Standardabweichung dargestellt. Mit Hilfe von Kreuztabellen wurde die relative Häufigkeit der möglichen Einflussfaktoren auf die Entstehung des atopischen Ekzems (Alter, Geschlecht, Bildungsstand der Eltern, Wohnort) bivariat ermittelt und mittels Chi-Quadrat-Test auf Unabhängigkeit überprüft. </w:t>
      </w:r>
    </w:p>
    <w:p w14:paraId="31E204AF" w14:textId="77777777" w:rsidR="0074123A" w:rsidRPr="00812C16" w:rsidRDefault="0074123A" w:rsidP="0074123A">
      <w:pPr>
        <w:spacing w:after="0"/>
        <w:rPr>
          <w:rFonts w:cs="Arial"/>
        </w:rPr>
      </w:pPr>
      <w:r w:rsidRPr="00812C16">
        <w:rPr>
          <w:rFonts w:cs="Arial"/>
        </w:rPr>
        <w:t xml:space="preserve">Mit der multiplen logistischen Regressionsanalyse wurde anschließend der Zusammenhang zwischen allen potenziellen Einflussfaktoren und den untersuchten Symptomen ermittelt. </w:t>
      </w:r>
    </w:p>
    <w:p w14:paraId="46DA707C" w14:textId="77777777" w:rsidR="00A23379" w:rsidRPr="00812C16" w:rsidRDefault="00A23379" w:rsidP="003C0324">
      <w:pPr>
        <w:jc w:val="left"/>
        <w:rPr>
          <w:rFonts w:cs="Arial"/>
        </w:rPr>
      </w:pPr>
    </w:p>
    <w:p w14:paraId="451A3241" w14:textId="77777777" w:rsidR="003C0324" w:rsidRPr="00812C16" w:rsidRDefault="003C0324" w:rsidP="003C0324">
      <w:pPr>
        <w:jc w:val="left"/>
        <w:rPr>
          <w:rFonts w:cs="Arial"/>
        </w:rPr>
      </w:pPr>
      <w:r w:rsidRPr="00812C16">
        <w:rPr>
          <w:rFonts w:cs="Arial"/>
        </w:rPr>
        <w:t xml:space="preserve">Zeitdauer zwischen Therapiebeginn und Rezidiv eines Tumors </w:t>
      </w:r>
    </w:p>
    <w:p w14:paraId="1906CAAC" w14:textId="77777777" w:rsidR="00A106CD" w:rsidRPr="00812C16" w:rsidRDefault="00A106CD" w:rsidP="00A106CD">
      <w:pPr>
        <w:spacing w:after="0"/>
        <w:jc w:val="left"/>
        <w:rPr>
          <w:rFonts w:cs="Arial"/>
        </w:rPr>
      </w:pPr>
      <w:r w:rsidRPr="00812C16">
        <w:rPr>
          <w:rFonts w:cs="Arial"/>
        </w:rPr>
        <w:t xml:space="preserve">Haben Tumorstammzellen ein Einfluss auf das tumorfreie Überleben </w:t>
      </w:r>
    </w:p>
    <w:p w14:paraId="3499E0E8" w14:textId="77777777" w:rsidR="00A049BC" w:rsidRPr="00812C16" w:rsidRDefault="00A049BC" w:rsidP="00A23379">
      <w:pPr>
        <w:jc w:val="left"/>
        <w:rPr>
          <w:rFonts w:cs="Arial"/>
        </w:rPr>
      </w:pPr>
    </w:p>
    <w:p w14:paraId="0E55F582" w14:textId="77777777" w:rsidR="00A106CD" w:rsidRPr="00812C16" w:rsidRDefault="00A106CD" w:rsidP="003C0324">
      <w:pPr>
        <w:jc w:val="left"/>
        <w:rPr>
          <w:rFonts w:cs="Arial"/>
        </w:rPr>
      </w:pPr>
    </w:p>
    <w:p w14:paraId="12B82BCF" w14:textId="77777777" w:rsidR="00D12F25" w:rsidRPr="00812C16" w:rsidRDefault="00EC0B1A" w:rsidP="00EC0B1A">
      <w:pPr>
        <w:spacing w:after="0"/>
        <w:jc w:val="left"/>
        <w:rPr>
          <w:rFonts w:cs="Arial"/>
        </w:rPr>
      </w:pPr>
      <w:r w:rsidRPr="00812C16">
        <w:rPr>
          <w:rFonts w:cs="Arial"/>
        </w:rPr>
        <w:t xml:space="preserve">Für die deskriptive Statistik wurden Häufigkeiten berechnet und Kreuztabellen erstellt. Mithilfe der Kaplan-Meier-Methode wurden die Überlebens- kurven für das Gesamtüberleben und das rezidivfreie Überleben ermittelt. Das Gesamt- überleben betrachtet die Zeitspanne zwischen Diagnosestellung und Tod. Patienten, die am Ende der Beobachtungszeit noch am Leben waren, wurden zensiert. Das rezidiv- freie Überleben betrachtet die Zeitspanne zwischen Diagnosestellung und Datum </w:t>
      </w:r>
      <w:r w:rsidRPr="00812C16">
        <w:rPr>
          <w:rFonts w:cs="Arial"/>
        </w:rPr>
        <w:lastRenderedPageBreak/>
        <w:t xml:space="preserve">des Rezidivs, das bedeutet Lokalrezidiv oder Fernmetastasen. Patienten, die kein Rezidiv erlitten oder verstarben, wurden zensiert. </w:t>
      </w:r>
    </w:p>
    <w:p w14:paraId="3E7564CA" w14:textId="77777777" w:rsidR="00D12F25" w:rsidRPr="00812C16" w:rsidRDefault="00D12F25" w:rsidP="00EC0B1A">
      <w:pPr>
        <w:spacing w:after="0"/>
        <w:jc w:val="left"/>
        <w:rPr>
          <w:rFonts w:cs="Arial"/>
        </w:rPr>
      </w:pPr>
    </w:p>
    <w:p w14:paraId="38A862E3" w14:textId="77777777" w:rsidR="003300A6" w:rsidRPr="00812C16" w:rsidRDefault="003300A6" w:rsidP="00EC0B1A">
      <w:pPr>
        <w:spacing w:after="0"/>
        <w:jc w:val="left"/>
        <w:rPr>
          <w:rFonts w:cs="Arial"/>
        </w:rPr>
      </w:pPr>
      <w:r w:rsidRPr="00812C16">
        <w:rPr>
          <w:rFonts w:cs="Arial"/>
        </w:rPr>
        <w:t xml:space="preserve">Es wurden verschiedene klinische und biologische Faktoren bezüglich ihrer Auswirkung auf die jeweiligen Endpunkte überprüft und die jeweiligen Ereigniszietzen mit der Kaplan-Maier-Methode geschätzt. </w:t>
      </w:r>
    </w:p>
    <w:p w14:paraId="2EE67F93" w14:textId="77777777" w:rsidR="003300A6" w:rsidRPr="00812C16" w:rsidRDefault="003300A6" w:rsidP="00EC0B1A">
      <w:pPr>
        <w:spacing w:after="0"/>
        <w:jc w:val="left"/>
        <w:rPr>
          <w:rFonts w:cs="Arial"/>
        </w:rPr>
      </w:pPr>
    </w:p>
    <w:p w14:paraId="5BB8ED76" w14:textId="77777777" w:rsidR="003300A6" w:rsidRPr="00812C16" w:rsidRDefault="003300A6" w:rsidP="00EC0B1A">
      <w:pPr>
        <w:spacing w:after="0"/>
        <w:jc w:val="left"/>
        <w:rPr>
          <w:rFonts w:cs="Arial"/>
        </w:rPr>
      </w:pPr>
      <w:r w:rsidRPr="00812C16">
        <w:rPr>
          <w:rFonts w:cs="Arial"/>
        </w:rPr>
        <w:t xml:space="preserve"> </w:t>
      </w:r>
    </w:p>
    <w:p w14:paraId="607AB782" w14:textId="77777777" w:rsidR="00EC0B1A" w:rsidRPr="00812C16" w:rsidRDefault="00EC0B1A" w:rsidP="00EC0B1A">
      <w:pPr>
        <w:spacing w:after="0"/>
        <w:jc w:val="left"/>
        <w:rPr>
          <w:rFonts w:cs="Arial"/>
        </w:rPr>
      </w:pPr>
      <w:r w:rsidRPr="00812C16">
        <w:rPr>
          <w:rFonts w:cs="Arial"/>
        </w:rPr>
        <w:t>Überlebensraten</w:t>
      </w:r>
      <w:r w:rsidR="00C23DFB" w:rsidRPr="00812C16">
        <w:rPr>
          <w:rFonts w:cs="Arial"/>
        </w:rPr>
        <w:t xml:space="preserve"> (Überlebenswahrscheinlichkeiten)</w:t>
      </w:r>
      <w:r w:rsidRPr="00812C16">
        <w:rPr>
          <w:rFonts w:cs="Arial"/>
        </w:rPr>
        <w:t xml:space="preserve"> wurden für folgende 17 </w:t>
      </w:r>
      <w:r w:rsidR="00C23DFB" w:rsidRPr="00812C16">
        <w:rPr>
          <w:rFonts w:cs="Arial"/>
        </w:rPr>
        <w:t>Faktoren</w:t>
      </w:r>
      <w:r w:rsidRPr="00812C16">
        <w:rPr>
          <w:rFonts w:cs="Arial"/>
        </w:rPr>
        <w:t xml:space="preserve"> vergleichend berechnet: gesamt, Alter, Geschlecht, Lokalisationen, Stadium, Therapiekategorien, T-Stadium, N-Stadium, M-Stadium, Operation, Bestrahlung, Chemotherapie und Rezidiv. Prognostische Faktoren für das Gesamtüberleben und das rezidivfreie Überleben wurden in univariaten Analysen mithilfe des Log-Rank-Tests ermittelt. Als statistisch signifikant galt ein p-Wert von kleiner oder gleich 0,05. Hier wurden Alter, Geschlecht, Lokalisationen, Stadium, T-Stadium, N-Stadium, M-Stadium, Therapiekategorien, Operation, Bestrahlung, Chemotherapie untersucht. Für das Gesamtüberleben wurde außerdem der Parameter Rezidiv betrachtet. Statistisch signi- fikante prognostische Faktoren wurden einer Regressionsanalyse nach Cox zugeführt. In dieser multivariaten Analyse wurde ein p-Wert von kleiner oder gleich 0,05 als statistisch signifikant gewertet. Hierbei wurden folgende Parameter in die Analyse ein- geschlossen: Alter, Geschlecht, Lokalisationen, Stadium, T-Stadium, N-Stadium, </w:t>
      </w:r>
    </w:p>
    <w:p w14:paraId="5EDEE8CA" w14:textId="77777777" w:rsidR="00A90AB4" w:rsidRPr="00812C16" w:rsidRDefault="00EC0B1A" w:rsidP="00EC0B1A">
      <w:pPr>
        <w:spacing w:after="0"/>
        <w:jc w:val="left"/>
        <w:rPr>
          <w:rFonts w:cs="Arial"/>
        </w:rPr>
        <w:sectPr w:rsidR="00A90AB4" w:rsidRPr="00812C16" w:rsidSect="00AB18EC">
          <w:headerReference w:type="default" r:id="rId19"/>
          <w:type w:val="continuous"/>
          <w:pgSz w:w="11906" w:h="16838"/>
          <w:pgMar w:top="1418" w:right="1418" w:bottom="1134" w:left="1418" w:header="709" w:footer="709" w:gutter="0"/>
          <w:pgNumType w:fmt="numberInDash"/>
          <w:cols w:space="708"/>
          <w:docGrid w:linePitch="360"/>
        </w:sectPr>
      </w:pPr>
      <w:r w:rsidRPr="00812C16">
        <w:rPr>
          <w:rFonts w:cs="Arial"/>
        </w:rPr>
        <w:t xml:space="preserve">M-Stadium, Therapiekategorien, Operation, Bestrahlung, Chemotherapie. </w:t>
      </w:r>
    </w:p>
    <w:p w14:paraId="2895832C" w14:textId="77777777" w:rsidR="00EC0B1A" w:rsidRPr="00812C16" w:rsidRDefault="00EC0B1A" w:rsidP="00EC0B1A">
      <w:pPr>
        <w:spacing w:after="0"/>
        <w:jc w:val="left"/>
        <w:rPr>
          <w:rFonts w:cs="Arial"/>
        </w:rPr>
      </w:pPr>
    </w:p>
    <w:p w14:paraId="0AD5F725" w14:textId="77777777" w:rsidR="003C0324" w:rsidRPr="00812C16" w:rsidRDefault="00265BC5" w:rsidP="00265BC5">
      <w:pPr>
        <w:spacing w:after="0"/>
        <w:jc w:val="left"/>
        <w:rPr>
          <w:rFonts w:cs="Arial"/>
        </w:rPr>
      </w:pPr>
      <w:r w:rsidRPr="00812C16">
        <w:rPr>
          <w:rFonts w:cs="Arial"/>
        </w:rPr>
        <w:br w:type="page"/>
      </w:r>
    </w:p>
    <w:p w14:paraId="4D76F6D8" w14:textId="77777777" w:rsidR="00736D31" w:rsidRPr="00812C16" w:rsidRDefault="00A45D65" w:rsidP="00A87681">
      <w:pPr>
        <w:pStyle w:val="berschrift1"/>
        <w:ind w:left="709" w:hanging="709"/>
        <w:rPr>
          <w:rFonts w:cs="Arial"/>
        </w:rPr>
      </w:pPr>
      <w:bookmarkStart w:id="45" w:name="_Toc158006534"/>
      <w:r w:rsidRPr="00812C16">
        <w:rPr>
          <w:rFonts w:cs="Arial"/>
        </w:rPr>
        <w:lastRenderedPageBreak/>
        <w:t>Ergebnisse</w:t>
      </w:r>
      <w:bookmarkEnd w:id="45"/>
      <w:r w:rsidRPr="00812C16">
        <w:rPr>
          <w:rFonts w:cs="Arial"/>
        </w:rPr>
        <w:t xml:space="preserve"> </w:t>
      </w:r>
    </w:p>
    <w:p w14:paraId="67E8A358" w14:textId="77777777" w:rsidR="00081187" w:rsidRPr="00812C16" w:rsidRDefault="005935C0" w:rsidP="001C31C3">
      <w:pPr>
        <w:pStyle w:val="berschrift2"/>
        <w:spacing w:before="240"/>
        <w:ind w:left="357" w:hanging="357"/>
        <w:rPr>
          <w:rFonts w:cs="Arial"/>
        </w:rPr>
      </w:pPr>
      <w:bookmarkStart w:id="46" w:name="_Toc158006535"/>
      <w:r w:rsidRPr="00812C16">
        <w:rPr>
          <w:rFonts w:cs="Arial"/>
        </w:rPr>
        <w:t xml:space="preserve">Deskriptive </w:t>
      </w:r>
      <w:r w:rsidR="00081187" w:rsidRPr="00812C16">
        <w:rPr>
          <w:rFonts w:cs="Arial"/>
        </w:rPr>
        <w:t>Analyse der Studienpopulation</w:t>
      </w:r>
      <w:bookmarkEnd w:id="46"/>
      <w:r w:rsidR="00081187" w:rsidRPr="00812C16">
        <w:rPr>
          <w:rFonts w:cs="Arial"/>
        </w:rPr>
        <w:t xml:space="preserve"> </w:t>
      </w:r>
    </w:p>
    <w:p w14:paraId="62CF4FDE" w14:textId="77777777" w:rsidR="003300A6" w:rsidRPr="00812C16" w:rsidRDefault="003300A6" w:rsidP="00A87681">
      <w:pPr>
        <w:spacing w:after="0"/>
        <w:rPr>
          <w:rFonts w:cs="Arial"/>
          <w:lang w:eastAsia="de-DE"/>
        </w:rPr>
      </w:pPr>
      <w:r w:rsidRPr="00812C16">
        <w:rPr>
          <w:rFonts w:cs="Arial"/>
          <w:lang w:eastAsia="de-DE"/>
        </w:rPr>
        <w:t>Im Folgenden wird zunächst auf die deskriptive Statistik eingegangen, hiernach erfolgt die</w:t>
      </w:r>
      <w:r w:rsidR="000F7CB9" w:rsidRPr="00812C16">
        <w:rPr>
          <w:rFonts w:cs="Arial"/>
          <w:lang w:eastAsia="de-DE"/>
        </w:rPr>
        <w:t xml:space="preserve"> </w:t>
      </w:r>
      <w:r w:rsidRPr="00812C16">
        <w:rPr>
          <w:rFonts w:cs="Arial"/>
          <w:lang w:eastAsia="de-DE"/>
        </w:rPr>
        <w:t>Untersuchung der Überleben</w:t>
      </w:r>
      <w:r w:rsidR="00CC161A" w:rsidRPr="00812C16">
        <w:rPr>
          <w:rFonts w:cs="Arial"/>
          <w:lang w:eastAsia="de-DE"/>
        </w:rPr>
        <w:t>s</w:t>
      </w:r>
      <w:r w:rsidR="001B1F9F" w:rsidRPr="00812C16">
        <w:rPr>
          <w:rFonts w:cs="Arial"/>
          <w:lang w:eastAsia="de-DE"/>
        </w:rPr>
        <w:t>zeit</w:t>
      </w:r>
      <w:r w:rsidR="00CC161A" w:rsidRPr="00812C16">
        <w:rPr>
          <w:rFonts w:cs="Arial"/>
          <w:lang w:eastAsia="de-DE"/>
        </w:rPr>
        <w:t>daten</w:t>
      </w:r>
      <w:r w:rsidR="001B1F9F" w:rsidRPr="00812C16">
        <w:rPr>
          <w:rFonts w:cs="Arial"/>
          <w:lang w:eastAsia="de-DE"/>
        </w:rPr>
        <w:t xml:space="preserve"> bzw. Ereigniszeitdaten.</w:t>
      </w:r>
    </w:p>
    <w:p w14:paraId="4637DCE0" w14:textId="77777777" w:rsidR="000E3B77" w:rsidRPr="00812C16" w:rsidRDefault="00897395" w:rsidP="005547D3">
      <w:pPr>
        <w:pStyle w:val="berschrift3"/>
      </w:pPr>
      <w:bookmarkStart w:id="47" w:name="_Toc158006536"/>
      <w:r w:rsidRPr="00812C16">
        <w:t>Patienten</w:t>
      </w:r>
      <w:r w:rsidR="00A466B5" w:rsidRPr="00812C16">
        <w:t xml:space="preserve">merkmale </w:t>
      </w:r>
      <w:r w:rsidR="00F21B00" w:rsidRPr="00812C16">
        <w:t>und Tumorch</w:t>
      </w:r>
      <w:r w:rsidR="00526D88" w:rsidRPr="00812C16">
        <w:t>a</w:t>
      </w:r>
      <w:r w:rsidR="00F21B00" w:rsidRPr="00812C16">
        <w:t>rakteristik</w:t>
      </w:r>
      <w:bookmarkEnd w:id="47"/>
    </w:p>
    <w:p w14:paraId="6821666C" w14:textId="77476262" w:rsidR="00CC161A" w:rsidRPr="00812C16" w:rsidRDefault="00AE4BE7" w:rsidP="009031AF">
      <w:pPr>
        <w:spacing w:after="360"/>
        <w:rPr>
          <w:rFonts w:cs="Arial"/>
        </w:rPr>
      </w:pPr>
      <w:r w:rsidRPr="00812C16">
        <w:rPr>
          <w:rFonts w:cs="Arial"/>
        </w:rPr>
        <w:t>Im Rahmen dieser multizentrischen retrospektiven Studie wurden 221 Patienten, die wegen eines lokal fortgeschrittenen Kopf-Hals-Plattenepithelkarzinoms eine postoperative Radiochemotherapie erhalten haben, untersucht</w:t>
      </w:r>
      <w:r w:rsidR="00B75AFB" w:rsidRPr="00812C16">
        <w:rPr>
          <w:rFonts w:cs="Arial"/>
        </w:rPr>
        <w:t xml:space="preserve">. Die allgemeinen Patientenmerkmale sind in </w:t>
      </w:r>
      <w:r w:rsidR="00B75AFB" w:rsidRPr="00812C16">
        <w:rPr>
          <w:rStyle w:val="apple-converted-space"/>
          <w:rFonts w:cs="Arial"/>
          <w:color w:val="2E2E2E"/>
        </w:rPr>
        <w:fldChar w:fldCharType="begin"/>
      </w:r>
      <w:r w:rsidR="00B75AFB" w:rsidRPr="00812C16">
        <w:rPr>
          <w:rStyle w:val="apple-converted-space"/>
          <w:rFonts w:cs="Arial"/>
          <w:color w:val="2E2E2E"/>
        </w:rPr>
        <w:instrText xml:space="preserve"> REF _Ref85362175 \h </w:instrText>
      </w:r>
      <w:r w:rsidR="00B75AFB" w:rsidRPr="00812C16">
        <w:rPr>
          <w:rFonts w:cs="Arial"/>
        </w:rPr>
        <w:instrText xml:space="preserve"> \* MERGEFORMAT </w:instrText>
      </w:r>
      <w:r w:rsidR="00B75AFB" w:rsidRPr="00812C16">
        <w:rPr>
          <w:rStyle w:val="apple-converted-space"/>
          <w:rFonts w:cs="Arial"/>
          <w:color w:val="2E2E2E"/>
        </w:rPr>
      </w:r>
      <w:r w:rsidR="00B75AFB" w:rsidRPr="00812C16">
        <w:rPr>
          <w:rStyle w:val="apple-converted-space"/>
          <w:rFonts w:cs="Arial"/>
          <w:color w:val="2E2E2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1</w:t>
      </w:r>
      <w:r w:rsidR="00B75AFB" w:rsidRPr="00812C16">
        <w:rPr>
          <w:rStyle w:val="apple-converted-space"/>
          <w:rFonts w:cs="Arial"/>
          <w:color w:val="2E2E2E"/>
        </w:rPr>
        <w:fldChar w:fldCharType="end"/>
      </w:r>
      <w:r w:rsidR="00B75AFB" w:rsidRPr="00812C16">
        <w:rPr>
          <w:rFonts w:cs="Arial"/>
        </w:rPr>
        <w:t xml:space="preserve"> zusammengefasst. </w:t>
      </w:r>
      <w:r w:rsidR="003300A6" w:rsidRPr="00812C16">
        <w:rPr>
          <w:rFonts w:cs="Arial"/>
        </w:rPr>
        <w:t>Das mediane Alter zu Beginn der Strahlentherapie</w:t>
      </w:r>
      <w:r w:rsidR="009031AF" w:rsidRPr="00812C16">
        <w:rPr>
          <w:rFonts w:cs="Arial"/>
        </w:rPr>
        <w:t xml:space="preserve"> </w:t>
      </w:r>
      <w:r w:rsidR="003300A6" w:rsidRPr="00812C16">
        <w:rPr>
          <w:rFonts w:cs="Arial"/>
        </w:rPr>
        <w:t xml:space="preserve">lag bei </w:t>
      </w:r>
      <w:r w:rsidR="000049BF" w:rsidRPr="00812C16">
        <w:rPr>
          <w:rFonts w:cs="Arial"/>
        </w:rPr>
        <w:t>56</w:t>
      </w:r>
      <w:r w:rsidR="0036194B" w:rsidRPr="00812C16">
        <w:rPr>
          <w:rFonts w:cs="Arial"/>
        </w:rPr>
        <w:t>,</w:t>
      </w:r>
      <w:r w:rsidR="000049BF" w:rsidRPr="00812C16">
        <w:rPr>
          <w:rFonts w:cs="Arial"/>
        </w:rPr>
        <w:t>5</w:t>
      </w:r>
      <w:r w:rsidR="003300A6" w:rsidRPr="00812C16">
        <w:rPr>
          <w:rFonts w:cs="Arial"/>
        </w:rPr>
        <w:t xml:space="preserve"> Jahren.</w:t>
      </w:r>
      <w:r w:rsidR="0036194B" w:rsidRPr="00812C16">
        <w:rPr>
          <w:rFonts w:cs="Arial"/>
        </w:rPr>
        <w:t xml:space="preserve"> Die Altersspanne reichte von 27 bis 76 Jahre.</w:t>
      </w:r>
      <w:r w:rsidR="003300A6" w:rsidRPr="00812C16">
        <w:rPr>
          <w:rFonts w:cs="Arial"/>
        </w:rPr>
        <w:t xml:space="preserve"> Das Patientenkollektiv bestand zu </w:t>
      </w:r>
      <w:r w:rsidR="000049BF" w:rsidRPr="00812C16">
        <w:rPr>
          <w:rFonts w:cs="Arial"/>
        </w:rPr>
        <w:t>81</w:t>
      </w:r>
      <w:r w:rsidR="009D0CD3" w:rsidRPr="00812C16">
        <w:rPr>
          <w:rFonts w:cs="Arial"/>
        </w:rPr>
        <w:t>,</w:t>
      </w:r>
      <w:r w:rsidR="000049BF" w:rsidRPr="00812C16">
        <w:rPr>
          <w:rFonts w:cs="Arial"/>
        </w:rPr>
        <w:t>4</w:t>
      </w:r>
      <w:r w:rsidR="003300A6" w:rsidRPr="00812C16">
        <w:rPr>
          <w:rFonts w:cs="Arial"/>
        </w:rPr>
        <w:t>% (n=1</w:t>
      </w:r>
      <w:r w:rsidR="000049BF" w:rsidRPr="00812C16">
        <w:rPr>
          <w:rFonts w:cs="Arial"/>
        </w:rPr>
        <w:t>80</w:t>
      </w:r>
      <w:r w:rsidR="003300A6" w:rsidRPr="00812C16">
        <w:rPr>
          <w:rFonts w:cs="Arial"/>
        </w:rPr>
        <w:t xml:space="preserve">) aus Männern und zu </w:t>
      </w:r>
      <w:r w:rsidR="009D0CD3" w:rsidRPr="00812C16">
        <w:rPr>
          <w:rFonts w:cs="Arial"/>
        </w:rPr>
        <w:t xml:space="preserve">     </w:t>
      </w:r>
      <w:r w:rsidR="000049BF" w:rsidRPr="00812C16">
        <w:rPr>
          <w:rFonts w:cs="Arial"/>
        </w:rPr>
        <w:t>18</w:t>
      </w:r>
      <w:r w:rsidR="009D0CD3" w:rsidRPr="00812C16">
        <w:rPr>
          <w:rFonts w:cs="Arial"/>
        </w:rPr>
        <w:t>,</w:t>
      </w:r>
      <w:r w:rsidR="000049BF" w:rsidRPr="00812C16">
        <w:rPr>
          <w:rFonts w:cs="Arial"/>
        </w:rPr>
        <w:t>6</w:t>
      </w:r>
      <w:r w:rsidR="003300A6" w:rsidRPr="00812C16">
        <w:rPr>
          <w:rFonts w:cs="Arial"/>
        </w:rPr>
        <w:t>% (n=</w:t>
      </w:r>
      <w:r w:rsidR="000049BF" w:rsidRPr="00812C16">
        <w:rPr>
          <w:rFonts w:cs="Arial"/>
        </w:rPr>
        <w:t>41</w:t>
      </w:r>
      <w:r w:rsidR="003300A6" w:rsidRPr="00812C16">
        <w:rPr>
          <w:rFonts w:cs="Arial"/>
        </w:rPr>
        <w:t>) aus Frauen.</w:t>
      </w:r>
      <w:r w:rsidR="000049BF" w:rsidRPr="00812C16">
        <w:rPr>
          <w:rFonts w:cs="Arial"/>
        </w:rPr>
        <w:t xml:space="preserve"> </w:t>
      </w:r>
      <w:r w:rsidR="00A466B5" w:rsidRPr="00812C16">
        <w:rPr>
          <w:rFonts w:cs="Arial"/>
          <w:lang w:eastAsia="de-DE"/>
        </w:rPr>
        <w:t xml:space="preserve">Die Informationen bezüglich des Zigaretten- und Alkoholkonsums </w:t>
      </w:r>
      <w:r w:rsidR="00B75AFB" w:rsidRPr="00812C16">
        <w:rPr>
          <w:rFonts w:cs="Arial"/>
          <w:lang w:eastAsia="de-DE"/>
        </w:rPr>
        <w:t>war nur inko</w:t>
      </w:r>
      <w:r w:rsidR="00525CF5" w:rsidRPr="00812C16">
        <w:rPr>
          <w:rFonts w:cs="Arial"/>
          <w:lang w:eastAsia="de-DE"/>
        </w:rPr>
        <w:t>nsequent</w:t>
      </w:r>
      <w:r w:rsidR="00B75AFB" w:rsidRPr="00812C16">
        <w:rPr>
          <w:rFonts w:cs="Arial"/>
          <w:lang w:eastAsia="de-DE"/>
        </w:rPr>
        <w:t xml:space="preserve"> von allen Patienten </w:t>
      </w:r>
      <w:r w:rsidR="00525CF5" w:rsidRPr="00812C16">
        <w:rPr>
          <w:rFonts w:cs="Arial"/>
          <w:lang w:eastAsia="de-DE"/>
        </w:rPr>
        <w:t>eruierbar</w:t>
      </w:r>
      <w:r w:rsidR="00A466B5" w:rsidRPr="00812C16">
        <w:rPr>
          <w:rFonts w:cs="Arial"/>
          <w:lang w:eastAsia="de-DE"/>
        </w:rPr>
        <w:t>.</w:t>
      </w:r>
      <w:r w:rsidR="0008440A" w:rsidRPr="00812C16">
        <w:rPr>
          <w:rFonts w:cs="Arial"/>
          <w:lang w:eastAsia="de-DE"/>
        </w:rPr>
        <w:t xml:space="preserve"> </w:t>
      </w:r>
      <w:r w:rsidR="00CC161A" w:rsidRPr="00812C16">
        <w:rPr>
          <w:rFonts w:cs="Arial"/>
          <w:lang w:eastAsia="de-DE"/>
        </w:rPr>
        <w:t xml:space="preserve">Ein Großteil der Patienten </w:t>
      </w:r>
      <w:r w:rsidR="002544B9" w:rsidRPr="00812C16">
        <w:rPr>
          <w:rFonts w:cs="Arial"/>
          <w:lang w:eastAsia="de-DE"/>
        </w:rPr>
        <w:t>(</w:t>
      </w:r>
      <w:r w:rsidR="007E63A6" w:rsidRPr="00812C16">
        <w:rPr>
          <w:rFonts w:cs="Arial"/>
          <w:lang w:eastAsia="de-DE"/>
        </w:rPr>
        <w:t>48,4</w:t>
      </w:r>
      <w:r w:rsidR="002544B9" w:rsidRPr="00812C16">
        <w:rPr>
          <w:rFonts w:cs="Arial"/>
          <w:lang w:eastAsia="de-DE"/>
        </w:rPr>
        <w:t xml:space="preserve">%) </w:t>
      </w:r>
      <w:r w:rsidR="00CC161A" w:rsidRPr="00812C16">
        <w:rPr>
          <w:rFonts w:cs="Arial"/>
          <w:lang w:eastAsia="de-DE"/>
        </w:rPr>
        <w:t>gab regelmäßigen Tabakgebrau</w:t>
      </w:r>
      <w:r w:rsidR="002544B9" w:rsidRPr="00812C16">
        <w:rPr>
          <w:rFonts w:cs="Arial"/>
          <w:lang w:eastAsia="de-DE"/>
        </w:rPr>
        <w:t>c</w:t>
      </w:r>
      <w:r w:rsidR="00CC161A" w:rsidRPr="00812C16">
        <w:rPr>
          <w:rFonts w:cs="Arial"/>
          <w:lang w:eastAsia="de-DE"/>
        </w:rPr>
        <w:t xml:space="preserve">h während der </w:t>
      </w:r>
      <w:r w:rsidR="002544B9" w:rsidRPr="00812C16">
        <w:rPr>
          <w:rFonts w:cs="Arial"/>
          <w:lang w:eastAsia="de-DE"/>
        </w:rPr>
        <w:t>Behandlung</w:t>
      </w:r>
      <w:r w:rsidR="00CC161A" w:rsidRPr="00812C16">
        <w:rPr>
          <w:rFonts w:cs="Arial"/>
          <w:lang w:eastAsia="de-DE"/>
        </w:rPr>
        <w:t xml:space="preserve"> oder in der V</w:t>
      </w:r>
      <w:r w:rsidR="002544B9" w:rsidRPr="00812C16">
        <w:rPr>
          <w:rFonts w:cs="Arial"/>
          <w:lang w:eastAsia="de-DE"/>
        </w:rPr>
        <w:t>e</w:t>
      </w:r>
      <w:r w:rsidR="00CC161A" w:rsidRPr="00812C16">
        <w:rPr>
          <w:rFonts w:cs="Arial"/>
          <w:lang w:eastAsia="de-DE"/>
        </w:rPr>
        <w:t>rgang</w:t>
      </w:r>
      <w:r w:rsidR="002544B9" w:rsidRPr="00812C16">
        <w:rPr>
          <w:rFonts w:cs="Arial"/>
          <w:lang w:eastAsia="de-DE"/>
        </w:rPr>
        <w:t>en</w:t>
      </w:r>
      <w:r w:rsidR="00CC161A" w:rsidRPr="00812C16">
        <w:rPr>
          <w:rFonts w:cs="Arial"/>
          <w:lang w:eastAsia="de-DE"/>
        </w:rPr>
        <w:t>heit an.</w:t>
      </w:r>
      <w:r w:rsidR="002544B9" w:rsidRPr="00812C16">
        <w:rPr>
          <w:rFonts w:cs="Arial"/>
          <w:lang w:eastAsia="de-DE"/>
        </w:rPr>
        <w:t xml:space="preserve"> </w:t>
      </w:r>
      <w:r w:rsidR="00CC161A" w:rsidRPr="00812C16">
        <w:rPr>
          <w:rFonts w:cs="Arial"/>
        </w:rPr>
        <w:t xml:space="preserve">Aussagen zum regelmäßigen Alkoholkonsum vor und während des Beobachtungszeitraum </w:t>
      </w:r>
      <w:r w:rsidR="009031AF" w:rsidRPr="00812C16">
        <w:rPr>
          <w:rFonts w:cs="Arial"/>
        </w:rPr>
        <w:t>wurden nicht erhoben</w:t>
      </w:r>
      <w:r w:rsidR="00CC161A" w:rsidRPr="00812C16">
        <w:rPr>
          <w:rFonts w:cs="Arial"/>
        </w:rPr>
        <w:t xml:space="preserve">. </w:t>
      </w:r>
    </w:p>
    <w:p w14:paraId="64633066" w14:textId="4BFE4FCA" w:rsidR="00062BF3" w:rsidRPr="00812C16" w:rsidRDefault="00062BF3" w:rsidP="008D3AE7">
      <w:pPr>
        <w:pStyle w:val="Beschriftung"/>
        <w:spacing w:before="120" w:after="0"/>
        <w:contextualSpacing/>
        <w:rPr>
          <w:rFonts w:cs="Arial"/>
          <w:b/>
          <w:bCs/>
          <w:i w:val="0"/>
          <w:iCs w:val="0"/>
          <w:color w:val="auto"/>
          <w:sz w:val="24"/>
          <w:szCs w:val="24"/>
        </w:rPr>
      </w:pPr>
      <w:bookmarkStart w:id="48" w:name="_Ref85362175"/>
      <w:bookmarkStart w:id="49" w:name="_Toc180788391"/>
      <w:r w:rsidRPr="00812C16">
        <w:rPr>
          <w:rFonts w:cs="Arial"/>
          <w:b/>
          <w:bCs/>
          <w:i w:val="0"/>
          <w:iCs w:val="0"/>
          <w:color w:val="auto"/>
          <w:sz w:val="21"/>
          <w:szCs w:val="21"/>
        </w:rPr>
        <w:t xml:space="preserve">Tabelle </w:t>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STYLEREF 1 \s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4</w:t>
      </w:r>
      <w:r w:rsidR="00A126D9" w:rsidRPr="00812C16">
        <w:rPr>
          <w:rFonts w:cs="Arial"/>
          <w:b/>
          <w:bCs/>
          <w:i w:val="0"/>
          <w:iCs w:val="0"/>
          <w:color w:val="auto"/>
          <w:sz w:val="21"/>
          <w:szCs w:val="21"/>
        </w:rPr>
        <w:fldChar w:fldCharType="end"/>
      </w:r>
      <w:r w:rsidR="00A126D9" w:rsidRPr="00812C16">
        <w:rPr>
          <w:rFonts w:cs="Arial"/>
          <w:b/>
          <w:bCs/>
          <w:i w:val="0"/>
          <w:iCs w:val="0"/>
          <w:color w:val="auto"/>
          <w:sz w:val="21"/>
          <w:szCs w:val="21"/>
        </w:rPr>
        <w:noBreakHyphen/>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SEQ Tabelle \* ARABIC \s 1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1</w:t>
      </w:r>
      <w:r w:rsidR="00A126D9" w:rsidRPr="00812C16">
        <w:rPr>
          <w:rFonts w:cs="Arial"/>
          <w:b/>
          <w:bCs/>
          <w:i w:val="0"/>
          <w:iCs w:val="0"/>
          <w:color w:val="auto"/>
          <w:sz w:val="21"/>
          <w:szCs w:val="21"/>
        </w:rPr>
        <w:fldChar w:fldCharType="end"/>
      </w:r>
      <w:bookmarkEnd w:id="48"/>
      <w:r w:rsidRPr="00812C16">
        <w:rPr>
          <w:rFonts w:cs="Arial"/>
          <w:b/>
          <w:bCs/>
          <w:i w:val="0"/>
          <w:iCs w:val="0"/>
          <w:color w:val="auto"/>
          <w:sz w:val="21"/>
          <w:szCs w:val="21"/>
        </w:rPr>
        <w:t xml:space="preserve">: </w:t>
      </w:r>
      <w:r w:rsidR="00153A81" w:rsidRPr="00812C16">
        <w:rPr>
          <w:rFonts w:cs="Arial"/>
          <w:b/>
          <w:bCs/>
          <w:i w:val="0"/>
          <w:iCs w:val="0"/>
          <w:color w:val="auto"/>
          <w:sz w:val="21"/>
          <w:szCs w:val="21"/>
        </w:rPr>
        <w:t>Klinisch-pathologische Daten des Patientenkollektivs</w:t>
      </w:r>
      <w:bookmarkEnd w:id="49"/>
    </w:p>
    <w:tbl>
      <w:tblPr>
        <w:tblStyle w:val="EinfacheTabelle4"/>
        <w:tblW w:w="7796" w:type="dxa"/>
        <w:tblBorders>
          <w:top w:val="single" w:sz="48" w:space="0" w:color="FF0000"/>
          <w:left w:val="single" w:sz="48" w:space="0" w:color="FF0000"/>
          <w:bottom w:val="single" w:sz="48" w:space="0" w:color="FF0000"/>
          <w:right w:val="single" w:sz="48" w:space="0" w:color="FF0000"/>
          <w:insideH w:val="single" w:sz="48" w:space="0" w:color="FF0000"/>
          <w:insideV w:val="single" w:sz="48" w:space="0" w:color="FF0000"/>
        </w:tblBorders>
        <w:tblLayout w:type="fixed"/>
        <w:tblLook w:val="04A0" w:firstRow="1" w:lastRow="0" w:firstColumn="1" w:lastColumn="0" w:noHBand="0" w:noVBand="1"/>
      </w:tblPr>
      <w:tblGrid>
        <w:gridCol w:w="3196"/>
        <w:gridCol w:w="2695"/>
        <w:gridCol w:w="709"/>
        <w:gridCol w:w="1196"/>
      </w:tblGrid>
      <w:tr w:rsidR="002D612F" w:rsidRPr="00812C16" w14:paraId="4E414945" w14:textId="77777777" w:rsidTr="002D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4C4499DD" w14:textId="635359B1" w:rsidR="002D612F" w:rsidRPr="00812C16" w:rsidRDefault="002D612F" w:rsidP="007E63A6">
            <w:pPr>
              <w:snapToGrid w:val="0"/>
              <w:spacing w:before="30" w:afterLines="30" w:after="72"/>
              <w:rPr>
                <w:rFonts w:cs="Arial"/>
                <w:sz w:val="20"/>
                <w:szCs w:val="20"/>
              </w:rPr>
            </w:pPr>
          </w:p>
        </w:tc>
        <w:tc>
          <w:tcPr>
            <w:tcW w:w="709" w:type="dxa"/>
            <w:shd w:val="clear" w:color="auto" w:fill="F7CAAC" w:themeFill="accent2" w:themeFillTint="66"/>
          </w:tcPr>
          <w:p w14:paraId="7ECF80D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1196" w:type="dxa"/>
            <w:shd w:val="clear" w:color="auto" w:fill="F7CAAC" w:themeFill="accent2" w:themeFillTint="66"/>
          </w:tcPr>
          <w:p w14:paraId="7B1420F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2D612F" w:rsidRPr="00812C16" w14:paraId="7DE5964D"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7EE916B1" w14:textId="7C4E4FAB" w:rsidR="002D612F" w:rsidRPr="00812C16" w:rsidRDefault="002D612F" w:rsidP="002D612F">
            <w:pPr>
              <w:snapToGrid w:val="0"/>
              <w:spacing w:before="30" w:afterLines="30" w:after="72"/>
              <w:jc w:val="right"/>
              <w:rPr>
                <w:rFonts w:cs="Arial"/>
                <w:sz w:val="20"/>
                <w:szCs w:val="20"/>
              </w:rPr>
            </w:pPr>
            <w:r w:rsidRPr="00812C16">
              <w:rPr>
                <w:rFonts w:cs="Arial"/>
                <w:b w:val="0"/>
                <w:bCs w:val="0"/>
                <w:sz w:val="20"/>
                <w:szCs w:val="20"/>
              </w:rPr>
              <w:t>Anzahl der Patienten</w:t>
            </w:r>
          </w:p>
        </w:tc>
        <w:tc>
          <w:tcPr>
            <w:tcW w:w="709" w:type="dxa"/>
            <w:shd w:val="clear" w:color="auto" w:fill="F7CAAC" w:themeFill="accent2" w:themeFillTint="66"/>
          </w:tcPr>
          <w:p w14:paraId="4F187BD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221</w:t>
            </w:r>
          </w:p>
        </w:tc>
        <w:tc>
          <w:tcPr>
            <w:tcW w:w="1196" w:type="dxa"/>
            <w:shd w:val="clear" w:color="auto" w:fill="F7CAAC" w:themeFill="accent2" w:themeFillTint="66"/>
          </w:tcPr>
          <w:p w14:paraId="7BB8DC3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D612F" w:rsidRPr="00812C16" w14:paraId="7F569F27"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6BC40447"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Alter</w:t>
            </w:r>
          </w:p>
        </w:tc>
        <w:tc>
          <w:tcPr>
            <w:tcW w:w="2695" w:type="dxa"/>
          </w:tcPr>
          <w:p w14:paraId="59E4FED1"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20-30</w:t>
            </w:r>
          </w:p>
        </w:tc>
        <w:tc>
          <w:tcPr>
            <w:tcW w:w="709" w:type="dxa"/>
          </w:tcPr>
          <w:p w14:paraId="41108E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w:t>
            </w:r>
          </w:p>
        </w:tc>
        <w:tc>
          <w:tcPr>
            <w:tcW w:w="1196" w:type="dxa"/>
          </w:tcPr>
          <w:p w14:paraId="62CD76E2"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0.5</w:t>
            </w:r>
          </w:p>
        </w:tc>
      </w:tr>
      <w:tr w:rsidR="002D612F" w:rsidRPr="00812C16" w14:paraId="14CEE27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924A051" w14:textId="77777777" w:rsidR="002D612F" w:rsidRPr="00812C16" w:rsidRDefault="002D612F" w:rsidP="007E63A6">
            <w:pPr>
              <w:snapToGrid w:val="0"/>
              <w:spacing w:before="30" w:afterLines="30" w:after="72"/>
              <w:rPr>
                <w:rFonts w:cs="Arial"/>
                <w:sz w:val="20"/>
                <w:szCs w:val="20"/>
              </w:rPr>
            </w:pPr>
          </w:p>
        </w:tc>
        <w:tc>
          <w:tcPr>
            <w:tcW w:w="2695" w:type="dxa"/>
          </w:tcPr>
          <w:p w14:paraId="4D2714B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31-40</w:t>
            </w:r>
          </w:p>
        </w:tc>
        <w:tc>
          <w:tcPr>
            <w:tcW w:w="709" w:type="dxa"/>
          </w:tcPr>
          <w:p w14:paraId="6F52DA1E"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w:t>
            </w:r>
          </w:p>
        </w:tc>
        <w:tc>
          <w:tcPr>
            <w:tcW w:w="1196" w:type="dxa"/>
          </w:tcPr>
          <w:p w14:paraId="5D049B83"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w:t>
            </w:r>
          </w:p>
        </w:tc>
      </w:tr>
      <w:tr w:rsidR="002D612F" w:rsidRPr="00812C16" w14:paraId="2BE5729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5FD3661E" w14:textId="77777777" w:rsidR="002D612F" w:rsidRPr="00812C16" w:rsidRDefault="002D612F" w:rsidP="007E63A6">
            <w:pPr>
              <w:snapToGrid w:val="0"/>
              <w:spacing w:before="30" w:afterLines="30" w:after="72"/>
              <w:rPr>
                <w:rFonts w:cs="Arial"/>
                <w:sz w:val="20"/>
                <w:szCs w:val="20"/>
              </w:rPr>
            </w:pPr>
          </w:p>
        </w:tc>
        <w:tc>
          <w:tcPr>
            <w:tcW w:w="2695" w:type="dxa"/>
          </w:tcPr>
          <w:p w14:paraId="4C017A25"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41-50</w:t>
            </w:r>
          </w:p>
        </w:tc>
        <w:tc>
          <w:tcPr>
            <w:tcW w:w="709" w:type="dxa"/>
          </w:tcPr>
          <w:p w14:paraId="6FB7B0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43</w:t>
            </w:r>
          </w:p>
        </w:tc>
        <w:tc>
          <w:tcPr>
            <w:tcW w:w="1196" w:type="dxa"/>
          </w:tcPr>
          <w:p w14:paraId="53096E9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19.5</w:t>
            </w:r>
          </w:p>
        </w:tc>
      </w:tr>
      <w:tr w:rsidR="002D612F" w:rsidRPr="00812C16" w14:paraId="14BA685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C6A3133" w14:textId="77777777" w:rsidR="002D612F" w:rsidRPr="00812C16" w:rsidRDefault="002D612F" w:rsidP="007E63A6">
            <w:pPr>
              <w:snapToGrid w:val="0"/>
              <w:spacing w:before="30" w:afterLines="30" w:after="72"/>
              <w:rPr>
                <w:rFonts w:cs="Arial"/>
                <w:sz w:val="20"/>
                <w:szCs w:val="20"/>
              </w:rPr>
            </w:pPr>
          </w:p>
        </w:tc>
        <w:tc>
          <w:tcPr>
            <w:tcW w:w="2695" w:type="dxa"/>
          </w:tcPr>
          <w:p w14:paraId="30EE2E4C"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51-60</w:t>
            </w:r>
          </w:p>
        </w:tc>
        <w:tc>
          <w:tcPr>
            <w:tcW w:w="709" w:type="dxa"/>
          </w:tcPr>
          <w:p w14:paraId="3C72D90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79</w:t>
            </w:r>
          </w:p>
        </w:tc>
        <w:tc>
          <w:tcPr>
            <w:tcW w:w="1196" w:type="dxa"/>
          </w:tcPr>
          <w:p w14:paraId="06375B68"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35.7</w:t>
            </w:r>
          </w:p>
        </w:tc>
      </w:tr>
      <w:tr w:rsidR="002D612F" w:rsidRPr="00812C16" w14:paraId="4CE165CC"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E42B1D8" w14:textId="77777777" w:rsidR="002D612F" w:rsidRPr="00812C16" w:rsidRDefault="002D612F" w:rsidP="007E63A6">
            <w:pPr>
              <w:snapToGrid w:val="0"/>
              <w:spacing w:before="30" w:afterLines="30" w:after="72"/>
              <w:rPr>
                <w:rFonts w:cs="Arial"/>
                <w:sz w:val="20"/>
                <w:szCs w:val="20"/>
              </w:rPr>
            </w:pPr>
          </w:p>
        </w:tc>
        <w:tc>
          <w:tcPr>
            <w:tcW w:w="2695" w:type="dxa"/>
          </w:tcPr>
          <w:p w14:paraId="6FAD812F"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61-70</w:t>
            </w:r>
          </w:p>
        </w:tc>
        <w:tc>
          <w:tcPr>
            <w:tcW w:w="709" w:type="dxa"/>
          </w:tcPr>
          <w:p w14:paraId="6E41E07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69</w:t>
            </w:r>
          </w:p>
        </w:tc>
        <w:tc>
          <w:tcPr>
            <w:tcW w:w="1196" w:type="dxa"/>
          </w:tcPr>
          <w:p w14:paraId="3D359D54"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31.2</w:t>
            </w:r>
          </w:p>
        </w:tc>
      </w:tr>
      <w:tr w:rsidR="002D612F" w:rsidRPr="00812C16" w14:paraId="6529957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E0B2B7B" w14:textId="77777777" w:rsidR="002D612F" w:rsidRPr="00812C16" w:rsidRDefault="002D612F" w:rsidP="007E63A6">
            <w:pPr>
              <w:snapToGrid w:val="0"/>
              <w:spacing w:before="30" w:afterLines="30" w:after="72"/>
              <w:rPr>
                <w:rFonts w:cs="Arial"/>
                <w:sz w:val="20"/>
                <w:szCs w:val="20"/>
              </w:rPr>
            </w:pPr>
          </w:p>
        </w:tc>
        <w:tc>
          <w:tcPr>
            <w:tcW w:w="2695" w:type="dxa"/>
          </w:tcPr>
          <w:p w14:paraId="0D900EDD"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71-80</w:t>
            </w:r>
          </w:p>
        </w:tc>
        <w:tc>
          <w:tcPr>
            <w:tcW w:w="709" w:type="dxa"/>
          </w:tcPr>
          <w:p w14:paraId="6A96ED74"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w:t>
            </w:r>
          </w:p>
        </w:tc>
        <w:tc>
          <w:tcPr>
            <w:tcW w:w="1196" w:type="dxa"/>
          </w:tcPr>
          <w:p w14:paraId="7666E9F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3.6</w:t>
            </w:r>
          </w:p>
        </w:tc>
      </w:tr>
      <w:tr w:rsidR="002D612F" w:rsidRPr="00812C16" w14:paraId="343C6E35"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075905FA" w14:textId="77777777" w:rsidR="002D612F" w:rsidRPr="00812C16" w:rsidRDefault="002D612F" w:rsidP="007E63A6">
            <w:pPr>
              <w:snapToGrid w:val="0"/>
              <w:spacing w:before="30" w:afterLines="30" w:after="72"/>
              <w:rPr>
                <w:rFonts w:cs="Arial"/>
                <w:sz w:val="20"/>
                <w:szCs w:val="20"/>
              </w:rPr>
            </w:pPr>
          </w:p>
        </w:tc>
        <w:tc>
          <w:tcPr>
            <w:tcW w:w="2695" w:type="dxa"/>
          </w:tcPr>
          <w:p w14:paraId="7D46FD51" w14:textId="77777777" w:rsidR="002D612F" w:rsidRPr="00812C16" w:rsidRDefault="002D612F" w:rsidP="007E63A6">
            <w:pPr>
              <w:tabs>
                <w:tab w:val="left" w:pos="1381"/>
              </w:tabs>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r w:rsidRPr="00812C16">
              <w:rPr>
                <w:rFonts w:cs="Arial"/>
                <w:sz w:val="20"/>
                <w:szCs w:val="20"/>
              </w:rPr>
              <w:tab/>
            </w:r>
          </w:p>
        </w:tc>
        <w:tc>
          <w:tcPr>
            <w:tcW w:w="709" w:type="dxa"/>
          </w:tcPr>
          <w:p w14:paraId="277100C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385BC90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w:t>
            </w:r>
          </w:p>
        </w:tc>
      </w:tr>
      <w:tr w:rsidR="002D612F" w:rsidRPr="00812C16" w14:paraId="32FDC81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D5CBE79"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Geschlecht</w:t>
            </w:r>
          </w:p>
        </w:tc>
        <w:tc>
          <w:tcPr>
            <w:tcW w:w="2695" w:type="dxa"/>
          </w:tcPr>
          <w:p w14:paraId="3A03EBEB"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Männlich</w:t>
            </w:r>
          </w:p>
        </w:tc>
        <w:tc>
          <w:tcPr>
            <w:tcW w:w="709" w:type="dxa"/>
          </w:tcPr>
          <w:p w14:paraId="437E668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180</w:t>
            </w:r>
          </w:p>
        </w:tc>
        <w:tc>
          <w:tcPr>
            <w:tcW w:w="1196" w:type="dxa"/>
          </w:tcPr>
          <w:p w14:paraId="74671E2E"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81.4</w:t>
            </w:r>
          </w:p>
        </w:tc>
      </w:tr>
      <w:tr w:rsidR="002D612F" w:rsidRPr="00812C16" w14:paraId="317C6232"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CF109AB"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560CC8A0"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Weiblich</w:t>
            </w:r>
          </w:p>
        </w:tc>
        <w:tc>
          <w:tcPr>
            <w:tcW w:w="709" w:type="dxa"/>
          </w:tcPr>
          <w:p w14:paraId="4379845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w:t>
            </w:r>
          </w:p>
        </w:tc>
        <w:tc>
          <w:tcPr>
            <w:tcW w:w="1196" w:type="dxa"/>
          </w:tcPr>
          <w:p w14:paraId="20211DA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18.6</w:t>
            </w:r>
          </w:p>
        </w:tc>
      </w:tr>
      <w:tr w:rsidR="002D612F" w:rsidRPr="00812C16" w14:paraId="76471A2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BCFE4AB" w14:textId="77777777" w:rsidR="002D612F" w:rsidRPr="00812C16" w:rsidRDefault="002D612F" w:rsidP="007E63A6">
            <w:pPr>
              <w:snapToGrid w:val="0"/>
              <w:spacing w:before="30" w:afterLines="30" w:after="72"/>
              <w:rPr>
                <w:rFonts w:cs="Arial"/>
                <w:sz w:val="20"/>
                <w:szCs w:val="20"/>
              </w:rPr>
            </w:pPr>
            <w:r w:rsidRPr="00812C16">
              <w:rPr>
                <w:rFonts w:cs="Arial"/>
                <w:b w:val="0"/>
                <w:bCs w:val="0"/>
                <w:sz w:val="20"/>
                <w:szCs w:val="20"/>
              </w:rPr>
              <w:t xml:space="preserve">Nikotin  </w:t>
            </w:r>
          </w:p>
        </w:tc>
        <w:tc>
          <w:tcPr>
            <w:tcW w:w="2695" w:type="dxa"/>
          </w:tcPr>
          <w:p w14:paraId="4184390E"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Raucher </w:t>
            </w:r>
          </w:p>
        </w:tc>
        <w:tc>
          <w:tcPr>
            <w:tcW w:w="709" w:type="dxa"/>
          </w:tcPr>
          <w:p w14:paraId="088DAC2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107</w:t>
            </w:r>
          </w:p>
        </w:tc>
        <w:tc>
          <w:tcPr>
            <w:tcW w:w="1196" w:type="dxa"/>
          </w:tcPr>
          <w:p w14:paraId="39D9DED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48,4</w:t>
            </w:r>
          </w:p>
        </w:tc>
      </w:tr>
      <w:tr w:rsidR="002D612F" w:rsidRPr="00812C16" w14:paraId="7BAC34B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20C4070B"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lastRenderedPageBreak/>
              <w:t>(im Beobachtungszeitraum)</w:t>
            </w:r>
          </w:p>
        </w:tc>
        <w:tc>
          <w:tcPr>
            <w:tcW w:w="2695" w:type="dxa"/>
          </w:tcPr>
          <w:p w14:paraId="1B4EEA9E"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Nichtraucher</w:t>
            </w:r>
          </w:p>
        </w:tc>
        <w:tc>
          <w:tcPr>
            <w:tcW w:w="709" w:type="dxa"/>
          </w:tcPr>
          <w:p w14:paraId="3D8B7D06"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99</w:t>
            </w:r>
          </w:p>
        </w:tc>
        <w:tc>
          <w:tcPr>
            <w:tcW w:w="1196" w:type="dxa"/>
          </w:tcPr>
          <w:p w14:paraId="492DC35A"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44,8</w:t>
            </w:r>
          </w:p>
        </w:tc>
      </w:tr>
      <w:tr w:rsidR="002D612F" w:rsidRPr="00812C16" w14:paraId="03ABFCB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86FA607"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0E41281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Pr>
          <w:p w14:paraId="74ABFA7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7B90F8F6"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6,8</w:t>
            </w:r>
          </w:p>
        </w:tc>
      </w:tr>
    </w:tbl>
    <w:p w14:paraId="7809C792" w14:textId="3F31A09E" w:rsidR="00836A3F" w:rsidRPr="00812C16" w:rsidRDefault="00D44900" w:rsidP="002336E1">
      <w:pPr>
        <w:spacing w:before="360" w:after="360"/>
        <w:rPr>
          <w:rFonts w:cs="Arial"/>
          <w:lang w:eastAsia="de-DE"/>
        </w:rPr>
      </w:pPr>
      <w:r>
        <w:rPr>
          <w:rFonts w:cs="Arial"/>
          <w:noProof/>
          <w:lang w:eastAsia="de-DE"/>
        </w:rPr>
        <w:object w:dxaOrig="11880" w:dyaOrig="5880" w14:anchorId="159F6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5.55pt;height:295.05pt;mso-width-percent:0;mso-height-percent:0;mso-width-percent:0;mso-height-percent:0" o:ole="">
            <v:imagedata r:id="rId20" o:title=""/>
          </v:shape>
          <o:OLEObject Type="Embed" ProgID="Excel.Sheet.12" ShapeID="_x0000_i1025" DrawAspect="Content" ObjectID="_1812046890" r:id="rId21"/>
        </w:object>
      </w:r>
      <w:r w:rsidR="004A3BA3" w:rsidRPr="00812C16">
        <w:rPr>
          <w:rFonts w:cs="Arial"/>
          <w:lang w:eastAsia="de-DE"/>
        </w:rPr>
        <w:t xml:space="preserve">Bei allen im Kollektiv eingeschlossenen Patienten konnte ein </w:t>
      </w:r>
      <w:r w:rsidR="002C1C56" w:rsidRPr="00812C16">
        <w:rPr>
          <w:rFonts w:cs="Arial"/>
          <w:lang w:eastAsia="de-DE"/>
        </w:rPr>
        <w:t xml:space="preserve">lokal </w:t>
      </w:r>
      <w:r w:rsidR="002877E1" w:rsidRPr="00812C16">
        <w:rPr>
          <w:rFonts w:cs="Arial"/>
          <w:lang w:eastAsia="de-DE"/>
        </w:rPr>
        <w:t>fortgeschrittenes</w:t>
      </w:r>
      <w:r w:rsidR="002C1C56" w:rsidRPr="00812C16">
        <w:rPr>
          <w:rFonts w:cs="Arial"/>
          <w:lang w:eastAsia="de-DE"/>
        </w:rPr>
        <w:t xml:space="preserve"> </w:t>
      </w:r>
      <w:r w:rsidR="004A3BA3" w:rsidRPr="00812C16">
        <w:rPr>
          <w:rFonts w:cs="Arial"/>
          <w:lang w:eastAsia="de-DE"/>
        </w:rPr>
        <w:t>Plattenepithelkarzinom im Kopf-Hals-Bereich diagnostiziert werden, was durch die jeweiligen pathologischen Institute der DKTK-Partnerstandorte histologisch bestätigt und klassifiziert wurde.</w:t>
      </w:r>
      <w:r w:rsidR="00836A3F" w:rsidRPr="00812C16">
        <w:rPr>
          <w:rFonts w:cs="Arial"/>
          <w:lang w:eastAsia="de-DE"/>
        </w:rPr>
        <w:t xml:space="preserve"> </w:t>
      </w:r>
      <w:r w:rsidR="00DD6EC9" w:rsidRPr="00812C16">
        <w:rPr>
          <w:rFonts w:cs="Arial"/>
          <w:lang w:eastAsia="de-DE"/>
        </w:rPr>
        <w:t>Bei 60 Patienten war der Tumor in der Mundhöhle (27</w:t>
      </w:r>
      <w:r w:rsidR="009D0CD3" w:rsidRPr="00812C16">
        <w:rPr>
          <w:rFonts w:cs="Arial"/>
          <w:lang w:eastAsia="de-DE"/>
        </w:rPr>
        <w:t>,</w:t>
      </w:r>
      <w:r w:rsidR="00DD6EC9" w:rsidRPr="00812C16">
        <w:rPr>
          <w:rFonts w:cs="Arial"/>
          <w:lang w:eastAsia="de-DE"/>
        </w:rPr>
        <w:t>1%) lokalisiert, bei 126 Patienten im Oropharynx (57</w:t>
      </w:r>
      <w:r w:rsidR="009D0CD3" w:rsidRPr="00812C16">
        <w:rPr>
          <w:rFonts w:cs="Arial"/>
          <w:lang w:eastAsia="de-DE"/>
        </w:rPr>
        <w:t>,</w:t>
      </w:r>
      <w:r w:rsidR="00DD6EC9" w:rsidRPr="00812C16">
        <w:rPr>
          <w:rFonts w:cs="Arial"/>
          <w:lang w:eastAsia="de-DE"/>
        </w:rPr>
        <w:t>0%) und bei 35 Patienten im Hypopharynx (15</w:t>
      </w:r>
      <w:r w:rsidR="009D0CD3" w:rsidRPr="00812C16">
        <w:rPr>
          <w:rFonts w:cs="Arial"/>
          <w:lang w:eastAsia="de-DE"/>
        </w:rPr>
        <w:t>,</w:t>
      </w:r>
      <w:r w:rsidR="00DD6EC9" w:rsidRPr="00812C16">
        <w:rPr>
          <w:rFonts w:cs="Arial"/>
          <w:lang w:eastAsia="de-DE"/>
        </w:rPr>
        <w:t xml:space="preserve">8%). </w:t>
      </w:r>
      <w:r w:rsidR="00836A3F" w:rsidRPr="00812C16">
        <w:rPr>
          <w:rFonts w:cs="Arial"/>
          <w:lang w:eastAsia="de-DE"/>
        </w:rPr>
        <w:t>Die Anzahl der Patienten pro</w:t>
      </w:r>
      <w:r w:rsidR="00AF626E" w:rsidRPr="00812C16">
        <w:rPr>
          <w:rFonts w:cs="Arial"/>
          <w:lang w:eastAsia="de-DE"/>
        </w:rPr>
        <w:t xml:space="preserve"> DKTK-</w:t>
      </w:r>
      <w:r w:rsidR="00836A3F" w:rsidRPr="00812C16">
        <w:rPr>
          <w:rFonts w:cs="Arial"/>
          <w:lang w:eastAsia="de-DE"/>
        </w:rPr>
        <w:t xml:space="preserve">Behandlungszentrum und Tumorlokalisierung sind in </w:t>
      </w:r>
      <w:r w:rsidR="00836A3F" w:rsidRPr="00812C16">
        <w:rPr>
          <w:rFonts w:cs="Arial"/>
          <w:lang w:eastAsia="de-DE"/>
        </w:rPr>
        <w:fldChar w:fldCharType="begin"/>
      </w:r>
      <w:r w:rsidR="00836A3F" w:rsidRPr="00812C16">
        <w:rPr>
          <w:rFonts w:cs="Arial"/>
          <w:lang w:eastAsia="de-DE"/>
        </w:rPr>
        <w:instrText xml:space="preserve"> REF _Ref88584540 \h  \* MERGEFORMAT </w:instrText>
      </w:r>
      <w:r w:rsidR="00836A3F" w:rsidRPr="00812C16">
        <w:rPr>
          <w:rFonts w:cs="Arial"/>
          <w:lang w:eastAsia="de-DE"/>
        </w:rPr>
      </w:r>
      <w:r w:rsidR="00836A3F"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2</w:t>
      </w:r>
      <w:r w:rsidR="00836A3F" w:rsidRPr="00812C16">
        <w:rPr>
          <w:rFonts w:cs="Arial"/>
          <w:lang w:eastAsia="de-DE"/>
        </w:rPr>
        <w:fldChar w:fldCharType="end"/>
      </w:r>
      <w:r w:rsidR="00836A3F" w:rsidRPr="00812C16">
        <w:rPr>
          <w:rFonts w:cs="Arial"/>
          <w:sz w:val="36"/>
          <w:szCs w:val="36"/>
          <w:lang w:eastAsia="de-DE"/>
        </w:rPr>
        <w:t xml:space="preserve"> </w:t>
      </w:r>
      <w:r w:rsidR="00836A3F" w:rsidRPr="00812C16">
        <w:rPr>
          <w:rFonts w:cs="Arial"/>
          <w:lang w:eastAsia="de-DE"/>
        </w:rPr>
        <w:t xml:space="preserve">zusammengefasst. </w:t>
      </w:r>
    </w:p>
    <w:p w14:paraId="2A3A31DD" w14:textId="03A9F164" w:rsidR="00836A3F" w:rsidRPr="00812C16" w:rsidRDefault="00836A3F" w:rsidP="0086435B">
      <w:pPr>
        <w:pStyle w:val="Beschriftung"/>
        <w:spacing w:before="120" w:after="120" w:line="240" w:lineRule="auto"/>
        <w:contextualSpacing/>
        <w:rPr>
          <w:rFonts w:cs="Arial"/>
          <w:b/>
          <w:bCs/>
          <w:i w:val="0"/>
          <w:iCs w:val="0"/>
          <w:color w:val="auto"/>
          <w:sz w:val="20"/>
          <w:szCs w:val="20"/>
        </w:rPr>
      </w:pPr>
      <w:bookmarkStart w:id="50" w:name="_Ref88584540"/>
      <w:bookmarkStart w:id="51" w:name="_Toc180788392"/>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2</w:t>
      </w:r>
      <w:r w:rsidR="00A126D9" w:rsidRPr="00812C16">
        <w:rPr>
          <w:rFonts w:cs="Arial"/>
          <w:b/>
          <w:bCs/>
          <w:i w:val="0"/>
          <w:iCs w:val="0"/>
          <w:color w:val="auto"/>
          <w:sz w:val="20"/>
          <w:szCs w:val="20"/>
        </w:rPr>
        <w:fldChar w:fldCharType="end"/>
      </w:r>
      <w:bookmarkEnd w:id="50"/>
      <w:r w:rsidR="0086435B" w:rsidRPr="00812C16">
        <w:rPr>
          <w:rFonts w:cs="Arial"/>
          <w:b/>
          <w:bCs/>
          <w:i w:val="0"/>
          <w:iCs w:val="0"/>
          <w:color w:val="auto"/>
          <w:sz w:val="20"/>
          <w:szCs w:val="20"/>
        </w:rPr>
        <w:t xml:space="preserve">: </w:t>
      </w:r>
      <w:r w:rsidRPr="00812C16">
        <w:rPr>
          <w:rFonts w:cs="Arial"/>
          <w:b/>
          <w:bCs/>
          <w:i w:val="0"/>
          <w:iCs w:val="0"/>
          <w:color w:val="auto"/>
          <w:sz w:val="20"/>
          <w:szCs w:val="20"/>
        </w:rPr>
        <w:t>Anzahl der Patienten pro Behandlungszentrum und Tumorlokalisierung</w:t>
      </w:r>
      <w:bookmarkEnd w:id="51"/>
    </w:p>
    <w:tbl>
      <w:tblPr>
        <w:tblW w:w="9072" w:type="dxa"/>
        <w:tblLayout w:type="fixed"/>
        <w:tblCellMar>
          <w:left w:w="10" w:type="dxa"/>
          <w:right w:w="10" w:type="dxa"/>
        </w:tblCellMar>
        <w:tblLook w:val="04A0" w:firstRow="1" w:lastRow="0" w:firstColumn="1" w:lastColumn="0" w:noHBand="0" w:noVBand="1"/>
      </w:tblPr>
      <w:tblGrid>
        <w:gridCol w:w="2127"/>
        <w:gridCol w:w="1559"/>
        <w:gridCol w:w="1984"/>
        <w:gridCol w:w="1392"/>
        <w:gridCol w:w="2010"/>
      </w:tblGrid>
      <w:tr w:rsidR="00836A3F" w:rsidRPr="00812C16" w14:paraId="01D0F598" w14:textId="77777777" w:rsidTr="009D0CD3">
        <w:tc>
          <w:tcPr>
            <w:tcW w:w="2127" w:type="dxa"/>
            <w:tcBorders>
              <w:top w:val="single" w:sz="4" w:space="0" w:color="000000" w:themeColor="text1"/>
              <w:bottom w:val="single" w:sz="4" w:space="0" w:color="000000" w:themeColor="text1"/>
            </w:tcBorders>
          </w:tcPr>
          <w:p w14:paraId="1597AEA6" w14:textId="77777777" w:rsidR="00836A3F" w:rsidRPr="00812C16" w:rsidRDefault="00836A3F" w:rsidP="007E63A6">
            <w:pPr>
              <w:spacing w:beforeLines="30" w:before="72" w:afterLines="30" w:after="72" w:line="240" w:lineRule="auto"/>
              <w:ind w:right="55"/>
              <w:rPr>
                <w:rFonts w:cs="Arial"/>
                <w:b/>
                <w:bCs/>
                <w:sz w:val="20"/>
                <w:szCs w:val="20"/>
              </w:rPr>
            </w:pPr>
            <w:r w:rsidRPr="00812C16">
              <w:rPr>
                <w:rFonts w:cs="Arial"/>
                <w:b/>
                <w:bCs/>
                <w:sz w:val="20"/>
                <w:szCs w:val="20"/>
              </w:rPr>
              <w:t>Behandlungszentrum</w:t>
            </w:r>
          </w:p>
        </w:tc>
        <w:tc>
          <w:tcPr>
            <w:tcW w:w="1559" w:type="dxa"/>
            <w:tcBorders>
              <w:top w:val="single" w:sz="4" w:space="0" w:color="000000" w:themeColor="text1"/>
              <w:bottom w:val="single" w:sz="4" w:space="0" w:color="000000" w:themeColor="text1"/>
            </w:tcBorders>
          </w:tcPr>
          <w:p w14:paraId="7713D517"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n</w:t>
            </w:r>
          </w:p>
        </w:tc>
        <w:tc>
          <w:tcPr>
            <w:tcW w:w="1984" w:type="dxa"/>
            <w:tcBorders>
              <w:top w:val="single" w:sz="4" w:space="0" w:color="000000" w:themeColor="text1"/>
              <w:bottom w:val="single" w:sz="4" w:space="0" w:color="000000" w:themeColor="text1"/>
            </w:tcBorders>
          </w:tcPr>
          <w:p w14:paraId="4EE2DBCD"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Mundhöhle</w:t>
            </w:r>
          </w:p>
        </w:tc>
        <w:tc>
          <w:tcPr>
            <w:tcW w:w="1392" w:type="dxa"/>
            <w:tcBorders>
              <w:top w:val="single" w:sz="4" w:space="0" w:color="000000" w:themeColor="text1"/>
              <w:bottom w:val="single" w:sz="4" w:space="0" w:color="000000" w:themeColor="text1"/>
            </w:tcBorders>
          </w:tcPr>
          <w:p w14:paraId="70171878"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Oropharynx</w:t>
            </w:r>
          </w:p>
        </w:tc>
        <w:tc>
          <w:tcPr>
            <w:tcW w:w="2010" w:type="dxa"/>
            <w:tcBorders>
              <w:top w:val="single" w:sz="4" w:space="0" w:color="000000" w:themeColor="text1"/>
              <w:bottom w:val="single" w:sz="4" w:space="0" w:color="000000" w:themeColor="text1"/>
            </w:tcBorders>
          </w:tcPr>
          <w:p w14:paraId="41129AFF"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Hypopharynx</w:t>
            </w:r>
          </w:p>
        </w:tc>
      </w:tr>
      <w:tr w:rsidR="00836A3F" w:rsidRPr="00812C16" w14:paraId="6F3479D7" w14:textId="77777777" w:rsidTr="009D0CD3">
        <w:tc>
          <w:tcPr>
            <w:tcW w:w="2127" w:type="dxa"/>
            <w:tcBorders>
              <w:top w:val="single" w:sz="4" w:space="0" w:color="000000" w:themeColor="text1"/>
            </w:tcBorders>
          </w:tcPr>
          <w:p w14:paraId="486A6A3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Berlin</w:t>
            </w:r>
          </w:p>
        </w:tc>
        <w:tc>
          <w:tcPr>
            <w:tcW w:w="1559" w:type="dxa"/>
            <w:tcBorders>
              <w:top w:val="single" w:sz="4" w:space="0" w:color="000000" w:themeColor="text1"/>
            </w:tcBorders>
          </w:tcPr>
          <w:p w14:paraId="357A6B7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24</w:t>
            </w:r>
          </w:p>
        </w:tc>
        <w:tc>
          <w:tcPr>
            <w:tcW w:w="1984" w:type="dxa"/>
            <w:tcBorders>
              <w:top w:val="single" w:sz="4" w:space="0" w:color="000000" w:themeColor="text1"/>
            </w:tcBorders>
          </w:tcPr>
          <w:p w14:paraId="3479CC1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Borders>
              <w:top w:val="single" w:sz="4" w:space="0" w:color="000000" w:themeColor="text1"/>
            </w:tcBorders>
          </w:tcPr>
          <w:p w14:paraId="3F982F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11</w:t>
            </w:r>
          </w:p>
        </w:tc>
        <w:tc>
          <w:tcPr>
            <w:tcW w:w="2010" w:type="dxa"/>
            <w:tcBorders>
              <w:top w:val="single" w:sz="4" w:space="0" w:color="000000" w:themeColor="text1"/>
            </w:tcBorders>
          </w:tcPr>
          <w:p w14:paraId="4C54E07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w:t>
            </w:r>
          </w:p>
        </w:tc>
      </w:tr>
      <w:tr w:rsidR="00836A3F" w:rsidRPr="00812C16" w14:paraId="29160CC6" w14:textId="77777777" w:rsidTr="009D0CD3">
        <w:tc>
          <w:tcPr>
            <w:tcW w:w="2127" w:type="dxa"/>
          </w:tcPr>
          <w:p w14:paraId="4B331EE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Dresden</w:t>
            </w:r>
          </w:p>
        </w:tc>
        <w:tc>
          <w:tcPr>
            <w:tcW w:w="1559" w:type="dxa"/>
          </w:tcPr>
          <w:p w14:paraId="03361A4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42</w:t>
            </w:r>
          </w:p>
        </w:tc>
        <w:tc>
          <w:tcPr>
            <w:tcW w:w="1984" w:type="dxa"/>
          </w:tcPr>
          <w:p w14:paraId="4D9AE7C4"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21</w:t>
            </w:r>
          </w:p>
        </w:tc>
        <w:tc>
          <w:tcPr>
            <w:tcW w:w="1392" w:type="dxa"/>
          </w:tcPr>
          <w:p w14:paraId="4ABA191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6061F58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7</w:t>
            </w:r>
          </w:p>
        </w:tc>
      </w:tr>
      <w:tr w:rsidR="00836A3F" w:rsidRPr="00812C16" w14:paraId="77290840" w14:textId="77777777" w:rsidTr="009D0CD3">
        <w:tc>
          <w:tcPr>
            <w:tcW w:w="2127" w:type="dxa"/>
          </w:tcPr>
          <w:p w14:paraId="4DF4C6A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Essen</w:t>
            </w:r>
          </w:p>
        </w:tc>
        <w:tc>
          <w:tcPr>
            <w:tcW w:w="1559" w:type="dxa"/>
          </w:tcPr>
          <w:p w14:paraId="4275830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313185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3CD230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w:t>
            </w:r>
          </w:p>
        </w:tc>
        <w:tc>
          <w:tcPr>
            <w:tcW w:w="2010" w:type="dxa"/>
          </w:tcPr>
          <w:p w14:paraId="7FC657F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r>
      <w:tr w:rsidR="00836A3F" w:rsidRPr="00812C16" w14:paraId="54222E49" w14:textId="77777777" w:rsidTr="009D0CD3">
        <w:tc>
          <w:tcPr>
            <w:tcW w:w="2127" w:type="dxa"/>
          </w:tcPr>
          <w:p w14:paraId="7C2E6C91"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Freiburg</w:t>
            </w:r>
          </w:p>
        </w:tc>
        <w:tc>
          <w:tcPr>
            <w:tcW w:w="1559" w:type="dxa"/>
          </w:tcPr>
          <w:p w14:paraId="1C07F77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30</w:t>
            </w:r>
          </w:p>
        </w:tc>
        <w:tc>
          <w:tcPr>
            <w:tcW w:w="1984" w:type="dxa"/>
          </w:tcPr>
          <w:p w14:paraId="78ADE67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c>
          <w:tcPr>
            <w:tcW w:w="1392" w:type="dxa"/>
          </w:tcPr>
          <w:p w14:paraId="426EAF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20</w:t>
            </w:r>
          </w:p>
        </w:tc>
        <w:tc>
          <w:tcPr>
            <w:tcW w:w="2010" w:type="dxa"/>
          </w:tcPr>
          <w:p w14:paraId="2B50C1A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4B72CE4F" w14:textId="77777777" w:rsidTr="009D0CD3">
        <w:tc>
          <w:tcPr>
            <w:tcW w:w="2127" w:type="dxa"/>
          </w:tcPr>
          <w:p w14:paraId="3E5681B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Frankfurt a.M.</w:t>
            </w:r>
          </w:p>
        </w:tc>
        <w:tc>
          <w:tcPr>
            <w:tcW w:w="1559" w:type="dxa"/>
          </w:tcPr>
          <w:p w14:paraId="17BAD8C5"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27</w:t>
            </w:r>
          </w:p>
        </w:tc>
        <w:tc>
          <w:tcPr>
            <w:tcW w:w="1984" w:type="dxa"/>
          </w:tcPr>
          <w:p w14:paraId="761AB32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w:t>
            </w:r>
          </w:p>
        </w:tc>
        <w:tc>
          <w:tcPr>
            <w:tcW w:w="1392" w:type="dxa"/>
          </w:tcPr>
          <w:p w14:paraId="7957410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2367429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063CC65D" w14:textId="77777777" w:rsidTr="009D0CD3">
        <w:tc>
          <w:tcPr>
            <w:tcW w:w="2127" w:type="dxa"/>
          </w:tcPr>
          <w:p w14:paraId="0E6187AA"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Heidelberg</w:t>
            </w:r>
          </w:p>
        </w:tc>
        <w:tc>
          <w:tcPr>
            <w:tcW w:w="1559" w:type="dxa"/>
          </w:tcPr>
          <w:p w14:paraId="4E9E4BD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15</w:t>
            </w:r>
          </w:p>
        </w:tc>
        <w:tc>
          <w:tcPr>
            <w:tcW w:w="1984" w:type="dxa"/>
          </w:tcPr>
          <w:p w14:paraId="29D1459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C675F5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10</w:t>
            </w:r>
          </w:p>
        </w:tc>
        <w:tc>
          <w:tcPr>
            <w:tcW w:w="2010" w:type="dxa"/>
          </w:tcPr>
          <w:p w14:paraId="04C149E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w:t>
            </w:r>
          </w:p>
        </w:tc>
      </w:tr>
      <w:tr w:rsidR="00836A3F" w:rsidRPr="00812C16" w14:paraId="3116670E" w14:textId="77777777" w:rsidTr="009D0CD3">
        <w:tc>
          <w:tcPr>
            <w:tcW w:w="2127" w:type="dxa"/>
          </w:tcPr>
          <w:p w14:paraId="64928E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lastRenderedPageBreak/>
              <w:t>München</w:t>
            </w:r>
          </w:p>
        </w:tc>
        <w:tc>
          <w:tcPr>
            <w:tcW w:w="1559" w:type="dxa"/>
          </w:tcPr>
          <w:p w14:paraId="655FEE9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17</w:t>
            </w:r>
          </w:p>
        </w:tc>
        <w:tc>
          <w:tcPr>
            <w:tcW w:w="1984" w:type="dxa"/>
          </w:tcPr>
          <w:p w14:paraId="2C50482F"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0</w:t>
            </w:r>
          </w:p>
        </w:tc>
        <w:tc>
          <w:tcPr>
            <w:tcW w:w="1392" w:type="dxa"/>
          </w:tcPr>
          <w:p w14:paraId="1EEDF13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16</w:t>
            </w:r>
          </w:p>
        </w:tc>
        <w:tc>
          <w:tcPr>
            <w:tcW w:w="2010" w:type="dxa"/>
          </w:tcPr>
          <w:p w14:paraId="294AAE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59BC3264" w14:textId="77777777" w:rsidTr="009D0CD3">
        <w:tc>
          <w:tcPr>
            <w:tcW w:w="2127" w:type="dxa"/>
          </w:tcPr>
          <w:p w14:paraId="437C6126"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Tübingen</w:t>
            </w:r>
          </w:p>
        </w:tc>
        <w:tc>
          <w:tcPr>
            <w:tcW w:w="1559" w:type="dxa"/>
          </w:tcPr>
          <w:p w14:paraId="15A7B93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5E790E4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Pr>
          <w:p w14:paraId="6524B1F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19</w:t>
            </w:r>
          </w:p>
        </w:tc>
        <w:tc>
          <w:tcPr>
            <w:tcW w:w="2010" w:type="dxa"/>
          </w:tcPr>
          <w:p w14:paraId="4BCB850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0B8F9640" w14:textId="77777777" w:rsidTr="009D0CD3">
        <w:tc>
          <w:tcPr>
            <w:tcW w:w="2127" w:type="dxa"/>
            <w:tcBorders>
              <w:bottom w:val="single" w:sz="4" w:space="0" w:color="000000" w:themeColor="text1"/>
            </w:tcBorders>
          </w:tcPr>
          <w:p w14:paraId="23E60B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Insgesamt</w:t>
            </w:r>
          </w:p>
        </w:tc>
        <w:tc>
          <w:tcPr>
            <w:tcW w:w="1559" w:type="dxa"/>
            <w:tcBorders>
              <w:bottom w:val="single" w:sz="4" w:space="0" w:color="000000" w:themeColor="text1"/>
            </w:tcBorders>
          </w:tcPr>
          <w:p w14:paraId="4B42108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221</w:t>
            </w:r>
          </w:p>
        </w:tc>
        <w:tc>
          <w:tcPr>
            <w:tcW w:w="1984" w:type="dxa"/>
            <w:tcBorders>
              <w:bottom w:val="single" w:sz="4" w:space="0" w:color="000000" w:themeColor="text1"/>
            </w:tcBorders>
          </w:tcPr>
          <w:p w14:paraId="408167C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60</w:t>
            </w:r>
          </w:p>
        </w:tc>
        <w:tc>
          <w:tcPr>
            <w:tcW w:w="1392" w:type="dxa"/>
            <w:tcBorders>
              <w:bottom w:val="single" w:sz="4" w:space="0" w:color="000000" w:themeColor="text1"/>
            </w:tcBorders>
          </w:tcPr>
          <w:p w14:paraId="3F7741D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126</w:t>
            </w:r>
          </w:p>
        </w:tc>
        <w:tc>
          <w:tcPr>
            <w:tcW w:w="2010" w:type="dxa"/>
            <w:tcBorders>
              <w:bottom w:val="single" w:sz="4" w:space="0" w:color="000000" w:themeColor="text1"/>
            </w:tcBorders>
          </w:tcPr>
          <w:p w14:paraId="5D25BB4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35</w:t>
            </w:r>
          </w:p>
        </w:tc>
      </w:tr>
    </w:tbl>
    <w:p w14:paraId="48FCB875" w14:textId="77777777" w:rsidR="00F67803" w:rsidRPr="00F67803" w:rsidRDefault="002D4DC9" w:rsidP="00F67803">
      <w:pPr>
        <w:ind w:right="-2"/>
        <w:rPr>
          <w:rFonts w:cs="Arial"/>
        </w:rPr>
      </w:pPr>
      <w:r w:rsidRPr="00812C16">
        <w:rPr>
          <w:rFonts w:cs="Arial"/>
          <w:lang w:eastAsia="de-DE"/>
        </w:rPr>
        <w:t>Insgesamt handelte es sich bei über 9</w:t>
      </w:r>
      <w:r w:rsidR="006E2E86" w:rsidRPr="00812C16">
        <w:rPr>
          <w:rFonts w:cs="Arial"/>
          <w:lang w:eastAsia="de-DE"/>
        </w:rPr>
        <w:t>6</w:t>
      </w:r>
      <w:r w:rsidRPr="00812C16">
        <w:rPr>
          <w:rFonts w:cs="Arial"/>
          <w:lang w:eastAsia="de-DE"/>
        </w:rPr>
        <w:t xml:space="preserve">% der Karzinome um </w:t>
      </w:r>
      <w:r w:rsidR="00F21B00" w:rsidRPr="00812C16">
        <w:rPr>
          <w:rFonts w:cs="Arial"/>
          <w:lang w:eastAsia="de-DE"/>
        </w:rPr>
        <w:t>mäßig</w:t>
      </w:r>
      <w:r w:rsidRPr="00812C16">
        <w:rPr>
          <w:rFonts w:cs="Arial"/>
          <w:lang w:eastAsia="de-DE"/>
        </w:rPr>
        <w:t xml:space="preserve"> </w:t>
      </w:r>
      <w:r w:rsidR="00FF09EC" w:rsidRPr="00812C16">
        <w:rPr>
          <w:rFonts w:cs="Arial"/>
          <w:lang w:eastAsia="de-DE"/>
        </w:rPr>
        <w:t xml:space="preserve">(G2) </w:t>
      </w:r>
      <w:r w:rsidRPr="00812C16">
        <w:rPr>
          <w:rFonts w:cs="Arial"/>
          <w:lang w:eastAsia="de-DE"/>
        </w:rPr>
        <w:t xml:space="preserve">und </w:t>
      </w:r>
      <w:r w:rsidR="00F21B00" w:rsidRPr="00812C16">
        <w:rPr>
          <w:rFonts w:cs="Arial"/>
          <w:lang w:eastAsia="de-DE"/>
        </w:rPr>
        <w:t>schlecht</w:t>
      </w:r>
      <w:r w:rsidRPr="00812C16">
        <w:rPr>
          <w:rFonts w:cs="Arial"/>
          <w:lang w:eastAsia="de-DE"/>
        </w:rPr>
        <w:t xml:space="preserve"> differenzierte</w:t>
      </w:r>
      <w:r w:rsidR="00FF09EC" w:rsidRPr="00812C16">
        <w:rPr>
          <w:rFonts w:cs="Arial"/>
          <w:lang w:eastAsia="de-DE"/>
        </w:rPr>
        <w:t xml:space="preserve"> </w:t>
      </w:r>
      <w:r w:rsidR="006E2E86" w:rsidRPr="00812C16">
        <w:rPr>
          <w:rFonts w:cs="Arial"/>
          <w:lang w:eastAsia="de-DE"/>
        </w:rPr>
        <w:t>bzw.</w:t>
      </w:r>
      <w:r w:rsidR="00FF09EC" w:rsidRPr="00812C16">
        <w:rPr>
          <w:rFonts w:cs="Arial"/>
          <w:lang w:eastAsia="de-DE"/>
        </w:rPr>
        <w:t xml:space="preserve"> </w:t>
      </w:r>
      <w:r w:rsidR="00F21B00" w:rsidRPr="00812C16">
        <w:rPr>
          <w:rFonts w:cs="Arial"/>
          <w:lang w:eastAsia="de-DE"/>
        </w:rPr>
        <w:t>undifferenzierte</w:t>
      </w:r>
      <w:r w:rsidR="00FF09EC" w:rsidRPr="00812C16">
        <w:rPr>
          <w:rFonts w:cs="Arial"/>
          <w:lang w:eastAsia="de-DE"/>
        </w:rPr>
        <w:t xml:space="preserve"> (G3)</w:t>
      </w:r>
      <w:r w:rsidR="00F21B00" w:rsidRPr="00812C16">
        <w:rPr>
          <w:rFonts w:cs="Arial"/>
          <w:lang w:eastAsia="de-DE"/>
        </w:rPr>
        <w:t xml:space="preserve"> Primärtumoren</w:t>
      </w:r>
      <w:r w:rsidRPr="00812C16">
        <w:rPr>
          <w:rFonts w:cs="Arial"/>
          <w:lang w:eastAsia="de-DE"/>
        </w:rPr>
        <w:t xml:space="preserve"> im</w:t>
      </w:r>
      <w:r w:rsidR="00F21B00" w:rsidRPr="00812C16">
        <w:rPr>
          <w:rFonts w:cs="Arial"/>
          <w:lang w:eastAsia="de-DE"/>
        </w:rPr>
        <w:t xml:space="preserve"> </w:t>
      </w:r>
      <w:r w:rsidR="006F7AB1" w:rsidRPr="00812C16">
        <w:rPr>
          <w:rFonts w:cs="Arial"/>
          <w:lang w:eastAsia="de-DE"/>
        </w:rPr>
        <w:t>lokal fortgeschrittenen</w:t>
      </w:r>
      <w:r w:rsidRPr="00812C16">
        <w:rPr>
          <w:rFonts w:cs="Arial"/>
          <w:lang w:eastAsia="de-DE"/>
        </w:rPr>
        <w:t xml:space="preserve"> Tumor</w:t>
      </w:r>
      <w:r w:rsidR="006F7AB1" w:rsidRPr="00812C16">
        <w:rPr>
          <w:rFonts w:cs="Arial"/>
          <w:lang w:eastAsia="de-DE"/>
        </w:rPr>
        <w:t>stadium</w:t>
      </w:r>
      <w:r w:rsidR="00124288" w:rsidRPr="00812C16">
        <w:rPr>
          <w:rFonts w:cs="Arial"/>
          <w:lang w:eastAsia="de-DE"/>
        </w:rPr>
        <w:t xml:space="preserve"> pT3-T4</w:t>
      </w:r>
      <w:r w:rsidR="006F7AB1" w:rsidRPr="00812C16">
        <w:rPr>
          <w:rFonts w:cs="Arial"/>
          <w:lang w:eastAsia="de-DE"/>
        </w:rPr>
        <w:t xml:space="preserve"> </w:t>
      </w:r>
      <w:r w:rsidR="00124288" w:rsidRPr="00812C16">
        <w:rPr>
          <w:rFonts w:cs="Arial"/>
          <w:lang w:eastAsia="de-DE"/>
        </w:rPr>
        <w:t xml:space="preserve">(TNM-Stadium) </w:t>
      </w:r>
      <w:r w:rsidR="006F7AB1" w:rsidRPr="00812C16">
        <w:rPr>
          <w:rFonts w:cs="Arial"/>
          <w:lang w:eastAsia="de-DE"/>
        </w:rPr>
        <w:t>mit</w:t>
      </w:r>
      <w:r w:rsidR="00124288" w:rsidRPr="00812C16">
        <w:rPr>
          <w:rFonts w:cs="Arial"/>
          <w:lang w:eastAsia="de-DE"/>
        </w:rPr>
        <w:t xml:space="preserve"> vorwiegend</w:t>
      </w:r>
      <w:r w:rsidR="006F7AB1" w:rsidRPr="00812C16">
        <w:rPr>
          <w:rFonts w:cs="Arial"/>
          <w:lang w:eastAsia="de-DE"/>
        </w:rPr>
        <w:t xml:space="preserve"> positivem Lymphknotenstatus</w:t>
      </w:r>
      <w:r w:rsidR="002877E1" w:rsidRPr="00812C16">
        <w:rPr>
          <w:rFonts w:cs="Arial"/>
          <w:lang w:eastAsia="de-DE"/>
        </w:rPr>
        <w:t xml:space="preserve"> (90%, n=199)</w:t>
      </w:r>
      <w:r w:rsidR="006F7AB1" w:rsidRPr="00812C16">
        <w:rPr>
          <w:rFonts w:cs="Arial"/>
          <w:lang w:eastAsia="de-DE"/>
        </w:rPr>
        <w:t xml:space="preserve">. </w:t>
      </w:r>
      <w:r w:rsidR="006F6A39" w:rsidRPr="00812C16">
        <w:rPr>
          <w:rFonts w:cs="Arial"/>
          <w:lang w:eastAsia="de-DE"/>
        </w:rPr>
        <w:t xml:space="preserve">Zu Beginn der Strahlentherapie wurden bei keinem Patienten </w:t>
      </w:r>
      <w:r w:rsidR="00F21B00" w:rsidRPr="00812C16">
        <w:rPr>
          <w:rFonts w:cs="Arial"/>
          <w:lang w:eastAsia="de-DE"/>
        </w:rPr>
        <w:t xml:space="preserve">Fernmetastasen </w:t>
      </w:r>
      <w:r w:rsidR="006F6A39" w:rsidRPr="00812C16">
        <w:rPr>
          <w:rFonts w:cs="Arial"/>
          <w:lang w:eastAsia="de-DE"/>
        </w:rPr>
        <w:t>diagnostiziert. Diese traten erst im Laufe der Nachbeobachtung auf. Nach der UICC-Klassifikation befanden sich 8 (3</w:t>
      </w:r>
      <w:r w:rsidR="009D0CD3" w:rsidRPr="00812C16">
        <w:rPr>
          <w:rFonts w:cs="Arial"/>
          <w:lang w:eastAsia="de-DE"/>
        </w:rPr>
        <w:t>,</w:t>
      </w:r>
      <w:r w:rsidR="006F6A39" w:rsidRPr="00812C16">
        <w:rPr>
          <w:rFonts w:cs="Arial"/>
          <w:lang w:eastAsia="de-DE"/>
        </w:rPr>
        <w:t>6%) Patienten in Stadium II, 33</w:t>
      </w:r>
      <w:r w:rsidR="00404C6B" w:rsidRPr="00812C16">
        <w:rPr>
          <w:rFonts w:cs="Arial"/>
          <w:lang w:eastAsia="de-DE"/>
        </w:rPr>
        <w:t xml:space="preserve"> </w:t>
      </w:r>
      <w:r w:rsidR="006F6A39" w:rsidRPr="00812C16">
        <w:rPr>
          <w:rFonts w:cs="Arial"/>
          <w:lang w:eastAsia="de-DE"/>
        </w:rPr>
        <w:t>(14</w:t>
      </w:r>
      <w:r w:rsidR="009D0CD3" w:rsidRPr="00812C16">
        <w:rPr>
          <w:rFonts w:cs="Arial"/>
          <w:lang w:eastAsia="de-DE"/>
        </w:rPr>
        <w:t>,</w:t>
      </w:r>
      <w:r w:rsidR="006F6A39" w:rsidRPr="00812C16">
        <w:rPr>
          <w:rFonts w:cs="Arial"/>
          <w:lang w:eastAsia="de-DE"/>
        </w:rPr>
        <w:t>9%) in Stadium III und 180 (81</w:t>
      </w:r>
      <w:r w:rsidR="009D0CD3" w:rsidRPr="00812C16">
        <w:rPr>
          <w:rFonts w:cs="Arial"/>
          <w:lang w:eastAsia="de-DE"/>
        </w:rPr>
        <w:t>,</w:t>
      </w:r>
      <w:r w:rsidR="006F6A39" w:rsidRPr="00812C16">
        <w:rPr>
          <w:rFonts w:cs="Arial"/>
          <w:lang w:eastAsia="de-DE"/>
        </w:rPr>
        <w:t>4%) in Stadium IV. Die Stadien IV A und IV B wurden hierbei zum Stadium IV zusammengefasst. Das Stadium IV C entfällt aufgrund der Metastasenfreiheit aller Patienten zu Therapiebeginn.</w:t>
      </w:r>
      <w:r w:rsidR="0000516F" w:rsidRPr="00812C16">
        <w:rPr>
          <w:rFonts w:cs="Arial"/>
          <w:lang w:eastAsia="de-DE"/>
        </w:rPr>
        <w:t xml:space="preserve"> </w:t>
      </w:r>
      <w:r w:rsidR="00887A77" w:rsidRPr="00812C16">
        <w:rPr>
          <w:rFonts w:cs="Arial"/>
          <w:lang w:eastAsia="de-DE"/>
        </w:rPr>
        <w:t xml:space="preserve">In </w:t>
      </w:r>
      <w:r w:rsidR="00887A77" w:rsidRPr="00812C16">
        <w:rPr>
          <w:rFonts w:cs="Arial"/>
          <w:lang w:eastAsia="de-DE"/>
        </w:rPr>
        <w:fldChar w:fldCharType="begin"/>
      </w:r>
      <w:r w:rsidR="00887A77" w:rsidRPr="00812C16">
        <w:rPr>
          <w:rFonts w:cs="Arial"/>
          <w:lang w:eastAsia="de-DE"/>
        </w:rPr>
        <w:instrText xml:space="preserve"> REF _Ref89671480 \h </w:instrText>
      </w:r>
      <w:r w:rsidR="00404C6B" w:rsidRPr="00812C16">
        <w:rPr>
          <w:rFonts w:cs="Arial"/>
          <w:lang w:eastAsia="de-DE"/>
        </w:rPr>
        <w:instrText xml:space="preserve"> \* MERGEFORMAT </w:instrText>
      </w:r>
      <w:r w:rsidR="00887A77" w:rsidRPr="00812C16">
        <w:rPr>
          <w:rFonts w:cs="Arial"/>
          <w:lang w:eastAsia="de-DE"/>
        </w:rPr>
      </w:r>
      <w:r w:rsidR="00887A77" w:rsidRPr="00812C16">
        <w:rPr>
          <w:rFonts w:cs="Arial"/>
          <w:lang w:eastAsia="de-DE"/>
        </w:rPr>
        <w:fldChar w:fldCharType="separate"/>
      </w:r>
    </w:p>
    <w:p w14:paraId="223D2943" w14:textId="77777777" w:rsidR="00F67803" w:rsidRPr="00F67803" w:rsidRDefault="00F67803" w:rsidP="00F67803">
      <w:pPr>
        <w:ind w:right="-2"/>
        <w:rPr>
          <w:rFonts w:cs="Arial"/>
        </w:rPr>
      </w:pPr>
    </w:p>
    <w:p w14:paraId="22665028" w14:textId="74EC04E5" w:rsidR="009D0CD3" w:rsidRPr="00812C16" w:rsidRDefault="00F67803" w:rsidP="004F5445">
      <w:pPr>
        <w:spacing w:before="360"/>
        <w:ind w:right="-2"/>
        <w:rPr>
          <w:rFonts w:cs="Arial"/>
          <w:lang w:eastAsia="de-DE"/>
        </w:rPr>
      </w:pPr>
      <w:r w:rsidRPr="00F67803">
        <w:rPr>
          <w:rFonts w:cs="Arial"/>
          <w:noProof/>
        </w:rPr>
        <w:t>Tabelle</w:t>
      </w:r>
      <w:r w:rsidRPr="00812C16">
        <w:rPr>
          <w:rFonts w:cs="Arial"/>
          <w:b/>
          <w:bCs/>
          <w:sz w:val="20"/>
          <w:szCs w:val="20"/>
        </w:rPr>
        <w:t xml:space="preserve"> </w:t>
      </w:r>
      <w:r>
        <w:rPr>
          <w:rFonts w:cs="Arial"/>
          <w:b/>
          <w:bCs/>
          <w:i/>
          <w:iCs/>
          <w:noProof/>
          <w:sz w:val="20"/>
          <w:szCs w:val="20"/>
        </w:rPr>
        <w:t>4</w:t>
      </w:r>
      <w:r w:rsidRPr="00F67803">
        <w:rPr>
          <w:rFonts w:cs="Arial"/>
          <w:b/>
          <w:bCs/>
          <w:i/>
          <w:iCs/>
          <w:noProof/>
          <w:sz w:val="20"/>
          <w:szCs w:val="20"/>
        </w:rPr>
        <w:noBreakHyphen/>
      </w:r>
      <w:r>
        <w:rPr>
          <w:rFonts w:cs="Arial"/>
          <w:b/>
          <w:bCs/>
          <w:i/>
          <w:iCs/>
          <w:noProof/>
          <w:sz w:val="20"/>
          <w:szCs w:val="20"/>
        </w:rPr>
        <w:t>3</w:t>
      </w:r>
      <w:r w:rsidR="00887A77" w:rsidRPr="00812C16">
        <w:rPr>
          <w:rFonts w:cs="Arial"/>
          <w:lang w:eastAsia="de-DE"/>
        </w:rPr>
        <w:fldChar w:fldCharType="end"/>
      </w:r>
      <w:r w:rsidR="00887A77" w:rsidRPr="00812C16">
        <w:rPr>
          <w:rFonts w:cs="Arial"/>
          <w:lang w:eastAsia="de-DE"/>
        </w:rPr>
        <w:t xml:space="preserve"> sind die Tumorcharakteristika des Patientenkollektivs im Detail zusammengefasst. </w:t>
      </w:r>
    </w:p>
    <w:p w14:paraId="4A1DC29B" w14:textId="77777777" w:rsidR="00145378" w:rsidRPr="00812C16" w:rsidRDefault="00145378" w:rsidP="0000516F">
      <w:pPr>
        <w:spacing w:before="360"/>
        <w:rPr>
          <w:rFonts w:cs="Arial"/>
          <w:lang w:eastAsia="de-DE"/>
        </w:rPr>
      </w:pPr>
    </w:p>
    <w:p w14:paraId="72BF975C" w14:textId="77777777" w:rsidR="00145378" w:rsidRPr="00812C16" w:rsidRDefault="00145378" w:rsidP="0086435B">
      <w:pPr>
        <w:pStyle w:val="Beschriftung"/>
        <w:spacing w:before="360" w:after="0"/>
        <w:rPr>
          <w:rFonts w:cs="Arial"/>
          <w:b/>
          <w:bCs/>
          <w:i w:val="0"/>
          <w:iCs w:val="0"/>
          <w:color w:val="auto"/>
          <w:sz w:val="20"/>
          <w:szCs w:val="20"/>
        </w:rPr>
      </w:pPr>
      <w:bookmarkStart w:id="52" w:name="_Ref89671480"/>
    </w:p>
    <w:p w14:paraId="3B1EA992" w14:textId="77777777" w:rsidR="00145378" w:rsidRPr="00812C16" w:rsidRDefault="00145378" w:rsidP="0086435B">
      <w:pPr>
        <w:pStyle w:val="Beschriftung"/>
        <w:spacing w:before="360" w:after="0"/>
        <w:rPr>
          <w:rFonts w:cs="Arial"/>
          <w:b/>
          <w:bCs/>
          <w:i w:val="0"/>
          <w:iCs w:val="0"/>
          <w:color w:val="auto"/>
          <w:sz w:val="20"/>
          <w:szCs w:val="20"/>
        </w:rPr>
      </w:pPr>
    </w:p>
    <w:p w14:paraId="225C1757" w14:textId="64A7C928" w:rsidR="00887A77" w:rsidRPr="00812C16" w:rsidRDefault="00887A77" w:rsidP="0086435B">
      <w:pPr>
        <w:pStyle w:val="Beschriftung"/>
        <w:spacing w:before="360" w:after="0"/>
        <w:rPr>
          <w:rFonts w:cs="Arial"/>
          <w:b/>
          <w:bCs/>
          <w:i w:val="0"/>
          <w:iCs w:val="0"/>
          <w:color w:val="auto"/>
          <w:sz w:val="20"/>
          <w:szCs w:val="20"/>
          <w:lang w:eastAsia="de-DE"/>
        </w:rPr>
      </w:pPr>
      <w:bookmarkStart w:id="53" w:name="_Toc180788393"/>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3</w:t>
      </w:r>
      <w:r w:rsidR="00A126D9" w:rsidRPr="00812C16">
        <w:rPr>
          <w:rFonts w:cs="Arial"/>
          <w:b/>
          <w:bCs/>
          <w:i w:val="0"/>
          <w:iCs w:val="0"/>
          <w:color w:val="auto"/>
          <w:sz w:val="20"/>
          <w:szCs w:val="20"/>
        </w:rPr>
        <w:fldChar w:fldCharType="end"/>
      </w:r>
      <w:bookmarkEnd w:id="52"/>
      <w:r w:rsidRPr="00812C16">
        <w:rPr>
          <w:rFonts w:cs="Arial"/>
          <w:b/>
          <w:bCs/>
          <w:i w:val="0"/>
          <w:iCs w:val="0"/>
          <w:color w:val="auto"/>
          <w:sz w:val="20"/>
          <w:szCs w:val="20"/>
        </w:rPr>
        <w:t>: Tumorcharakteristik</w:t>
      </w:r>
      <w:bookmarkEnd w:id="53"/>
    </w:p>
    <w:tbl>
      <w:tblPr>
        <w:tblStyle w:val="EinfacheTabelle4"/>
        <w:tblW w:w="9072" w:type="dxa"/>
        <w:tblLayout w:type="fixed"/>
        <w:tblLook w:val="04A0" w:firstRow="1" w:lastRow="0" w:firstColumn="1" w:lastColumn="0" w:noHBand="0" w:noVBand="1"/>
      </w:tblPr>
      <w:tblGrid>
        <w:gridCol w:w="3544"/>
        <w:gridCol w:w="2835"/>
        <w:gridCol w:w="709"/>
        <w:gridCol w:w="567"/>
        <w:gridCol w:w="1417"/>
      </w:tblGrid>
      <w:tr w:rsidR="009D0CD3" w:rsidRPr="00812C16" w14:paraId="6D60639C" w14:textId="77777777" w:rsidTr="009D0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bottom w:val="single" w:sz="4" w:space="0" w:color="000000" w:themeColor="text1"/>
            </w:tcBorders>
          </w:tcPr>
          <w:p w14:paraId="41F81B27" w14:textId="77777777" w:rsidR="00887A77" w:rsidRPr="00812C16" w:rsidRDefault="00887A77" w:rsidP="007E63A6">
            <w:pPr>
              <w:spacing w:beforeLines="30" w:before="72" w:afterLines="30" w:after="72"/>
              <w:rPr>
                <w:rFonts w:cs="Arial"/>
                <w:sz w:val="20"/>
                <w:szCs w:val="20"/>
              </w:rPr>
            </w:pPr>
            <w:r w:rsidRPr="00812C16">
              <w:rPr>
                <w:rFonts w:cs="Arial"/>
                <w:sz w:val="20"/>
                <w:szCs w:val="20"/>
              </w:rPr>
              <w:t>Charakteristik</w:t>
            </w:r>
          </w:p>
        </w:tc>
        <w:tc>
          <w:tcPr>
            <w:tcW w:w="2835" w:type="dxa"/>
            <w:tcBorders>
              <w:top w:val="single" w:sz="4" w:space="0" w:color="000000" w:themeColor="text1"/>
              <w:bottom w:val="single" w:sz="4" w:space="0" w:color="000000" w:themeColor="text1"/>
            </w:tcBorders>
          </w:tcPr>
          <w:p w14:paraId="663689FF" w14:textId="77777777" w:rsidR="00887A77" w:rsidRPr="00812C16" w:rsidRDefault="00887A77" w:rsidP="007E63A6">
            <w:pPr>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709" w:type="dxa"/>
            <w:tcBorders>
              <w:top w:val="single" w:sz="4" w:space="0" w:color="000000" w:themeColor="text1"/>
              <w:left w:val="nil"/>
              <w:bottom w:val="single" w:sz="4" w:space="0" w:color="000000" w:themeColor="text1"/>
            </w:tcBorders>
          </w:tcPr>
          <w:p w14:paraId="5558EBE1"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567" w:type="dxa"/>
            <w:tcBorders>
              <w:top w:val="single" w:sz="4" w:space="0" w:color="000000" w:themeColor="text1"/>
              <w:bottom w:val="single" w:sz="4" w:space="0" w:color="000000" w:themeColor="text1"/>
            </w:tcBorders>
          </w:tcPr>
          <w:p w14:paraId="4F5DF453"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000000" w:themeColor="text1"/>
              <w:bottom w:val="single" w:sz="4" w:space="0" w:color="000000" w:themeColor="text1"/>
            </w:tcBorders>
          </w:tcPr>
          <w:p w14:paraId="6272E8F8" w14:textId="77777777" w:rsidR="00887A77" w:rsidRPr="00812C16" w:rsidRDefault="00887A77" w:rsidP="009D0CD3">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9D0CD3" w:rsidRPr="00812C16" w14:paraId="79F68221"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tcBorders>
          </w:tcPr>
          <w:p w14:paraId="25DA38A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Tumorlokalisation</w:t>
            </w:r>
          </w:p>
        </w:tc>
        <w:tc>
          <w:tcPr>
            <w:tcW w:w="2835" w:type="dxa"/>
            <w:tcBorders>
              <w:top w:val="single" w:sz="4" w:space="0" w:color="000000" w:themeColor="text1"/>
            </w:tcBorders>
          </w:tcPr>
          <w:p w14:paraId="3FBB5420"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Mundhöhle </w:t>
            </w:r>
          </w:p>
        </w:tc>
        <w:tc>
          <w:tcPr>
            <w:tcW w:w="709" w:type="dxa"/>
            <w:tcBorders>
              <w:top w:val="single" w:sz="4" w:space="0" w:color="000000" w:themeColor="text1"/>
              <w:left w:val="nil"/>
            </w:tcBorders>
          </w:tcPr>
          <w:p w14:paraId="10972F1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60</w:t>
            </w:r>
          </w:p>
        </w:tc>
        <w:tc>
          <w:tcPr>
            <w:tcW w:w="567" w:type="dxa"/>
            <w:tcBorders>
              <w:top w:val="single" w:sz="4" w:space="0" w:color="000000" w:themeColor="text1"/>
            </w:tcBorders>
          </w:tcPr>
          <w:p w14:paraId="12F6223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000000" w:themeColor="text1"/>
            </w:tcBorders>
          </w:tcPr>
          <w:p w14:paraId="078AFC1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27.1</w:t>
            </w:r>
          </w:p>
        </w:tc>
      </w:tr>
      <w:tr w:rsidR="009D0CD3" w:rsidRPr="00812C16" w14:paraId="5FA51B72"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0EB2287"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579856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 xml:space="preserve">Oropharynx </w:t>
            </w:r>
          </w:p>
        </w:tc>
        <w:tc>
          <w:tcPr>
            <w:tcW w:w="709" w:type="dxa"/>
            <w:tcBorders>
              <w:left w:val="nil"/>
            </w:tcBorders>
          </w:tcPr>
          <w:p w14:paraId="0A33D03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126</w:t>
            </w:r>
          </w:p>
        </w:tc>
        <w:tc>
          <w:tcPr>
            <w:tcW w:w="567" w:type="dxa"/>
          </w:tcPr>
          <w:p w14:paraId="00C6D5A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66FEFFB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57.0</w:t>
            </w:r>
          </w:p>
        </w:tc>
      </w:tr>
      <w:tr w:rsidR="009D0CD3" w:rsidRPr="00812C16" w14:paraId="7A72954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5C1AD568"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C79CD5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Hypopharynx</w:t>
            </w:r>
          </w:p>
        </w:tc>
        <w:tc>
          <w:tcPr>
            <w:tcW w:w="709" w:type="dxa"/>
            <w:tcBorders>
              <w:left w:val="nil"/>
              <w:bottom w:val="single" w:sz="4" w:space="0" w:color="D0CECE" w:themeColor="background2" w:themeShade="E6"/>
            </w:tcBorders>
          </w:tcPr>
          <w:p w14:paraId="37C6BB2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w:t>
            </w:r>
          </w:p>
        </w:tc>
        <w:tc>
          <w:tcPr>
            <w:tcW w:w="567" w:type="dxa"/>
            <w:tcBorders>
              <w:bottom w:val="single" w:sz="4" w:space="0" w:color="D0CECE" w:themeColor="background2" w:themeShade="E6"/>
            </w:tcBorders>
          </w:tcPr>
          <w:p w14:paraId="5E05898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579BD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15.8</w:t>
            </w:r>
          </w:p>
        </w:tc>
      </w:tr>
      <w:tr w:rsidR="009D0CD3" w:rsidRPr="00812C16" w14:paraId="73772B84"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18D55C53"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T-Stadium</w:t>
            </w:r>
          </w:p>
        </w:tc>
        <w:tc>
          <w:tcPr>
            <w:tcW w:w="2835" w:type="dxa"/>
            <w:tcBorders>
              <w:top w:val="single" w:sz="4" w:space="0" w:color="D0CECE" w:themeColor="background2" w:themeShade="E6"/>
            </w:tcBorders>
          </w:tcPr>
          <w:p w14:paraId="4C439120"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pT2</w:t>
            </w:r>
          </w:p>
        </w:tc>
        <w:tc>
          <w:tcPr>
            <w:tcW w:w="709" w:type="dxa"/>
            <w:tcBorders>
              <w:top w:val="single" w:sz="4" w:space="0" w:color="D0CECE" w:themeColor="background2" w:themeShade="E6"/>
              <w:left w:val="nil"/>
            </w:tcBorders>
          </w:tcPr>
          <w:p w14:paraId="5723629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0389751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4B5E15CD"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418E899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DCD632F"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62E23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pT3</w:t>
            </w:r>
          </w:p>
        </w:tc>
        <w:tc>
          <w:tcPr>
            <w:tcW w:w="709" w:type="dxa"/>
            <w:tcBorders>
              <w:left w:val="nil"/>
            </w:tcBorders>
          </w:tcPr>
          <w:p w14:paraId="6B8CE6D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177FB86B"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19D2A84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5FC77D40"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1441C2AC"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9D5FF46"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pT4</w:t>
            </w:r>
          </w:p>
        </w:tc>
        <w:tc>
          <w:tcPr>
            <w:tcW w:w="709" w:type="dxa"/>
            <w:tcBorders>
              <w:left w:val="nil"/>
              <w:bottom w:val="single" w:sz="4" w:space="0" w:color="D0CECE" w:themeColor="background2" w:themeShade="E6"/>
            </w:tcBorders>
          </w:tcPr>
          <w:p w14:paraId="61AF028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2002C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2BB87E0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FF777E9"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031CEEA0"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N-Stadium</w:t>
            </w:r>
          </w:p>
        </w:tc>
        <w:tc>
          <w:tcPr>
            <w:tcW w:w="2835" w:type="dxa"/>
            <w:tcBorders>
              <w:top w:val="single" w:sz="4" w:space="0" w:color="D0CECE" w:themeColor="background2" w:themeShade="E6"/>
            </w:tcBorders>
          </w:tcPr>
          <w:p w14:paraId="07FB12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N0</w:t>
            </w:r>
          </w:p>
        </w:tc>
        <w:tc>
          <w:tcPr>
            <w:tcW w:w="709" w:type="dxa"/>
            <w:tcBorders>
              <w:top w:val="single" w:sz="4" w:space="0" w:color="D0CECE" w:themeColor="background2" w:themeShade="E6"/>
              <w:left w:val="nil"/>
            </w:tcBorders>
          </w:tcPr>
          <w:p w14:paraId="460519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w:t>
            </w:r>
          </w:p>
        </w:tc>
        <w:tc>
          <w:tcPr>
            <w:tcW w:w="567" w:type="dxa"/>
            <w:tcBorders>
              <w:top w:val="single" w:sz="4" w:space="0" w:color="D0CECE" w:themeColor="background2" w:themeShade="E6"/>
            </w:tcBorders>
          </w:tcPr>
          <w:p w14:paraId="4CC2649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589A3BDD"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10.0</w:t>
            </w:r>
          </w:p>
        </w:tc>
      </w:tr>
      <w:tr w:rsidR="009D0CD3" w:rsidRPr="00812C16" w14:paraId="24911CD7"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3BFEB54"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B3CC82"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709" w:type="dxa"/>
            <w:tcBorders>
              <w:bottom w:val="single" w:sz="4" w:space="0" w:color="D0CECE" w:themeColor="background2" w:themeShade="E6"/>
            </w:tcBorders>
          </w:tcPr>
          <w:p w14:paraId="70B96CA4" w14:textId="77777777" w:rsidR="00887A77" w:rsidRPr="00812C16" w:rsidRDefault="00887A77" w:rsidP="007E63A6">
            <w:pPr>
              <w:tabs>
                <w:tab w:val="right" w:pos="1304"/>
              </w:tabs>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ab/>
              <w:t>199</w:t>
            </w:r>
          </w:p>
        </w:tc>
        <w:tc>
          <w:tcPr>
            <w:tcW w:w="567" w:type="dxa"/>
            <w:tcBorders>
              <w:bottom w:val="single" w:sz="4" w:space="0" w:color="D0CECE" w:themeColor="background2" w:themeShade="E6"/>
            </w:tcBorders>
          </w:tcPr>
          <w:p w14:paraId="1489D27B" w14:textId="77777777" w:rsidR="00887A77" w:rsidRPr="00812C16" w:rsidRDefault="00887A77" w:rsidP="007E63A6">
            <w:pPr>
              <w:spacing w:beforeLines="30" w:before="72" w:afterLines="30" w:after="72"/>
              <w:ind w:left="-468"/>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65C78C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90.0</w:t>
            </w:r>
          </w:p>
        </w:tc>
      </w:tr>
      <w:tr w:rsidR="009D0CD3" w:rsidRPr="00812C16" w14:paraId="4CAF2ED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0C3BB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Grading</w:t>
            </w:r>
          </w:p>
        </w:tc>
        <w:tc>
          <w:tcPr>
            <w:tcW w:w="2835" w:type="dxa"/>
            <w:tcBorders>
              <w:top w:val="single" w:sz="4" w:space="0" w:color="D0CECE" w:themeColor="background2" w:themeShade="E6"/>
            </w:tcBorders>
          </w:tcPr>
          <w:p w14:paraId="665B0277"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w:t>
            </w:r>
          </w:p>
        </w:tc>
        <w:tc>
          <w:tcPr>
            <w:tcW w:w="709" w:type="dxa"/>
            <w:tcBorders>
              <w:top w:val="single" w:sz="4" w:space="0" w:color="D0CECE" w:themeColor="background2" w:themeShade="E6"/>
            </w:tcBorders>
          </w:tcPr>
          <w:p w14:paraId="4C7A712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w:t>
            </w:r>
          </w:p>
        </w:tc>
        <w:tc>
          <w:tcPr>
            <w:tcW w:w="567" w:type="dxa"/>
            <w:tcBorders>
              <w:top w:val="single" w:sz="4" w:space="0" w:color="D0CECE" w:themeColor="background2" w:themeShade="E6"/>
            </w:tcBorders>
          </w:tcPr>
          <w:p w14:paraId="10541B3F"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05A6023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2.3</w:t>
            </w:r>
          </w:p>
        </w:tc>
      </w:tr>
      <w:tr w:rsidR="009D0CD3" w:rsidRPr="00812C16" w14:paraId="2EE4F608"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77A5303E"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1738AC9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w:t>
            </w:r>
          </w:p>
        </w:tc>
        <w:tc>
          <w:tcPr>
            <w:tcW w:w="709" w:type="dxa"/>
          </w:tcPr>
          <w:p w14:paraId="7440FBD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123</w:t>
            </w:r>
          </w:p>
        </w:tc>
        <w:tc>
          <w:tcPr>
            <w:tcW w:w="567" w:type="dxa"/>
          </w:tcPr>
          <w:p w14:paraId="7C0A0D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28ADCED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55.7</w:t>
            </w:r>
          </w:p>
        </w:tc>
      </w:tr>
      <w:tr w:rsidR="009D0CD3" w:rsidRPr="00812C16" w14:paraId="78996BE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0BF6846"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A1017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w:t>
            </w:r>
          </w:p>
        </w:tc>
        <w:tc>
          <w:tcPr>
            <w:tcW w:w="709" w:type="dxa"/>
          </w:tcPr>
          <w:p w14:paraId="065BB97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89</w:t>
            </w:r>
          </w:p>
        </w:tc>
        <w:tc>
          <w:tcPr>
            <w:tcW w:w="567" w:type="dxa"/>
          </w:tcPr>
          <w:p w14:paraId="07E632A5"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25318A7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40.3</w:t>
            </w:r>
          </w:p>
        </w:tc>
      </w:tr>
      <w:tr w:rsidR="009D0CD3" w:rsidRPr="00812C16" w14:paraId="53A3C27C"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0CDDFCD"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50F959C"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w:t>
            </w:r>
          </w:p>
        </w:tc>
        <w:tc>
          <w:tcPr>
            <w:tcW w:w="709" w:type="dxa"/>
          </w:tcPr>
          <w:p w14:paraId="21EB6F3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c>
          <w:tcPr>
            <w:tcW w:w="567" w:type="dxa"/>
          </w:tcPr>
          <w:p w14:paraId="6016803F"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5A42E6F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r>
      <w:tr w:rsidR="009D0CD3" w:rsidRPr="00812C16" w14:paraId="0F0FDCAD"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C68FBB1"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728C9DAC"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789D0A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w:t>
            </w:r>
          </w:p>
        </w:tc>
        <w:tc>
          <w:tcPr>
            <w:tcW w:w="567" w:type="dxa"/>
            <w:tcBorders>
              <w:bottom w:val="single" w:sz="4" w:space="0" w:color="D0CECE" w:themeColor="background2" w:themeShade="E6"/>
            </w:tcBorders>
          </w:tcPr>
          <w:p w14:paraId="1D16C2E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D40EEA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w:t>
            </w:r>
          </w:p>
        </w:tc>
      </w:tr>
      <w:tr w:rsidR="009D0CD3" w:rsidRPr="00812C16" w14:paraId="35BEEFFF"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919D2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UICC-Stage</w:t>
            </w:r>
          </w:p>
        </w:tc>
        <w:tc>
          <w:tcPr>
            <w:tcW w:w="2835" w:type="dxa"/>
            <w:tcBorders>
              <w:top w:val="single" w:sz="4" w:space="0" w:color="D0CECE" w:themeColor="background2" w:themeShade="E6"/>
            </w:tcBorders>
          </w:tcPr>
          <w:p w14:paraId="6347E0B9"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II</w:t>
            </w:r>
          </w:p>
        </w:tc>
        <w:tc>
          <w:tcPr>
            <w:tcW w:w="709" w:type="dxa"/>
            <w:tcBorders>
              <w:top w:val="single" w:sz="4" w:space="0" w:color="D0CECE" w:themeColor="background2" w:themeShade="E6"/>
            </w:tcBorders>
          </w:tcPr>
          <w:p w14:paraId="578512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27242EB7"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220F76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1C10451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909E678"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DB8BD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III</w:t>
            </w:r>
          </w:p>
        </w:tc>
        <w:tc>
          <w:tcPr>
            <w:tcW w:w="709" w:type="dxa"/>
          </w:tcPr>
          <w:p w14:paraId="008FC57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269644D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6DDB95D7"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1DE1C8CA"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3738504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66BF5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IV A, B</w:t>
            </w:r>
          </w:p>
        </w:tc>
        <w:tc>
          <w:tcPr>
            <w:tcW w:w="709" w:type="dxa"/>
            <w:tcBorders>
              <w:bottom w:val="single" w:sz="4" w:space="0" w:color="D0CECE" w:themeColor="background2" w:themeShade="E6"/>
            </w:tcBorders>
          </w:tcPr>
          <w:p w14:paraId="76AE787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E4F6F5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86FA38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10452DF"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9E0B72F"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R-Status</w:t>
            </w:r>
          </w:p>
        </w:tc>
        <w:tc>
          <w:tcPr>
            <w:tcW w:w="2835" w:type="dxa"/>
            <w:tcBorders>
              <w:top w:val="single" w:sz="4" w:space="0" w:color="D0CECE" w:themeColor="background2" w:themeShade="E6"/>
            </w:tcBorders>
          </w:tcPr>
          <w:p w14:paraId="3CE0830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C10890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125</w:t>
            </w:r>
          </w:p>
        </w:tc>
        <w:tc>
          <w:tcPr>
            <w:tcW w:w="567" w:type="dxa"/>
            <w:tcBorders>
              <w:top w:val="single" w:sz="4" w:space="0" w:color="D0CECE" w:themeColor="background2" w:themeShade="E6"/>
            </w:tcBorders>
          </w:tcPr>
          <w:p w14:paraId="71659C5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622ADA4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56,6</w:t>
            </w:r>
          </w:p>
        </w:tc>
      </w:tr>
      <w:tr w:rsidR="009D0CD3" w:rsidRPr="00812C16" w14:paraId="54CC8FD9"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DEC0BA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2386F86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0BF55EBE"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94</w:t>
            </w:r>
          </w:p>
        </w:tc>
        <w:tc>
          <w:tcPr>
            <w:tcW w:w="567" w:type="dxa"/>
          </w:tcPr>
          <w:p w14:paraId="5F405D2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4341F7CF"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42.5</w:t>
            </w:r>
          </w:p>
        </w:tc>
      </w:tr>
      <w:tr w:rsidR="009D0CD3" w:rsidRPr="00812C16" w14:paraId="50943A8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6B754E5"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2409F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0437723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w:t>
            </w:r>
          </w:p>
        </w:tc>
        <w:tc>
          <w:tcPr>
            <w:tcW w:w="567" w:type="dxa"/>
            <w:tcBorders>
              <w:bottom w:val="single" w:sz="4" w:space="0" w:color="D0CECE" w:themeColor="background2" w:themeShade="E6"/>
            </w:tcBorders>
          </w:tcPr>
          <w:p w14:paraId="5E25ACAE"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65E73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0.9</w:t>
            </w:r>
          </w:p>
        </w:tc>
      </w:tr>
      <w:tr w:rsidR="009D0CD3" w:rsidRPr="00812C16" w14:paraId="6500AF92" w14:textId="77777777" w:rsidTr="009D0CD3">
        <w:trPr>
          <w:trHeight w:val="205"/>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19523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ECE-Status</w:t>
            </w:r>
          </w:p>
        </w:tc>
        <w:tc>
          <w:tcPr>
            <w:tcW w:w="2835" w:type="dxa"/>
            <w:tcBorders>
              <w:top w:val="single" w:sz="4" w:space="0" w:color="D0CECE" w:themeColor="background2" w:themeShade="E6"/>
            </w:tcBorders>
          </w:tcPr>
          <w:p w14:paraId="31903CB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576683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103</w:t>
            </w:r>
          </w:p>
        </w:tc>
        <w:tc>
          <w:tcPr>
            <w:tcW w:w="567" w:type="dxa"/>
            <w:tcBorders>
              <w:top w:val="single" w:sz="4" w:space="0" w:color="D0CECE" w:themeColor="background2" w:themeShade="E6"/>
            </w:tcBorders>
          </w:tcPr>
          <w:p w14:paraId="2A87D14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7737FF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46.6</w:t>
            </w:r>
          </w:p>
        </w:tc>
      </w:tr>
      <w:tr w:rsidR="009D0CD3" w:rsidRPr="00812C16" w14:paraId="4457FB9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665C5E8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0A2A5B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Borders>
              <w:bottom w:val="single" w:sz="4" w:space="0" w:color="D0CECE" w:themeColor="background2" w:themeShade="E6"/>
            </w:tcBorders>
          </w:tcPr>
          <w:p w14:paraId="7ABBA34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c>
          <w:tcPr>
            <w:tcW w:w="567" w:type="dxa"/>
            <w:tcBorders>
              <w:bottom w:val="single" w:sz="4" w:space="0" w:color="D0CECE" w:themeColor="background2" w:themeShade="E6"/>
            </w:tcBorders>
          </w:tcPr>
          <w:p w14:paraId="0B73160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592039D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53.4</w:t>
            </w:r>
          </w:p>
        </w:tc>
      </w:tr>
      <w:tr w:rsidR="009D0CD3" w:rsidRPr="00812C16" w14:paraId="5BBFC289"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E5CC8AB"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HPV16 D</w:t>
            </w:r>
            <w:r w:rsidR="00454942" w:rsidRPr="00812C16">
              <w:rPr>
                <w:rFonts w:cs="Arial"/>
                <w:b w:val="0"/>
                <w:bCs w:val="0"/>
                <w:sz w:val="20"/>
                <w:szCs w:val="20"/>
              </w:rPr>
              <w:t>NA</w:t>
            </w:r>
            <w:r w:rsidRPr="00812C16">
              <w:rPr>
                <w:rFonts w:cs="Arial"/>
                <w:b w:val="0"/>
                <w:bCs w:val="0"/>
                <w:sz w:val="20"/>
                <w:szCs w:val="20"/>
              </w:rPr>
              <w:t xml:space="preserve"> (PCR)</w:t>
            </w:r>
          </w:p>
        </w:tc>
        <w:tc>
          <w:tcPr>
            <w:tcW w:w="2835" w:type="dxa"/>
            <w:tcBorders>
              <w:top w:val="single" w:sz="4" w:space="0" w:color="D0CECE" w:themeColor="background2" w:themeShade="E6"/>
            </w:tcBorders>
          </w:tcPr>
          <w:p w14:paraId="488B3405"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F576CE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143</w:t>
            </w:r>
          </w:p>
        </w:tc>
        <w:tc>
          <w:tcPr>
            <w:tcW w:w="567" w:type="dxa"/>
            <w:tcBorders>
              <w:top w:val="single" w:sz="4" w:space="0" w:color="D0CECE" w:themeColor="background2" w:themeShade="E6"/>
            </w:tcBorders>
          </w:tcPr>
          <w:p w14:paraId="77F884A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406964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64.7</w:t>
            </w:r>
          </w:p>
        </w:tc>
      </w:tr>
      <w:tr w:rsidR="009D0CD3" w:rsidRPr="00812C16" w14:paraId="156C456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696EA1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469E8862"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4AE2FB4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72</w:t>
            </w:r>
          </w:p>
        </w:tc>
        <w:tc>
          <w:tcPr>
            <w:tcW w:w="567" w:type="dxa"/>
          </w:tcPr>
          <w:p w14:paraId="00CDDC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749BBB4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32.6</w:t>
            </w:r>
          </w:p>
        </w:tc>
      </w:tr>
      <w:tr w:rsidR="009D0CD3" w:rsidRPr="00812C16" w14:paraId="4B4875A1"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75AE23E7"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A43F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C1DDD9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w:t>
            </w:r>
          </w:p>
        </w:tc>
        <w:tc>
          <w:tcPr>
            <w:tcW w:w="567" w:type="dxa"/>
            <w:tcBorders>
              <w:bottom w:val="single" w:sz="4" w:space="0" w:color="D0CECE" w:themeColor="background2" w:themeShade="E6"/>
            </w:tcBorders>
          </w:tcPr>
          <w:p w14:paraId="40C9E70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CB0F23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2.7</w:t>
            </w:r>
          </w:p>
        </w:tc>
      </w:tr>
      <w:tr w:rsidR="009D0CD3" w:rsidRPr="00812C16" w14:paraId="14E074C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35D578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CD44-Expression (IHC)</w:t>
            </w:r>
          </w:p>
        </w:tc>
        <w:tc>
          <w:tcPr>
            <w:tcW w:w="2835" w:type="dxa"/>
            <w:tcBorders>
              <w:top w:val="single" w:sz="4" w:space="0" w:color="D0CECE" w:themeColor="background2" w:themeShade="E6"/>
            </w:tcBorders>
          </w:tcPr>
          <w:p w14:paraId="598D1B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55E295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44</w:t>
            </w:r>
          </w:p>
        </w:tc>
        <w:tc>
          <w:tcPr>
            <w:tcW w:w="567" w:type="dxa"/>
            <w:tcBorders>
              <w:top w:val="single" w:sz="4" w:space="0" w:color="D0CECE" w:themeColor="background2" w:themeShade="E6"/>
            </w:tcBorders>
          </w:tcPr>
          <w:p w14:paraId="58643DC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8A1DE7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19.9</w:t>
            </w:r>
          </w:p>
        </w:tc>
      </w:tr>
      <w:tr w:rsidR="009D0CD3" w:rsidRPr="00812C16" w14:paraId="22EE74C6"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1EC4E83"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18C99C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69F37AB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151</w:t>
            </w:r>
          </w:p>
        </w:tc>
        <w:tc>
          <w:tcPr>
            <w:tcW w:w="567" w:type="dxa"/>
          </w:tcPr>
          <w:p w14:paraId="3CB7F47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782AF46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68.3</w:t>
            </w:r>
          </w:p>
        </w:tc>
      </w:tr>
      <w:tr w:rsidR="009D0CD3" w:rsidRPr="00812C16" w14:paraId="3F471E3B"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000000" w:themeColor="text1"/>
            </w:tcBorders>
          </w:tcPr>
          <w:p w14:paraId="31029EAE"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000000" w:themeColor="text1"/>
            </w:tcBorders>
          </w:tcPr>
          <w:p w14:paraId="4C8E4F61"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000000" w:themeColor="text1"/>
            </w:tcBorders>
          </w:tcPr>
          <w:p w14:paraId="0A8811B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26</w:t>
            </w:r>
          </w:p>
        </w:tc>
        <w:tc>
          <w:tcPr>
            <w:tcW w:w="567" w:type="dxa"/>
            <w:tcBorders>
              <w:bottom w:val="single" w:sz="4" w:space="0" w:color="000000" w:themeColor="text1"/>
            </w:tcBorders>
          </w:tcPr>
          <w:p w14:paraId="211D167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000000" w:themeColor="text1"/>
            </w:tcBorders>
          </w:tcPr>
          <w:p w14:paraId="73F2A8E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r>
    </w:tbl>
    <w:p w14:paraId="265F95C7" w14:textId="328DC39B" w:rsidR="00F30A3B" w:rsidRPr="00812C16" w:rsidRDefault="008C5A89" w:rsidP="00454942">
      <w:pPr>
        <w:spacing w:before="360"/>
        <w:rPr>
          <w:rFonts w:cs="Arial"/>
          <w:lang w:eastAsia="de-DE"/>
        </w:rPr>
      </w:pPr>
      <w:r w:rsidRPr="00812C16">
        <w:rPr>
          <w:rFonts w:cs="Arial"/>
          <w:lang w:eastAsia="de-DE"/>
        </w:rPr>
        <w:t xml:space="preserve">Die Untersuchung auf eine Infektion mit HPV wurde </w:t>
      </w:r>
      <w:r w:rsidR="00585D94" w:rsidRPr="00812C16">
        <w:rPr>
          <w:rFonts w:cs="Arial"/>
          <w:lang w:eastAsia="de-DE"/>
        </w:rPr>
        <w:t xml:space="preserve">in einer vorrangegangenen </w:t>
      </w:r>
      <w:r w:rsidR="004F4D11" w:rsidRPr="00812C16">
        <w:rPr>
          <w:rFonts w:cs="Arial"/>
          <w:lang w:eastAsia="de-DE"/>
        </w:rPr>
        <w:t>Arbeit</w:t>
      </w:r>
      <w:r w:rsidR="00585D94" w:rsidRPr="00812C16">
        <w:rPr>
          <w:rFonts w:cs="Arial"/>
          <w:lang w:eastAsia="de-DE"/>
        </w:rPr>
        <w:t xml:space="preserve"> </w:t>
      </w:r>
      <w:r w:rsidR="004F4D11" w:rsidRPr="00812C16">
        <w:rPr>
          <w:rFonts w:cs="Arial"/>
          <w:lang w:eastAsia="de-DE"/>
        </w:rPr>
        <w:t>am gleichen Patientenkollektiv</w:t>
      </w:r>
      <w:r w:rsidR="00466E50" w:rsidRPr="00812C16">
        <w:rPr>
          <w:rFonts w:cs="Arial"/>
          <w:lang w:eastAsia="de-DE"/>
        </w:rPr>
        <w:t xml:space="preserve"> durchgeführt</w:t>
      </w:r>
      <w:r w:rsidR="00D209A4" w:rsidRPr="00812C16">
        <w:rPr>
          <w:rFonts w:cs="Arial"/>
          <w:lang w:eastAsia="de-DE"/>
        </w:rPr>
        <w:t xml:space="preserve"> und ausführlich beschreiben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Lohaus et al., 2014</w:t>
      </w:r>
      <w:r w:rsidR="000112D9">
        <w:rPr>
          <w:rFonts w:cs="Arial"/>
          <w:noProof/>
          <w:lang w:eastAsia="de-DE"/>
        </w:rPr>
        <w:t>)</w:t>
      </w:r>
      <w:r w:rsidR="000112D9">
        <w:rPr>
          <w:rFonts w:cs="Arial"/>
          <w:lang w:eastAsia="de-DE"/>
        </w:rPr>
        <w:fldChar w:fldCharType="end"/>
      </w:r>
      <w:r w:rsidR="00466E50" w:rsidRPr="00812C16">
        <w:rPr>
          <w:rFonts w:cs="Arial"/>
          <w:lang w:eastAsia="de-DE"/>
        </w:rPr>
        <w:t>.</w:t>
      </w:r>
      <w:r w:rsidR="00162D57" w:rsidRPr="00812C16">
        <w:rPr>
          <w:rFonts w:cs="Arial"/>
          <w:lang w:eastAsia="de-DE"/>
        </w:rPr>
        <w:t xml:space="preserve"> Alle Tumorproben wurden dafür auf die Prävalenz von HPV16-DNA analysiert.</w:t>
      </w:r>
      <w:r w:rsidR="00466E50" w:rsidRPr="00812C16">
        <w:rPr>
          <w:rFonts w:cs="Arial"/>
          <w:lang w:eastAsia="de-DE"/>
        </w:rPr>
        <w:t xml:space="preserve"> </w:t>
      </w:r>
      <w:r w:rsidR="00362F6D" w:rsidRPr="00812C16">
        <w:rPr>
          <w:rFonts w:cs="Arial"/>
          <w:lang w:eastAsia="de-DE"/>
        </w:rPr>
        <w:t xml:space="preserve">Insgesamt litten 72 Patienten </w:t>
      </w:r>
      <w:r w:rsidR="00F317B0" w:rsidRPr="00812C16">
        <w:rPr>
          <w:rFonts w:cs="Arial"/>
          <w:lang w:eastAsia="de-DE"/>
        </w:rPr>
        <w:t>(3</w:t>
      </w:r>
      <w:r w:rsidR="008D3AE7" w:rsidRPr="00812C16">
        <w:rPr>
          <w:rFonts w:cs="Arial"/>
          <w:lang w:eastAsia="de-DE"/>
        </w:rPr>
        <w:t>3</w:t>
      </w:r>
      <w:r w:rsidR="00F317B0" w:rsidRPr="00812C16">
        <w:rPr>
          <w:rFonts w:cs="Arial"/>
          <w:lang w:eastAsia="de-DE"/>
        </w:rPr>
        <w:t>,</w:t>
      </w:r>
      <w:r w:rsidR="008D3AE7" w:rsidRPr="00812C16">
        <w:rPr>
          <w:rFonts w:cs="Arial"/>
          <w:lang w:eastAsia="de-DE"/>
        </w:rPr>
        <w:t>5</w:t>
      </w:r>
      <w:r w:rsidR="00F317B0" w:rsidRPr="00812C16">
        <w:rPr>
          <w:rFonts w:cs="Arial"/>
          <w:lang w:eastAsia="de-DE"/>
        </w:rPr>
        <w:t xml:space="preserve">%) </w:t>
      </w:r>
      <w:r w:rsidR="00362F6D" w:rsidRPr="00812C16">
        <w:rPr>
          <w:rFonts w:cs="Arial"/>
          <w:lang w:eastAsia="de-DE"/>
        </w:rPr>
        <w:t>an einen HPV16</w:t>
      </w:r>
      <w:r w:rsidR="00454942" w:rsidRPr="00812C16">
        <w:rPr>
          <w:rFonts w:cs="Arial"/>
          <w:lang w:eastAsia="de-DE"/>
        </w:rPr>
        <w:t xml:space="preserve"> </w:t>
      </w:r>
      <w:r w:rsidR="00362F6D" w:rsidRPr="00812C16">
        <w:rPr>
          <w:rFonts w:cs="Arial"/>
          <w:lang w:eastAsia="de-DE"/>
        </w:rPr>
        <w:t>DNA positiven Tumor</w:t>
      </w:r>
      <w:r w:rsidR="00F317B0" w:rsidRPr="00812C16">
        <w:rPr>
          <w:rFonts w:cs="Arial"/>
          <w:lang w:eastAsia="de-DE"/>
        </w:rPr>
        <w:t>,</w:t>
      </w:r>
      <w:r w:rsidR="00362F6D" w:rsidRPr="00812C16">
        <w:rPr>
          <w:rFonts w:cs="Arial"/>
          <w:lang w:eastAsia="de-DE"/>
        </w:rPr>
        <w:t xml:space="preserve"> während 143 Patienten (64,7%) HPV16 DNA-negative Tumoren aufwiesen.</w:t>
      </w:r>
      <w:r w:rsidR="000F7CB9" w:rsidRPr="00812C16">
        <w:rPr>
          <w:rFonts w:cs="Arial"/>
          <w:lang w:eastAsia="de-DE"/>
        </w:rPr>
        <w:t xml:space="preserve"> </w:t>
      </w:r>
      <w:r w:rsidR="00454942" w:rsidRPr="00812C16">
        <w:rPr>
          <w:rFonts w:cs="Arial"/>
          <w:lang w:eastAsia="de-DE"/>
        </w:rPr>
        <w:t xml:space="preserve"> </w:t>
      </w:r>
      <w:r w:rsidR="00362F6D" w:rsidRPr="00812C16">
        <w:rPr>
          <w:rFonts w:cs="Arial"/>
          <w:lang w:eastAsia="de-DE"/>
        </w:rPr>
        <w:t xml:space="preserve">Es waren </w:t>
      </w:r>
      <w:r w:rsidR="00F317B0" w:rsidRPr="00812C16">
        <w:rPr>
          <w:rFonts w:cs="Arial"/>
          <w:lang w:eastAsia="de-DE"/>
        </w:rPr>
        <w:t xml:space="preserve">6 </w:t>
      </w:r>
      <w:r w:rsidR="00362F6D" w:rsidRPr="00812C16">
        <w:rPr>
          <w:rFonts w:cs="Arial"/>
          <w:lang w:eastAsia="de-DE"/>
        </w:rPr>
        <w:t xml:space="preserve">Tumorpatienten </w:t>
      </w:r>
      <w:r w:rsidR="00F317B0" w:rsidRPr="00812C16">
        <w:rPr>
          <w:rFonts w:cs="Arial"/>
          <w:lang w:eastAsia="de-DE"/>
        </w:rPr>
        <w:t xml:space="preserve">(2,7%) </w:t>
      </w:r>
      <w:r w:rsidR="00362F6D" w:rsidRPr="00812C16">
        <w:rPr>
          <w:rFonts w:cs="Arial"/>
          <w:lang w:eastAsia="de-DE"/>
        </w:rPr>
        <w:t xml:space="preserve">mit unbekanntem HPV-Status im Kollektiv eingeschlossen. </w:t>
      </w:r>
      <w:r w:rsidR="00181EC0" w:rsidRPr="00812C16">
        <w:rPr>
          <w:rFonts w:cs="Arial"/>
          <w:lang w:eastAsia="de-DE"/>
        </w:rPr>
        <w:t>Gemäß der internationalen Agentur für Krebsforschung (IARC) werden HPV16 DNA-positive Kopf-Hals-Plattenepithelkarzinome derzeit als HPV-assoziiert angesehen. Das bedeutet, dass eine persistierende HPV-Infektion als wahrscheinlichste Ursache der Tumorerkrankung anzunehmen ist</w:t>
      </w:r>
      <w:r w:rsidR="000112D9">
        <w:rPr>
          <w:rFonts w:cs="Arial"/>
          <w:lang w:eastAsia="de-DE"/>
        </w:rPr>
        <w:fldChar w:fldCharType="begin">
          <w:fldData xml:space="preserve">PEVuZE5vdGU+PENpdGU+PEF1dGhvcj5Cb3V2YXJkPC9BdXRob3I+PFllYXI+MjAwOTwvWWVhcj48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Bouvard et al., 2009</w:t>
      </w:r>
      <w:r w:rsidR="000112D9">
        <w:rPr>
          <w:rFonts w:cs="Arial"/>
          <w:noProof/>
          <w:lang w:eastAsia="de-DE"/>
        </w:rPr>
        <w:t>)</w:t>
      </w:r>
      <w:r w:rsidR="000112D9">
        <w:rPr>
          <w:rFonts w:cs="Arial"/>
          <w:lang w:eastAsia="de-DE"/>
        </w:rPr>
        <w:fldChar w:fldCharType="end"/>
      </w:r>
      <w:r w:rsidR="00181EC0" w:rsidRPr="00812C16">
        <w:rPr>
          <w:rFonts w:cs="Arial"/>
          <w:lang w:eastAsia="de-DE"/>
        </w:rPr>
        <w:t xml:space="preserve">. Aus diesem Grund wurde der HPV-Status ausschließlich über den Nachweis von HPV16-DNA mittels PCR aus den vorhanden Tumormaterial ermittelt und für die weiteren Analysen verwendet. </w:t>
      </w:r>
      <w:r w:rsidR="00362F6D" w:rsidRPr="00812C16">
        <w:rPr>
          <w:rFonts w:cs="Arial"/>
          <w:lang w:eastAsia="de-DE"/>
        </w:rPr>
        <w:t xml:space="preserve"> </w:t>
      </w:r>
    </w:p>
    <w:p w14:paraId="3C01ACB0" w14:textId="484966A3" w:rsidR="00AB1440" w:rsidRPr="00812C16" w:rsidRDefault="00585D94" w:rsidP="00AB1440">
      <w:pPr>
        <w:spacing w:before="120" w:after="360"/>
        <w:rPr>
          <w:rFonts w:cs="Arial"/>
          <w:lang w:eastAsia="de-DE"/>
        </w:rPr>
      </w:pPr>
      <w:r w:rsidRPr="00812C16">
        <w:rPr>
          <w:rFonts w:cs="Arial"/>
          <w:lang w:eastAsia="de-DE"/>
        </w:rPr>
        <w:t>Für die Immunhistochemische Analyse der CD44-Expression</w:t>
      </w:r>
      <w:r w:rsidR="00A538C6" w:rsidRPr="00812C16">
        <w:rPr>
          <w:rFonts w:cs="Arial"/>
          <w:lang w:eastAsia="de-DE"/>
        </w:rPr>
        <w:t xml:space="preserve"> </w:t>
      </w:r>
      <w:r w:rsidRPr="00812C16">
        <w:rPr>
          <w:rFonts w:cs="Arial"/>
          <w:lang w:eastAsia="de-DE"/>
        </w:rPr>
        <w:t>waren von den 221 eingeschlossenen Patienten Insgesamt 195 in Paraffin eingebettete Operationspräparate (FFPE) verfügbar</w:t>
      </w:r>
      <w:r w:rsidR="00CA241B" w:rsidRPr="00812C16">
        <w:rPr>
          <w:rFonts w:cs="Arial"/>
          <w:lang w:eastAsia="de-DE"/>
        </w:rPr>
        <w:t>.</w:t>
      </w:r>
      <w:r w:rsidR="00930407" w:rsidRPr="00812C16">
        <w:rPr>
          <w:rFonts w:cs="Arial"/>
          <w:lang w:eastAsia="de-DE"/>
        </w:rPr>
        <w:t xml:space="preserve"> </w:t>
      </w:r>
      <w:r w:rsidR="008D3AE7" w:rsidRPr="00812C16">
        <w:rPr>
          <w:rFonts w:cs="Arial"/>
          <w:lang w:eastAsia="de-DE"/>
        </w:rPr>
        <w:t>Von den analysierbaren Gewebeproben lag d</w:t>
      </w:r>
      <w:r w:rsidR="00D865C2" w:rsidRPr="00812C16">
        <w:rPr>
          <w:rFonts w:cs="Arial"/>
          <w:lang w:eastAsia="de-DE"/>
        </w:rPr>
        <w:t xml:space="preserve">er Anteil </w:t>
      </w:r>
      <w:r w:rsidR="008C6A11" w:rsidRPr="00812C16">
        <w:rPr>
          <w:rFonts w:cs="Arial"/>
          <w:lang w:eastAsia="de-DE"/>
        </w:rPr>
        <w:t xml:space="preserve">der </w:t>
      </w:r>
      <w:r w:rsidR="00D865C2" w:rsidRPr="00812C16">
        <w:rPr>
          <w:rFonts w:cs="Arial"/>
          <w:lang w:eastAsia="de-DE"/>
        </w:rPr>
        <w:t>CD44-positive</w:t>
      </w:r>
      <w:r w:rsidR="008C6A11" w:rsidRPr="00812C16">
        <w:rPr>
          <w:rFonts w:cs="Arial"/>
          <w:lang w:eastAsia="de-DE"/>
        </w:rPr>
        <w:t>n</w:t>
      </w:r>
      <w:r w:rsidR="00D865C2" w:rsidRPr="00812C16">
        <w:rPr>
          <w:rFonts w:cs="Arial"/>
          <w:lang w:eastAsia="de-DE"/>
        </w:rPr>
        <w:t xml:space="preserve"> T</w:t>
      </w:r>
      <w:r w:rsidR="00FF09EC" w:rsidRPr="00812C16">
        <w:rPr>
          <w:rFonts w:cs="Arial"/>
          <w:lang w:eastAsia="de-DE"/>
        </w:rPr>
        <w:t>u</w:t>
      </w:r>
      <w:r w:rsidR="00D865C2" w:rsidRPr="00812C16">
        <w:rPr>
          <w:rFonts w:cs="Arial"/>
          <w:lang w:eastAsia="de-DE"/>
        </w:rPr>
        <w:t>moren</w:t>
      </w:r>
      <w:r w:rsidR="008C6A11" w:rsidRPr="00812C16">
        <w:rPr>
          <w:rFonts w:cs="Arial"/>
          <w:lang w:eastAsia="de-DE"/>
        </w:rPr>
        <w:t xml:space="preserve"> </w:t>
      </w:r>
      <w:r w:rsidR="00D865C2" w:rsidRPr="00812C16">
        <w:rPr>
          <w:rFonts w:cs="Arial"/>
          <w:lang w:eastAsia="de-DE"/>
        </w:rPr>
        <w:t>bei</w:t>
      </w:r>
      <w:r w:rsidR="00B2554E" w:rsidRPr="00812C16">
        <w:rPr>
          <w:rFonts w:cs="Arial"/>
          <w:lang w:eastAsia="de-DE"/>
        </w:rPr>
        <w:t xml:space="preserve"> </w:t>
      </w:r>
      <w:r w:rsidR="000D2065" w:rsidRPr="00812C16">
        <w:rPr>
          <w:rFonts w:cs="Arial"/>
          <w:lang w:eastAsia="de-DE"/>
        </w:rPr>
        <w:t>77,4</w:t>
      </w:r>
      <w:r w:rsidR="00D865C2" w:rsidRPr="00812C16">
        <w:rPr>
          <w:rFonts w:cs="Arial"/>
          <w:lang w:eastAsia="de-DE"/>
        </w:rPr>
        <w:t xml:space="preserve">% </w:t>
      </w:r>
      <w:r w:rsidR="00CA241B" w:rsidRPr="00812C16">
        <w:rPr>
          <w:rFonts w:cs="Arial"/>
          <w:lang w:eastAsia="de-DE"/>
        </w:rPr>
        <w:t>(n=</w:t>
      </w:r>
      <w:r w:rsidR="00B2554E" w:rsidRPr="00812C16">
        <w:rPr>
          <w:rFonts w:cs="Arial"/>
          <w:lang w:eastAsia="de-DE"/>
        </w:rPr>
        <w:t>151</w:t>
      </w:r>
      <w:r w:rsidR="00CA241B" w:rsidRPr="00812C16">
        <w:rPr>
          <w:rFonts w:cs="Arial"/>
          <w:lang w:eastAsia="de-DE"/>
        </w:rPr>
        <w:t xml:space="preserve">) </w:t>
      </w:r>
      <w:r w:rsidR="00D865C2" w:rsidRPr="00812C16">
        <w:rPr>
          <w:rFonts w:cs="Arial"/>
          <w:lang w:eastAsia="de-DE"/>
        </w:rPr>
        <w:t>und</w:t>
      </w:r>
      <w:r w:rsidR="00FF09EC" w:rsidRPr="00812C16">
        <w:rPr>
          <w:rFonts w:cs="Arial"/>
          <w:lang w:eastAsia="de-DE"/>
        </w:rPr>
        <w:t xml:space="preserve"> der Anteil CD44-negativer Tumoren </w:t>
      </w:r>
      <w:r w:rsidR="000D2065" w:rsidRPr="00812C16">
        <w:rPr>
          <w:rFonts w:cs="Arial"/>
          <w:lang w:eastAsia="de-DE"/>
        </w:rPr>
        <w:t>22,6</w:t>
      </w:r>
      <w:r w:rsidR="00FF09EC" w:rsidRPr="00812C16">
        <w:rPr>
          <w:rFonts w:cs="Arial"/>
          <w:lang w:eastAsia="de-DE"/>
        </w:rPr>
        <w:t>%</w:t>
      </w:r>
      <w:r w:rsidR="00CA241B" w:rsidRPr="00812C16">
        <w:rPr>
          <w:rFonts w:cs="Arial"/>
          <w:lang w:eastAsia="de-DE"/>
        </w:rPr>
        <w:t xml:space="preserve"> (n=</w:t>
      </w:r>
      <w:r w:rsidR="00B2554E" w:rsidRPr="00812C16">
        <w:rPr>
          <w:rFonts w:cs="Arial"/>
          <w:lang w:eastAsia="de-DE"/>
        </w:rPr>
        <w:t>44)</w:t>
      </w:r>
      <w:r w:rsidR="00FF09EC" w:rsidRPr="00812C16">
        <w:rPr>
          <w:rFonts w:cs="Arial"/>
          <w:lang w:eastAsia="de-DE"/>
        </w:rPr>
        <w:t xml:space="preserve">. </w:t>
      </w:r>
      <w:r w:rsidR="00D865C2" w:rsidRPr="00812C16">
        <w:rPr>
          <w:rFonts w:cs="Arial"/>
          <w:lang w:eastAsia="de-DE"/>
        </w:rPr>
        <w:t xml:space="preserve">Bei </w:t>
      </w:r>
      <w:r w:rsidR="00A538C6" w:rsidRPr="00812C16">
        <w:rPr>
          <w:rFonts w:cs="Arial"/>
          <w:lang w:eastAsia="de-DE"/>
        </w:rPr>
        <w:t>26</w:t>
      </w:r>
      <w:r w:rsidR="00FF09EC" w:rsidRPr="00812C16">
        <w:rPr>
          <w:rFonts w:cs="Arial"/>
          <w:lang w:eastAsia="de-DE"/>
        </w:rPr>
        <w:t xml:space="preserve"> der 221</w:t>
      </w:r>
      <w:r w:rsidR="00A538C6" w:rsidRPr="00812C16">
        <w:rPr>
          <w:rFonts w:cs="Arial"/>
          <w:lang w:eastAsia="de-DE"/>
        </w:rPr>
        <w:t xml:space="preserve"> Patienten</w:t>
      </w:r>
      <w:r w:rsidR="008C6A11" w:rsidRPr="00812C16">
        <w:rPr>
          <w:rFonts w:cs="Arial"/>
          <w:lang w:eastAsia="de-DE"/>
        </w:rPr>
        <w:t xml:space="preserve"> </w:t>
      </w:r>
      <w:r w:rsidR="00A538C6" w:rsidRPr="00812C16">
        <w:rPr>
          <w:rFonts w:cs="Arial"/>
          <w:lang w:eastAsia="de-DE"/>
        </w:rPr>
        <w:t>konnte</w:t>
      </w:r>
      <w:r w:rsidR="00FF09EC" w:rsidRPr="00812C16">
        <w:rPr>
          <w:rFonts w:cs="Arial"/>
          <w:lang w:eastAsia="de-DE"/>
        </w:rPr>
        <w:t xml:space="preserve"> der CD44-Status </w:t>
      </w:r>
      <w:r w:rsidR="00A538C6" w:rsidRPr="00812C16">
        <w:rPr>
          <w:rFonts w:cs="Arial"/>
          <w:lang w:eastAsia="de-DE"/>
        </w:rPr>
        <w:lastRenderedPageBreak/>
        <w:t xml:space="preserve">aufgrund des </w:t>
      </w:r>
      <w:r w:rsidR="00FF09EC" w:rsidRPr="00812C16">
        <w:rPr>
          <w:rFonts w:cs="Arial"/>
          <w:lang w:eastAsia="de-DE"/>
        </w:rPr>
        <w:t>fehlenden</w:t>
      </w:r>
      <w:r w:rsidR="008C6A11" w:rsidRPr="00812C16">
        <w:rPr>
          <w:rFonts w:cs="Arial"/>
          <w:lang w:eastAsia="de-DE"/>
        </w:rPr>
        <w:t xml:space="preserve"> bzw. </w:t>
      </w:r>
      <w:r w:rsidR="00B946C5" w:rsidRPr="00812C16">
        <w:rPr>
          <w:rFonts w:cs="Arial"/>
          <w:lang w:eastAsia="de-DE"/>
        </w:rPr>
        <w:t xml:space="preserve">ungenügenden </w:t>
      </w:r>
      <w:r w:rsidR="008C6A11" w:rsidRPr="00812C16">
        <w:rPr>
          <w:rFonts w:cs="Arial"/>
          <w:lang w:eastAsia="de-DE"/>
        </w:rPr>
        <w:t>Biomaterials</w:t>
      </w:r>
      <w:r w:rsidR="00A538C6" w:rsidRPr="00812C16">
        <w:rPr>
          <w:rFonts w:cs="Arial"/>
          <w:lang w:eastAsia="de-DE"/>
        </w:rPr>
        <w:t xml:space="preserve"> nicht ermittelt werden. </w:t>
      </w:r>
      <w:r w:rsidR="00CA241B" w:rsidRPr="00812C16">
        <w:rPr>
          <w:rFonts w:cs="Arial"/>
          <w:lang w:eastAsia="de-DE"/>
        </w:rPr>
        <w:t xml:space="preserve">Die Ergebnisse der </w:t>
      </w:r>
      <w:r w:rsidR="00887A77" w:rsidRPr="00812C16">
        <w:rPr>
          <w:rFonts w:cs="Arial"/>
          <w:lang w:eastAsia="de-DE"/>
        </w:rPr>
        <w:t>Biomarkeranalysen</w:t>
      </w:r>
      <w:r w:rsidR="00CA241B" w:rsidRPr="00812C16">
        <w:rPr>
          <w:rFonts w:cs="Arial"/>
          <w:lang w:eastAsia="de-DE"/>
        </w:rPr>
        <w:t xml:space="preserve"> von HPV</w:t>
      </w:r>
      <w:r w:rsidR="008D3AE7" w:rsidRPr="00812C16">
        <w:rPr>
          <w:rFonts w:cs="Arial"/>
          <w:lang w:eastAsia="de-DE"/>
        </w:rPr>
        <w:t>16</w:t>
      </w:r>
      <w:r w:rsidR="00CA241B" w:rsidRPr="00812C16">
        <w:rPr>
          <w:rFonts w:cs="Arial"/>
          <w:lang w:eastAsia="de-DE"/>
        </w:rPr>
        <w:t>-D</w:t>
      </w:r>
      <w:r w:rsidR="008D3AE7" w:rsidRPr="00812C16">
        <w:rPr>
          <w:rFonts w:cs="Arial"/>
          <w:lang w:eastAsia="de-DE"/>
        </w:rPr>
        <w:t>NA</w:t>
      </w:r>
      <w:r w:rsidR="00CA241B" w:rsidRPr="00812C16">
        <w:rPr>
          <w:rFonts w:cs="Arial"/>
          <w:lang w:eastAsia="de-DE"/>
        </w:rPr>
        <w:t xml:space="preserve"> und CD44</w:t>
      </w:r>
      <w:r w:rsidR="008D3AE7" w:rsidRPr="00812C16">
        <w:rPr>
          <w:rFonts w:cs="Arial"/>
          <w:lang w:eastAsia="de-DE"/>
        </w:rPr>
        <w:t xml:space="preserve"> </w:t>
      </w:r>
      <w:r w:rsidR="00A1534B" w:rsidRPr="00812C16">
        <w:rPr>
          <w:rFonts w:cs="Arial"/>
          <w:lang w:eastAsia="de-DE"/>
        </w:rPr>
        <w:t xml:space="preserve">hinsichtlich </w:t>
      </w:r>
      <w:r w:rsidR="00CA241B" w:rsidRPr="00812C16">
        <w:rPr>
          <w:rFonts w:cs="Arial"/>
          <w:lang w:eastAsia="de-DE"/>
        </w:rPr>
        <w:t xml:space="preserve">deren Auftreten an den verschiedenen Tumorstellen sind in </w:t>
      </w:r>
      <w:r w:rsidR="002753E3" w:rsidRPr="00812C16">
        <w:rPr>
          <w:rFonts w:cs="Arial"/>
          <w:lang w:eastAsia="de-DE"/>
        </w:rPr>
        <w:fldChar w:fldCharType="begin"/>
      </w:r>
      <w:r w:rsidR="002753E3" w:rsidRPr="00812C16">
        <w:rPr>
          <w:rFonts w:cs="Arial"/>
          <w:lang w:eastAsia="de-DE"/>
        </w:rPr>
        <w:instrText xml:space="preserve"> REF _Ref91418338 \h </w:instrText>
      </w:r>
      <w:r w:rsidR="00620E7E" w:rsidRPr="00812C16">
        <w:rPr>
          <w:rFonts w:cs="Arial"/>
          <w:lang w:eastAsia="de-DE"/>
        </w:rPr>
        <w:instrText xml:space="preserve"> \* MERGEFORMAT </w:instrText>
      </w:r>
      <w:r w:rsidR="002753E3" w:rsidRPr="00812C16">
        <w:rPr>
          <w:rFonts w:cs="Arial"/>
          <w:lang w:eastAsia="de-DE"/>
        </w:rPr>
      </w:r>
      <w:r w:rsidR="002753E3"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4</w:t>
      </w:r>
      <w:r w:rsidR="002753E3" w:rsidRPr="00812C16">
        <w:rPr>
          <w:rFonts w:cs="Arial"/>
          <w:lang w:eastAsia="de-DE"/>
        </w:rPr>
        <w:fldChar w:fldCharType="end"/>
      </w:r>
      <w:r w:rsidR="00CA241B" w:rsidRPr="00812C16">
        <w:rPr>
          <w:rFonts w:cs="Arial"/>
          <w:lang w:eastAsia="de-DE"/>
        </w:rPr>
        <w:t xml:space="preserve"> dargestellt.</w:t>
      </w:r>
    </w:p>
    <w:p w14:paraId="274ABB06" w14:textId="5DA20BDD" w:rsidR="00AB1440" w:rsidRPr="00812C16" w:rsidRDefault="00AB1440" w:rsidP="00A01F4B">
      <w:pPr>
        <w:spacing w:line="240" w:lineRule="auto"/>
        <w:rPr>
          <w:sz w:val="20"/>
          <w:szCs w:val="20"/>
        </w:rPr>
      </w:pPr>
      <w:bookmarkStart w:id="54" w:name="_Ref91418338"/>
      <w:bookmarkStart w:id="55" w:name="_Toc180788394"/>
      <w:r w:rsidRPr="00812C16">
        <w:rPr>
          <w:rFonts w:cs="Arial"/>
          <w:b/>
          <w:bCs/>
          <w:sz w:val="20"/>
          <w:szCs w:val="20"/>
        </w:rPr>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bookmarkEnd w:id="54"/>
      <w:r w:rsidRPr="00812C16">
        <w:rPr>
          <w:rFonts w:cs="Arial"/>
          <w:b/>
          <w:bCs/>
          <w:sz w:val="20"/>
          <w:szCs w:val="20"/>
        </w:rPr>
        <w:t>: Anzahl der Tumoren mit positiven</w:t>
      </w:r>
      <w:r w:rsidR="00742A08" w:rsidRPr="00812C16">
        <w:rPr>
          <w:rFonts w:cs="Arial"/>
          <w:b/>
          <w:bCs/>
          <w:sz w:val="20"/>
          <w:szCs w:val="20"/>
        </w:rPr>
        <w:t xml:space="preserve"> oder negativen</w:t>
      </w:r>
      <w:r w:rsidRPr="00812C16">
        <w:rPr>
          <w:rFonts w:cs="Arial"/>
          <w:b/>
          <w:bCs/>
          <w:sz w:val="20"/>
          <w:szCs w:val="20"/>
        </w:rPr>
        <w:t xml:space="preserve"> Biomarkern </w:t>
      </w:r>
      <w:r w:rsidR="00200699" w:rsidRPr="00812C16">
        <w:rPr>
          <w:rFonts w:cs="Arial"/>
          <w:b/>
          <w:bCs/>
          <w:sz w:val="20"/>
          <w:szCs w:val="20"/>
        </w:rPr>
        <w:t xml:space="preserve">Insgesamt und </w:t>
      </w:r>
      <w:r w:rsidRPr="00812C16">
        <w:rPr>
          <w:rFonts w:cs="Arial"/>
          <w:b/>
          <w:bCs/>
          <w:sz w:val="20"/>
          <w:szCs w:val="20"/>
        </w:rPr>
        <w:t>pro Tumorlokalisierung</w:t>
      </w:r>
      <w:r w:rsidR="005A6AB1" w:rsidRPr="00812C16">
        <w:rPr>
          <w:rFonts w:cs="Arial"/>
          <w:b/>
          <w:bCs/>
          <w:sz w:val="20"/>
          <w:szCs w:val="20"/>
        </w:rPr>
        <w:t xml:space="preserve">. </w:t>
      </w:r>
      <w:r w:rsidR="005A6AB1" w:rsidRPr="00812C16">
        <w:rPr>
          <w:sz w:val="20"/>
          <w:szCs w:val="20"/>
        </w:rPr>
        <w:t>N=Anzahl der auswertbaren Fälle, F=Anzahl der nicht auswertbaren Fälle</w:t>
      </w:r>
      <w:bookmarkEnd w:id="55"/>
      <w:r w:rsidR="005A6AB1" w:rsidRPr="00812C16">
        <w:rPr>
          <w:sz w:val="20"/>
          <w:szCs w:val="20"/>
        </w:rPr>
        <w:t xml:space="preserve"> </w:t>
      </w:r>
    </w:p>
    <w:tbl>
      <w:tblPr>
        <w:tblW w:w="8856"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68"/>
        <w:gridCol w:w="1485"/>
        <w:gridCol w:w="1701"/>
        <w:gridCol w:w="1701"/>
        <w:gridCol w:w="1701"/>
      </w:tblGrid>
      <w:tr w:rsidR="00A01F4B" w:rsidRPr="00812C16" w14:paraId="66E561DF" w14:textId="77777777" w:rsidTr="00A01F4B">
        <w:trPr>
          <w:tblHeader/>
        </w:trPr>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8F59BE9" w14:textId="77777777" w:rsidR="00B15C20" w:rsidRPr="00812C16" w:rsidRDefault="00B15C20"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Biomarker</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16B2578"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Insgesamt</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6892EC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Mundhöhle</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7D38ADD"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Oropharynx</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983231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Hypopharynx</w:t>
            </w:r>
          </w:p>
        </w:tc>
      </w:tr>
      <w:tr w:rsidR="00A01F4B" w:rsidRPr="00812C16" w14:paraId="7A57EB94" w14:textId="77777777" w:rsidTr="00A01F4B">
        <w:tc>
          <w:tcPr>
            <w:tcW w:w="2268" w:type="dxa"/>
            <w:tcBorders>
              <w:top w:val="single" w:sz="4" w:space="0" w:color="000000" w:themeColor="text1"/>
              <w:bottom w:val="nil"/>
              <w:right w:val="nil"/>
            </w:tcBorders>
            <w:tcMar>
              <w:top w:w="75" w:type="dxa"/>
              <w:left w:w="75" w:type="dxa"/>
              <w:bottom w:w="75" w:type="dxa"/>
              <w:right w:w="75" w:type="dxa"/>
            </w:tcMar>
          </w:tcPr>
          <w:p w14:paraId="08E89D47"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tcPr>
          <w:p w14:paraId="5EE66A88" w14:textId="77777777" w:rsidR="0039742C" w:rsidRPr="00812C16" w:rsidRDefault="005A6AB1" w:rsidP="005A6AB1">
            <w:pPr>
              <w:spacing w:beforeLines="30" w:before="72" w:afterLines="30" w:after="72" w:line="240" w:lineRule="auto"/>
              <w:jc w:val="center"/>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=215</w:t>
            </w:r>
            <w:r w:rsidRPr="00812C16">
              <w:rPr>
                <w:rFonts w:cs="Arial"/>
                <w:sz w:val="20"/>
                <w:szCs w:val="20"/>
                <w:lang w:eastAsia="de-DE"/>
              </w:rPr>
              <w:t xml:space="preserve">, </w:t>
            </w:r>
            <w:r w:rsidR="007D38DA" w:rsidRPr="00812C16">
              <w:rPr>
                <w:rFonts w:cs="Arial"/>
                <w:sz w:val="20"/>
                <w:szCs w:val="20"/>
                <w:lang w:eastAsia="de-DE"/>
              </w:rPr>
              <w:t>F</w:t>
            </w:r>
            <w:r w:rsidRPr="00812C16">
              <w:rPr>
                <w:rFonts w:cs="Arial"/>
                <w:sz w:val="20"/>
                <w:szCs w:val="20"/>
                <w:lang w:eastAsia="de-DE"/>
              </w:rPr>
              <w:t>=</w:t>
            </w:r>
            <w:r w:rsidR="00E312EB" w:rsidRPr="00812C16">
              <w:rPr>
                <w:rFonts w:cs="Arial"/>
                <w:sz w:val="20"/>
                <w:szCs w:val="20"/>
                <w:lang w:eastAsia="de-DE"/>
              </w:rPr>
              <w:t>6</w:t>
            </w:r>
          </w:p>
        </w:tc>
        <w:tc>
          <w:tcPr>
            <w:tcW w:w="1701" w:type="dxa"/>
            <w:tcBorders>
              <w:top w:val="single" w:sz="4" w:space="0" w:color="000000" w:themeColor="text1"/>
              <w:bottom w:val="nil"/>
              <w:right w:val="nil"/>
            </w:tcBorders>
            <w:tcMar>
              <w:top w:w="75" w:type="dxa"/>
              <w:left w:w="75" w:type="dxa"/>
              <w:bottom w:w="75" w:type="dxa"/>
              <w:right w:w="75" w:type="dxa"/>
            </w:tcMar>
          </w:tcPr>
          <w:p w14:paraId="4891D705" w14:textId="77777777" w:rsidR="0039742C" w:rsidRPr="00812C16" w:rsidRDefault="005A6AB1" w:rsidP="00E312EB">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=58</w:t>
            </w:r>
            <w:r w:rsidRPr="00812C16">
              <w:rPr>
                <w:rFonts w:cs="Arial"/>
                <w:sz w:val="20"/>
                <w:szCs w:val="20"/>
                <w:lang w:eastAsia="de-DE"/>
              </w:rPr>
              <w:t>, F=</w:t>
            </w:r>
            <w:r w:rsidR="00E312EB" w:rsidRPr="00812C16">
              <w:rPr>
                <w:rFonts w:cs="Arial"/>
                <w:sz w:val="20"/>
                <w:szCs w:val="20"/>
                <w:lang w:eastAsia="de-DE"/>
              </w:rPr>
              <w:t>2</w:t>
            </w:r>
          </w:p>
        </w:tc>
        <w:tc>
          <w:tcPr>
            <w:tcW w:w="1701" w:type="dxa"/>
            <w:tcBorders>
              <w:top w:val="single" w:sz="4" w:space="0" w:color="000000" w:themeColor="text1"/>
              <w:bottom w:val="nil"/>
              <w:right w:val="nil"/>
            </w:tcBorders>
            <w:tcMar>
              <w:top w:w="75" w:type="dxa"/>
              <w:left w:w="75" w:type="dxa"/>
              <w:bottom w:w="75" w:type="dxa"/>
              <w:right w:w="75" w:type="dxa"/>
            </w:tcMar>
          </w:tcPr>
          <w:p w14:paraId="1DF2BF13"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=123</w:t>
            </w:r>
            <w:r w:rsidRPr="00812C16">
              <w:rPr>
                <w:rFonts w:cs="Arial"/>
                <w:sz w:val="20"/>
                <w:szCs w:val="20"/>
                <w:lang w:eastAsia="de-DE"/>
              </w:rPr>
              <w:t>, F=</w:t>
            </w:r>
            <w:r w:rsidR="00E312EB" w:rsidRPr="00812C16">
              <w:rPr>
                <w:rFonts w:cs="Arial"/>
                <w:sz w:val="20"/>
                <w:szCs w:val="20"/>
                <w:lang w:eastAsia="de-DE"/>
              </w:rPr>
              <w:t>3</w:t>
            </w:r>
          </w:p>
        </w:tc>
        <w:tc>
          <w:tcPr>
            <w:tcW w:w="1701" w:type="dxa"/>
            <w:tcBorders>
              <w:top w:val="single" w:sz="4" w:space="0" w:color="000000" w:themeColor="text1"/>
              <w:bottom w:val="nil"/>
              <w:right w:val="nil"/>
            </w:tcBorders>
            <w:tcMar>
              <w:top w:w="75" w:type="dxa"/>
              <w:left w:w="75" w:type="dxa"/>
              <w:bottom w:w="75" w:type="dxa"/>
              <w:right w:w="75" w:type="dxa"/>
            </w:tcMar>
          </w:tcPr>
          <w:p w14:paraId="0498F0BB"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=34</w:t>
            </w:r>
            <w:r w:rsidR="00E312EB" w:rsidRPr="00812C16">
              <w:rPr>
                <w:rFonts w:cs="Arial"/>
                <w:sz w:val="20"/>
                <w:szCs w:val="20"/>
                <w:lang w:eastAsia="de-DE"/>
              </w:rPr>
              <w:t>, F=1</w:t>
            </w:r>
          </w:p>
        </w:tc>
      </w:tr>
      <w:tr w:rsidR="00A01F4B" w:rsidRPr="00812C16" w14:paraId="50229321"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19F58F12"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7C7E5437"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w:t>
            </w:r>
            <w:r w:rsidR="001A48BF" w:rsidRPr="00812C16">
              <w:rPr>
                <w:rFonts w:cs="Arial"/>
                <w:sz w:val="20"/>
                <w:szCs w:val="20"/>
                <w:lang w:eastAsia="de-DE"/>
              </w:rPr>
              <w:t>2</w:t>
            </w:r>
            <w:r w:rsidRPr="00812C16">
              <w:rPr>
                <w:rFonts w:cs="Arial"/>
                <w:sz w:val="20"/>
                <w:szCs w:val="20"/>
                <w:lang w:eastAsia="de-DE"/>
              </w:rPr>
              <w:t xml:space="preserve"> (3</w:t>
            </w:r>
            <w:r w:rsidR="001A48BF" w:rsidRPr="00812C16">
              <w:rPr>
                <w:rFonts w:cs="Arial"/>
                <w:sz w:val="20"/>
                <w:szCs w:val="20"/>
                <w:lang w:eastAsia="de-DE"/>
              </w:rPr>
              <w:t>3</w:t>
            </w:r>
            <w:r w:rsidRPr="00812C16">
              <w:rPr>
                <w:rFonts w:cs="Arial"/>
                <w:sz w:val="20"/>
                <w:szCs w:val="20"/>
                <w:lang w:eastAsia="de-DE"/>
              </w:rPr>
              <w:t>,</w:t>
            </w:r>
            <w:r w:rsidR="001A48BF" w:rsidRPr="00812C16">
              <w:rPr>
                <w:rFonts w:cs="Arial"/>
                <w:sz w:val="20"/>
                <w:szCs w:val="20"/>
                <w:lang w:eastAsia="de-DE"/>
              </w:rPr>
              <w:t>5</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1571C868"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 (12,1%)</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921EC2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60</w:t>
            </w:r>
            <w:r w:rsidR="00B15C20" w:rsidRPr="00812C16">
              <w:rPr>
                <w:rFonts w:cs="Arial"/>
                <w:sz w:val="20"/>
                <w:szCs w:val="20"/>
                <w:lang w:eastAsia="de-DE"/>
              </w:rPr>
              <w:t xml:space="preserve"> (48,0%)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56DCB72"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 (14,7%)</w:t>
            </w:r>
          </w:p>
        </w:tc>
      </w:tr>
      <w:tr w:rsidR="00A01F4B" w:rsidRPr="00812C16" w14:paraId="7538302E" w14:textId="77777777" w:rsidTr="00A01F4B">
        <w:tc>
          <w:tcPr>
            <w:tcW w:w="2268" w:type="dxa"/>
            <w:tcBorders>
              <w:bottom w:val="nil"/>
              <w:right w:val="nil"/>
            </w:tcBorders>
            <w:tcMar>
              <w:top w:w="75" w:type="dxa"/>
              <w:left w:w="75" w:type="dxa"/>
              <w:bottom w:w="75" w:type="dxa"/>
              <w:right w:w="75" w:type="dxa"/>
            </w:tcMar>
          </w:tcPr>
          <w:p w14:paraId="5973341A"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bottom w:val="nil"/>
              <w:right w:val="nil"/>
            </w:tcBorders>
            <w:tcMar>
              <w:top w:w="75" w:type="dxa"/>
              <w:left w:w="75" w:type="dxa"/>
              <w:bottom w:w="75" w:type="dxa"/>
              <w:right w:w="75" w:type="dxa"/>
            </w:tcMar>
          </w:tcPr>
          <w:p w14:paraId="33A29E7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143 (66,5%</w:t>
            </w:r>
            <w:r w:rsidR="00B138F3" w:rsidRPr="00812C16">
              <w:rPr>
                <w:rFonts w:cs="Arial"/>
                <w:sz w:val="20"/>
                <w:szCs w:val="20"/>
                <w:lang w:eastAsia="de-DE"/>
              </w:rPr>
              <w:t>)</w:t>
            </w:r>
          </w:p>
        </w:tc>
        <w:tc>
          <w:tcPr>
            <w:tcW w:w="1701" w:type="dxa"/>
            <w:tcBorders>
              <w:bottom w:val="nil"/>
              <w:right w:val="nil"/>
            </w:tcBorders>
            <w:tcMar>
              <w:top w:w="75" w:type="dxa"/>
              <w:left w:w="75" w:type="dxa"/>
              <w:bottom w:w="75" w:type="dxa"/>
              <w:right w:w="75" w:type="dxa"/>
            </w:tcMar>
          </w:tcPr>
          <w:p w14:paraId="00A7017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(87,9%)</w:t>
            </w:r>
          </w:p>
        </w:tc>
        <w:tc>
          <w:tcPr>
            <w:tcW w:w="1701" w:type="dxa"/>
            <w:tcBorders>
              <w:bottom w:val="nil"/>
              <w:right w:val="nil"/>
            </w:tcBorders>
            <w:tcMar>
              <w:top w:w="75" w:type="dxa"/>
              <w:left w:w="75" w:type="dxa"/>
              <w:bottom w:w="75" w:type="dxa"/>
              <w:right w:w="75" w:type="dxa"/>
            </w:tcMar>
          </w:tcPr>
          <w:p w14:paraId="21F02D31"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63 (51,2%)</w:t>
            </w:r>
          </w:p>
        </w:tc>
        <w:tc>
          <w:tcPr>
            <w:tcW w:w="1701" w:type="dxa"/>
            <w:tcBorders>
              <w:bottom w:val="nil"/>
              <w:right w:val="nil"/>
            </w:tcBorders>
            <w:tcMar>
              <w:top w:w="75" w:type="dxa"/>
              <w:left w:w="75" w:type="dxa"/>
              <w:bottom w:w="75" w:type="dxa"/>
              <w:right w:w="75" w:type="dxa"/>
            </w:tcMar>
          </w:tcPr>
          <w:p w14:paraId="1602670E"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29 (85,3%)</w:t>
            </w:r>
          </w:p>
        </w:tc>
      </w:tr>
      <w:tr w:rsidR="00A01F4B" w:rsidRPr="00812C16" w14:paraId="1119F1C8" w14:textId="77777777" w:rsidTr="00A01F4B">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79D3DBA"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CD44</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3655BEBF"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N=195</w:t>
            </w:r>
            <w:r w:rsidR="00DB49D4" w:rsidRPr="00812C16">
              <w:rPr>
                <w:rFonts w:cs="Arial"/>
                <w:sz w:val="20"/>
                <w:szCs w:val="20"/>
                <w:lang w:eastAsia="de-DE"/>
              </w:rPr>
              <w:t>, F=26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2836561"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N=54</w:t>
            </w:r>
            <w:r w:rsidR="00DB49D4" w:rsidRPr="00812C16">
              <w:rPr>
                <w:rFonts w:cs="Arial"/>
                <w:sz w:val="20"/>
                <w:szCs w:val="20"/>
                <w:lang w:eastAsia="de-DE"/>
              </w:rPr>
              <w:t>, F=6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5D4F25C"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N=113</w:t>
            </w:r>
            <w:r w:rsidR="00DB49D4" w:rsidRPr="00812C16">
              <w:rPr>
                <w:rFonts w:cs="Arial"/>
                <w:sz w:val="20"/>
                <w:szCs w:val="20"/>
                <w:lang w:eastAsia="de-DE"/>
              </w:rPr>
              <w:t>, F= 13</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5628F22"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N=28</w:t>
            </w:r>
            <w:r w:rsidR="00DB49D4" w:rsidRPr="00812C16">
              <w:rPr>
                <w:rFonts w:cs="Arial"/>
                <w:sz w:val="20"/>
                <w:szCs w:val="20"/>
                <w:lang w:eastAsia="de-DE"/>
              </w:rPr>
              <w:t>, F=</w:t>
            </w:r>
            <w:r w:rsidR="00A01F4B" w:rsidRPr="00812C16">
              <w:rPr>
                <w:rFonts w:cs="Arial"/>
                <w:sz w:val="20"/>
                <w:szCs w:val="20"/>
                <w:lang w:eastAsia="de-DE"/>
              </w:rPr>
              <w:t>7</w:t>
            </w:r>
          </w:p>
        </w:tc>
      </w:tr>
      <w:tr w:rsidR="00A01F4B" w:rsidRPr="00812C16" w14:paraId="45A553FB"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2B5D44BF"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34232AFB"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 xml:space="preserve">151 </w:t>
            </w:r>
            <w:r w:rsidR="00B15C20" w:rsidRPr="00812C16">
              <w:rPr>
                <w:rFonts w:cs="Arial"/>
                <w:sz w:val="20"/>
                <w:szCs w:val="20"/>
                <w:lang w:eastAsia="de-DE"/>
              </w:rPr>
              <w:t>(</w:t>
            </w:r>
            <w:r w:rsidR="001A48BF" w:rsidRPr="00812C16">
              <w:rPr>
                <w:rFonts w:cs="Arial"/>
                <w:sz w:val="20"/>
                <w:szCs w:val="20"/>
                <w:lang w:eastAsia="de-DE"/>
              </w:rPr>
              <w:t>77</w:t>
            </w:r>
            <w:r w:rsidRPr="00812C16">
              <w:rPr>
                <w:rFonts w:cs="Arial"/>
                <w:sz w:val="20"/>
                <w:szCs w:val="20"/>
                <w:lang w:eastAsia="de-DE"/>
              </w:rPr>
              <w:t>,</w:t>
            </w:r>
            <w:r w:rsidR="001A48BF" w:rsidRPr="00812C16">
              <w:rPr>
                <w:rFonts w:cs="Arial"/>
                <w:sz w:val="20"/>
                <w:szCs w:val="20"/>
                <w:lang w:eastAsia="de-DE"/>
              </w:rPr>
              <w:t>4</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4349F9F"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(94,4%)</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1DC78B2"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78 (69,0%)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720F07A6"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22 (78,6%)</w:t>
            </w:r>
          </w:p>
        </w:tc>
      </w:tr>
      <w:tr w:rsidR="00A01F4B" w:rsidRPr="00812C16" w14:paraId="23D0BA5A" w14:textId="77777777" w:rsidTr="00A01F4B">
        <w:tc>
          <w:tcPr>
            <w:tcW w:w="2268" w:type="dxa"/>
            <w:tcBorders>
              <w:top w:val="nil"/>
              <w:bottom w:val="single" w:sz="4" w:space="0" w:color="000000" w:themeColor="text1"/>
              <w:right w:val="nil"/>
            </w:tcBorders>
            <w:tcMar>
              <w:top w:w="75" w:type="dxa"/>
              <w:left w:w="75" w:type="dxa"/>
              <w:bottom w:w="75" w:type="dxa"/>
              <w:right w:w="75" w:type="dxa"/>
            </w:tcMar>
          </w:tcPr>
          <w:p w14:paraId="72939494"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CD44 -</w:t>
            </w:r>
          </w:p>
        </w:tc>
        <w:tc>
          <w:tcPr>
            <w:tcW w:w="1485" w:type="dxa"/>
            <w:tcBorders>
              <w:top w:val="nil"/>
              <w:bottom w:val="single" w:sz="4" w:space="0" w:color="000000" w:themeColor="text1"/>
              <w:right w:val="nil"/>
            </w:tcBorders>
            <w:tcMar>
              <w:top w:w="75" w:type="dxa"/>
              <w:left w:w="75" w:type="dxa"/>
              <w:bottom w:w="75" w:type="dxa"/>
              <w:right w:w="75" w:type="dxa"/>
            </w:tcMar>
          </w:tcPr>
          <w:p w14:paraId="22B7EE26"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44 (</w:t>
            </w:r>
            <w:r w:rsidR="001A48BF" w:rsidRPr="00812C16">
              <w:rPr>
                <w:rFonts w:cs="Arial"/>
                <w:sz w:val="20"/>
                <w:szCs w:val="20"/>
                <w:lang w:eastAsia="de-DE"/>
              </w:rPr>
              <w:t>22</w:t>
            </w:r>
            <w:r w:rsidRPr="00812C16">
              <w:rPr>
                <w:rFonts w:cs="Arial"/>
                <w:sz w:val="20"/>
                <w:szCs w:val="20"/>
                <w:lang w:eastAsia="de-DE"/>
              </w:rPr>
              <w:t>,</w:t>
            </w:r>
            <w:r w:rsidR="001A48BF" w:rsidRPr="00812C16">
              <w:rPr>
                <w:rFonts w:cs="Arial"/>
                <w:sz w:val="20"/>
                <w:szCs w:val="20"/>
                <w:lang w:eastAsia="de-DE"/>
              </w:rPr>
              <w:t>6</w:t>
            </w:r>
            <w:r w:rsidRPr="00812C16">
              <w:rPr>
                <w:rFonts w:cs="Arial"/>
                <w:sz w:val="20"/>
                <w:szCs w:val="20"/>
                <w:lang w:eastAsia="de-DE"/>
              </w:rPr>
              <w:t>%)</w:t>
            </w:r>
          </w:p>
        </w:tc>
        <w:tc>
          <w:tcPr>
            <w:tcW w:w="1701" w:type="dxa"/>
            <w:tcBorders>
              <w:top w:val="nil"/>
              <w:bottom w:val="single" w:sz="4" w:space="0" w:color="000000" w:themeColor="text1"/>
              <w:right w:val="nil"/>
            </w:tcBorders>
            <w:tcMar>
              <w:top w:w="75" w:type="dxa"/>
              <w:left w:w="75" w:type="dxa"/>
              <w:bottom w:w="75" w:type="dxa"/>
              <w:right w:w="75" w:type="dxa"/>
            </w:tcMar>
          </w:tcPr>
          <w:p w14:paraId="0537EF5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 (5,6%)</w:t>
            </w:r>
          </w:p>
        </w:tc>
        <w:tc>
          <w:tcPr>
            <w:tcW w:w="1701" w:type="dxa"/>
            <w:tcBorders>
              <w:top w:val="nil"/>
              <w:bottom w:val="single" w:sz="4" w:space="0" w:color="000000" w:themeColor="text1"/>
              <w:right w:val="nil"/>
            </w:tcBorders>
            <w:tcMar>
              <w:top w:w="75" w:type="dxa"/>
              <w:left w:w="75" w:type="dxa"/>
              <w:bottom w:w="75" w:type="dxa"/>
              <w:right w:w="75" w:type="dxa"/>
            </w:tcMar>
          </w:tcPr>
          <w:p w14:paraId="4DE6882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35 (30,1%)</w:t>
            </w:r>
          </w:p>
        </w:tc>
        <w:tc>
          <w:tcPr>
            <w:tcW w:w="1701" w:type="dxa"/>
            <w:tcBorders>
              <w:top w:val="nil"/>
              <w:bottom w:val="single" w:sz="4" w:space="0" w:color="000000" w:themeColor="text1"/>
              <w:right w:val="nil"/>
            </w:tcBorders>
            <w:tcMar>
              <w:top w:w="75" w:type="dxa"/>
              <w:left w:w="75" w:type="dxa"/>
              <w:bottom w:w="75" w:type="dxa"/>
              <w:right w:w="75" w:type="dxa"/>
            </w:tcMar>
          </w:tcPr>
          <w:p w14:paraId="2002BB1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 (21,4%)</w:t>
            </w:r>
          </w:p>
        </w:tc>
      </w:tr>
    </w:tbl>
    <w:p w14:paraId="1989C35F" w14:textId="77777777" w:rsidR="00693D77" w:rsidRPr="00812C16" w:rsidRDefault="00A01F4B" w:rsidP="00311489">
      <w:pPr>
        <w:spacing w:before="360"/>
      </w:pPr>
      <w:r w:rsidRPr="00812C16">
        <w:t xml:space="preserve">Bei den </w:t>
      </w:r>
      <w:r w:rsidR="00311489" w:rsidRPr="00812C16">
        <w:t>Patienten der Subgruppe mit HPV16 DNA-negativen Kopf-Hals-Plattenepithel-karzinomen</w:t>
      </w:r>
      <w:r w:rsidRPr="00812C16">
        <w:t>,</w:t>
      </w:r>
      <w:r w:rsidR="00311489" w:rsidRPr="00812C16">
        <w:t xml:space="preserve"> lag der Anteil CD44-positiver Karzinome mit 116 Fälle bei </w:t>
      </w:r>
      <w:r w:rsidRPr="00812C16">
        <w:t>.</w:t>
      </w:r>
      <w:r w:rsidR="00311489" w:rsidRPr="00812C16">
        <w:t>der Subgruppe hatten ein CD44-negativen Tumor.</w:t>
      </w:r>
    </w:p>
    <w:p w14:paraId="5518E196" w14:textId="77777777" w:rsidR="00311489" w:rsidRPr="00812C16" w:rsidRDefault="00693D77" w:rsidP="00693D77">
      <w:pPr>
        <w:spacing w:after="0"/>
        <w:jc w:val="left"/>
      </w:pPr>
      <w:r w:rsidRPr="00812C16">
        <w:br w:type="page"/>
      </w:r>
    </w:p>
    <w:p w14:paraId="36931BAC" w14:textId="77777777" w:rsidR="00620E7E" w:rsidRPr="00812C16" w:rsidRDefault="00620E7E" w:rsidP="005547D3">
      <w:pPr>
        <w:pStyle w:val="berschrift3"/>
      </w:pPr>
      <w:bookmarkStart w:id="56" w:name="_Toc158006537"/>
      <w:r w:rsidRPr="00812C16">
        <w:lastRenderedPageBreak/>
        <w:t>Behandlungsmerkmale</w:t>
      </w:r>
      <w:bookmarkEnd w:id="56"/>
    </w:p>
    <w:p w14:paraId="449969B4" w14:textId="77777777" w:rsidR="00A47415" w:rsidRPr="00812C16" w:rsidRDefault="00A47415" w:rsidP="00A47415">
      <w:pPr>
        <w:spacing w:after="0"/>
        <w:rPr>
          <w:rFonts w:cs="Arial"/>
          <w:i/>
          <w:iCs/>
          <w:lang w:eastAsia="de-DE"/>
        </w:rPr>
      </w:pPr>
      <w:r w:rsidRPr="00812C16">
        <w:rPr>
          <w:rFonts w:cs="Arial"/>
          <w:i/>
          <w:iCs/>
          <w:lang w:eastAsia="de-DE"/>
        </w:rPr>
        <w:t>Chirurgie</w:t>
      </w:r>
    </w:p>
    <w:p w14:paraId="4C78FE86" w14:textId="32AE8A7F" w:rsidR="00DD4D7F" w:rsidRPr="00812C16" w:rsidRDefault="00935FC5" w:rsidP="00A47415">
      <w:pPr>
        <w:rPr>
          <w:rFonts w:cs="Arial"/>
          <w:lang w:eastAsia="de-DE"/>
        </w:rPr>
      </w:pPr>
      <w:r w:rsidRPr="00812C16">
        <w:rPr>
          <w:rFonts w:cs="Arial"/>
          <w:lang w:eastAsia="de-DE"/>
        </w:rPr>
        <w:t>Präoperativ erhielten alle Patienten gemäß der S3-Leitlinie</w:t>
      </w:r>
      <w:r w:rsidR="00502183" w:rsidRPr="00812C16">
        <w:rPr>
          <w:rFonts w:cs="Arial"/>
          <w:lang w:eastAsia="de-DE"/>
        </w:rPr>
        <w:t xml:space="preserve"> </w:t>
      </w:r>
      <w:r w:rsidR="000112D9">
        <w:rPr>
          <w:rFonts w:cs="Arial"/>
          <w:lang w:eastAsia="de-DE"/>
        </w:rPr>
        <w:fldChar w:fldCharType="begin">
          <w:fldData xml:space="preserve">PEVuZE5vdGU+PENpdGU+PEF1dGhvcj5Cb290ejwvQXV0aG9yPjxZZWFyPjIwMjA8L1llYXI+PFJl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=
</w:fldData>
        </w:fldChar>
      </w:r>
      <w:r w:rsidR="000112D9">
        <w:rPr>
          <w:rFonts w:cs="Arial"/>
          <w:lang w:eastAsia="de-DE"/>
        </w:rPr>
        <w:instrText xml:space="preserve"> ADDIN EN.JS.CITE </w:instrText>
      </w:r>
      <w:r w:rsidR="002A19C6">
        <w:rPr>
          <w:rFonts w:cs="Arial"/>
          <w:lang w:eastAsia="de-DE"/>
        </w:rPr>
      </w:r>
      <w:r w:rsidR="000112D9">
        <w:rPr>
          <w:rFonts w:cs="Arial"/>
          <w:lang w:eastAsia="de-DE"/>
        </w:rPr>
        <w:fldChar w:fldCharType="separate"/>
      </w:r>
      <w:r w:rsidR="002A19C6">
        <w:rPr>
          <w:rFonts w:cs="Arial"/>
          <w:noProof/>
          <w:lang w:eastAsia="de-DE"/>
        </w:rPr>
        <w:t>(Bootz, S3-Leitlinie Diagnostik, Therapie und Nachsorge des Larynxkarzinoms./2020)</w:t>
      </w:r>
      <w:r w:rsidR="000112D9">
        <w:rPr>
          <w:rFonts w:cs="Arial"/>
          <w:lang w:eastAsia="de-DE"/>
        </w:rPr>
        <w:fldChar w:fldCharType="end"/>
      </w:r>
      <w:r w:rsidRPr="00812C16">
        <w:rPr>
          <w:rFonts w:cs="Arial"/>
          <w:lang w:eastAsia="de-DE"/>
        </w:rPr>
        <w:t xml:space="preserve"> die benötigten Staginguntersuchungen. </w:t>
      </w:r>
      <w:r w:rsidR="00B82B60" w:rsidRPr="00812C16">
        <w:rPr>
          <w:rFonts w:cs="Arial"/>
          <w:lang w:eastAsia="de-DE"/>
        </w:rPr>
        <w:t xml:space="preserve">Aufgrund des lokal fortgeschrittenen Krankheitsgeschehens war bei allen Patienten noch vor Beginn der adjuvanten Radiochemotherapie die operative Entfernung des Tumors indiziert. </w:t>
      </w:r>
      <w:r w:rsidR="00530246" w:rsidRPr="00812C16">
        <w:rPr>
          <w:rFonts w:cs="Arial"/>
          <w:lang w:eastAsia="de-DE"/>
        </w:rPr>
        <w:t>Dabei kamen klassische chirurgische Therapieoptionen als auch transoral-endoskopische Laserchirurgie zur Anwendung. Die radikale Entfernung des Tumors (En-bloc-Resektion) sowie der ableitenden Lymphbahnen erhie</w:t>
      </w:r>
      <w:r w:rsidR="001F6429" w:rsidRPr="00812C16">
        <w:rPr>
          <w:rFonts w:cs="Arial"/>
          <w:lang w:eastAsia="de-DE"/>
        </w:rPr>
        <w:t>lten</w:t>
      </w:r>
      <w:r w:rsidR="00530246" w:rsidRPr="00812C16">
        <w:rPr>
          <w:rFonts w:cs="Arial"/>
          <w:lang w:eastAsia="de-DE"/>
        </w:rPr>
        <w:t xml:space="preserve"> dabei die höchste Priorität. Dafür kamen in den DKTK-Partner-Kliniken die unterschiedlichen Varianten der Neck Dissection und, </w:t>
      </w:r>
      <w:r w:rsidR="00DF03DC" w:rsidRPr="00812C16">
        <w:rPr>
          <w:rFonts w:cs="Arial"/>
          <w:lang w:eastAsia="de-DE"/>
        </w:rPr>
        <w:t>bei ausgedehnten Hart- und Weichteildefekten, plastischen Rekonstruktionen</w:t>
      </w:r>
      <w:r w:rsidR="00530246" w:rsidRPr="00812C16">
        <w:rPr>
          <w:rFonts w:cs="Arial"/>
          <w:lang w:eastAsia="de-DE"/>
        </w:rPr>
        <w:t xml:space="preserve"> zum Einsatz. </w:t>
      </w:r>
      <w:r w:rsidR="00DF03DC" w:rsidRPr="00812C16">
        <w:rPr>
          <w:rFonts w:cs="Arial"/>
          <w:lang w:eastAsia="de-DE"/>
        </w:rPr>
        <w:t xml:space="preserve">Ein </w:t>
      </w:r>
      <w:r w:rsidR="009868EE" w:rsidRPr="00812C16">
        <w:rPr>
          <w:rFonts w:cs="Arial"/>
          <w:lang w:eastAsia="de-DE"/>
        </w:rPr>
        <w:t>extrakapsuläres</w:t>
      </w:r>
      <w:r w:rsidR="00DF03DC" w:rsidRPr="00812C16">
        <w:rPr>
          <w:rFonts w:cs="Arial"/>
          <w:lang w:eastAsia="de-DE"/>
        </w:rPr>
        <w:t xml:space="preserve"> Tumorwachstum war bei rund die </w:t>
      </w:r>
      <w:r w:rsidR="009868EE" w:rsidRPr="00812C16">
        <w:rPr>
          <w:rFonts w:cs="Arial"/>
          <w:lang w:eastAsia="de-DE"/>
        </w:rPr>
        <w:t>Hälfte</w:t>
      </w:r>
      <w:r w:rsidR="00DF03DC" w:rsidRPr="00812C16">
        <w:rPr>
          <w:rFonts w:cs="Arial"/>
          <w:lang w:eastAsia="de-DE"/>
        </w:rPr>
        <w:t xml:space="preserve"> </w:t>
      </w:r>
      <w:r w:rsidR="00502183" w:rsidRPr="00812C16">
        <w:rPr>
          <w:rFonts w:cs="Arial"/>
          <w:lang w:eastAsia="de-DE"/>
        </w:rPr>
        <w:t xml:space="preserve">(53,4%, n=118) </w:t>
      </w:r>
      <w:r w:rsidR="00DF03DC" w:rsidRPr="00812C16">
        <w:rPr>
          <w:rFonts w:cs="Arial"/>
          <w:lang w:eastAsia="de-DE"/>
        </w:rPr>
        <w:t>der Tumorpatienten festgestellt worden.</w:t>
      </w:r>
      <w:r w:rsidR="009868EE" w:rsidRPr="00812C16">
        <w:rPr>
          <w:rFonts w:cs="Arial"/>
          <w:lang w:eastAsia="de-DE"/>
        </w:rPr>
        <w:t xml:space="preserve"> </w:t>
      </w:r>
      <w:r w:rsidR="00A47415" w:rsidRPr="00812C16">
        <w:rPr>
          <w:rFonts w:cs="Arial"/>
          <w:lang w:eastAsia="de-DE"/>
        </w:rPr>
        <w:t>Eine</w:t>
      </w:r>
      <w:r w:rsidR="00B82B60" w:rsidRPr="00812C16">
        <w:rPr>
          <w:rFonts w:cs="Arial"/>
          <w:lang w:eastAsia="de-DE"/>
        </w:rPr>
        <w:t xml:space="preserve"> tumorfreier Resektionsrand (</w:t>
      </w:r>
      <w:r w:rsidR="00A47415" w:rsidRPr="00812C16">
        <w:rPr>
          <w:rFonts w:cs="Arial"/>
          <w:lang w:eastAsia="de-DE"/>
        </w:rPr>
        <w:t>R0- Resektion</w:t>
      </w:r>
      <w:r w:rsidR="00B82B60" w:rsidRPr="00812C16">
        <w:rPr>
          <w:rFonts w:cs="Arial"/>
          <w:lang w:eastAsia="de-DE"/>
        </w:rPr>
        <w:t>)</w:t>
      </w:r>
      <w:r w:rsidR="00A47415" w:rsidRPr="00812C16">
        <w:rPr>
          <w:rFonts w:cs="Arial"/>
          <w:lang w:eastAsia="de-DE"/>
        </w:rPr>
        <w:t xml:space="preserve"> konnte in </w:t>
      </w:r>
      <w:r w:rsidR="00B82B60" w:rsidRPr="00812C16">
        <w:rPr>
          <w:rFonts w:cs="Arial"/>
          <w:lang w:eastAsia="de-DE"/>
        </w:rPr>
        <w:t>56,6</w:t>
      </w:r>
      <w:r w:rsidR="00A47415" w:rsidRPr="00812C16">
        <w:rPr>
          <w:rFonts w:cs="Arial"/>
          <w:lang w:eastAsia="de-DE"/>
        </w:rPr>
        <w:t>% (n=</w:t>
      </w:r>
      <w:r w:rsidR="00B82B60" w:rsidRPr="00812C16">
        <w:rPr>
          <w:rFonts w:cs="Arial"/>
          <w:lang w:eastAsia="de-DE"/>
        </w:rPr>
        <w:t>125</w:t>
      </w:r>
      <w:r w:rsidR="00A47415" w:rsidRPr="00812C16">
        <w:rPr>
          <w:rFonts w:cs="Arial"/>
          <w:lang w:eastAsia="de-DE"/>
        </w:rPr>
        <w:t xml:space="preserve">) der Fälle erzielt werden. </w:t>
      </w:r>
      <w:r w:rsidR="00B82B60" w:rsidRPr="00812C16">
        <w:rPr>
          <w:rFonts w:cs="Arial"/>
          <w:lang w:eastAsia="de-DE"/>
        </w:rPr>
        <w:t xml:space="preserve">Bei 42,5% (n=94) der Fälle zeigte sich mindestens ein mikroskopischer Resektionsrand (R1/R2). </w:t>
      </w:r>
      <w:r w:rsidR="00A47415" w:rsidRPr="00812C16">
        <w:rPr>
          <w:rFonts w:cs="Arial"/>
          <w:lang w:eastAsia="de-DE"/>
        </w:rPr>
        <w:t>Bei zwei Patienten (</w:t>
      </w:r>
      <w:r w:rsidR="00B82B60" w:rsidRPr="00812C16">
        <w:rPr>
          <w:rFonts w:cs="Arial"/>
          <w:lang w:eastAsia="de-DE"/>
        </w:rPr>
        <w:t>0,9</w:t>
      </w:r>
      <w:r w:rsidR="00A47415" w:rsidRPr="00812C16">
        <w:rPr>
          <w:rFonts w:cs="Arial"/>
          <w:lang w:eastAsia="de-DE"/>
        </w:rPr>
        <w:t>%) konnte das Vorhandensein eines Residualtumors nicht eindeutig beurteilt werden (Rx).</w:t>
      </w:r>
      <w:r w:rsidRPr="00812C16">
        <w:rPr>
          <w:rFonts w:cs="Arial"/>
          <w:lang w:eastAsia="de-DE"/>
        </w:rPr>
        <w:t xml:space="preserve"> </w:t>
      </w:r>
      <w:r w:rsidR="00CE4BF6" w:rsidRPr="00812C16">
        <w:rPr>
          <w:rFonts w:cs="Arial"/>
          <w:lang w:eastAsia="de-DE"/>
        </w:rPr>
        <w:t>Die histologischen Präparate wurden an den DKTK-Partnerstandorten standardisiert aufgearbeitet und gemäß der TMN-Klassifikation eingeordnet.</w:t>
      </w:r>
    </w:p>
    <w:p w14:paraId="58C9363E" w14:textId="77777777" w:rsidR="00A47415" w:rsidRPr="00812C16" w:rsidRDefault="00A47415" w:rsidP="00A47415">
      <w:pPr>
        <w:spacing w:after="0"/>
        <w:rPr>
          <w:rFonts w:cs="Arial"/>
          <w:i/>
          <w:iCs/>
          <w:lang w:eastAsia="de-DE"/>
        </w:rPr>
      </w:pPr>
      <w:r w:rsidRPr="00812C16">
        <w:rPr>
          <w:rFonts w:cs="Arial"/>
          <w:i/>
          <w:iCs/>
          <w:lang w:eastAsia="de-DE"/>
        </w:rPr>
        <w:t>Bestrahlung</w:t>
      </w:r>
      <w:r w:rsidR="00DF03DC" w:rsidRPr="00812C16">
        <w:rPr>
          <w:rFonts w:cs="Arial"/>
          <w:i/>
          <w:iCs/>
          <w:lang w:eastAsia="de-DE"/>
        </w:rPr>
        <w:t xml:space="preserve"> und Chemotherapie</w:t>
      </w:r>
    </w:p>
    <w:p w14:paraId="3A32C104" w14:textId="7C253130" w:rsidR="008D3AE7" w:rsidRPr="00812C16" w:rsidRDefault="00733A6C" w:rsidP="008C6A11">
      <w:pPr>
        <w:spacing w:after="360"/>
        <w:rPr>
          <w:rFonts w:cs="Arial"/>
          <w:lang w:eastAsia="de-DE"/>
        </w:rPr>
      </w:pPr>
      <w:r w:rsidRPr="00812C16">
        <w:rPr>
          <w:rFonts w:cs="Arial"/>
          <w:lang w:eastAsia="de-DE"/>
        </w:rPr>
        <w:t>Die Behandlungsparameter</w:t>
      </w:r>
      <w:r w:rsidR="001A12F8" w:rsidRPr="00812C16">
        <w:rPr>
          <w:rFonts w:cs="Arial"/>
          <w:lang w:eastAsia="de-DE"/>
        </w:rPr>
        <w:t xml:space="preserve"> bezüglich der Chemo- und Strahlentherapie</w:t>
      </w:r>
      <w:r w:rsidRPr="00812C16">
        <w:rPr>
          <w:rFonts w:cs="Arial"/>
          <w:lang w:eastAsia="de-DE"/>
        </w:rPr>
        <w:t xml:space="preserve"> sind in</w:t>
      </w:r>
      <w:r w:rsidR="001A12F8" w:rsidRPr="00812C16">
        <w:rPr>
          <w:rFonts w:cs="Arial"/>
          <w:lang w:eastAsia="de-DE"/>
        </w:rPr>
        <w:t xml:space="preserve"> </w:t>
      </w:r>
      <w:r w:rsidR="001A12F8" w:rsidRPr="00812C16">
        <w:rPr>
          <w:rFonts w:cs="Arial"/>
          <w:lang w:eastAsia="de-DE"/>
        </w:rPr>
        <w:fldChar w:fldCharType="begin"/>
      </w:r>
      <w:r w:rsidR="001A12F8" w:rsidRPr="00812C16">
        <w:rPr>
          <w:rFonts w:cs="Arial"/>
          <w:lang w:eastAsia="de-DE"/>
        </w:rPr>
        <w:instrText xml:space="preserve"> REF _Ref89626578 \h </w:instrText>
      </w:r>
      <w:r w:rsidR="008768B2" w:rsidRPr="00812C16">
        <w:rPr>
          <w:rFonts w:cs="Arial"/>
          <w:lang w:eastAsia="de-DE"/>
        </w:rPr>
        <w:instrText xml:space="preserve"> \* MERGEFORMAT </w:instrText>
      </w:r>
      <w:r w:rsidR="001A12F8" w:rsidRPr="00812C16">
        <w:rPr>
          <w:rFonts w:cs="Arial"/>
          <w:lang w:eastAsia="de-DE"/>
        </w:rPr>
      </w:r>
      <w:r w:rsidR="001A12F8"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5</w:t>
      </w:r>
      <w:r w:rsidR="001A12F8" w:rsidRPr="00812C16">
        <w:rPr>
          <w:rFonts w:cs="Arial"/>
          <w:lang w:eastAsia="de-DE"/>
        </w:rPr>
        <w:fldChar w:fldCharType="end"/>
      </w:r>
      <w:r w:rsidRPr="00812C16">
        <w:rPr>
          <w:rFonts w:cs="Arial"/>
          <w:lang w:eastAsia="de-DE"/>
        </w:rPr>
        <w:t xml:space="preserve"> übersichtlich zusammengefasst. </w:t>
      </w:r>
      <w:r w:rsidR="008C6A11" w:rsidRPr="00812C16">
        <w:rPr>
          <w:rFonts w:cs="Arial"/>
          <w:lang w:eastAsia="de-DE"/>
        </w:rPr>
        <w:t xml:space="preserve"> Zwischen der Operation und dem Beginn der Strahlentherapie verging eine mediane Zeit von 6 Wochen mit einer Spannweite von 1 bis 23 Wochen. Bei 166 Patienten (75,1%) vergingen nach der Operation bis zu 49 Tage bis zum Beginn der Strahlentherapie, bei 40 Patienten (18,1%) vergingen mehr als 49 Tage. Bei 15 Patienten (6,8%) war diesbezüglich keine Daten vorhanden. Die mediane Dauer der strahlentherapeutischen Behandlungszeit betrug 44 Tage und reichte von 32 bis zu 57 Tagen. Die konventionelle Technik der CT-gestützten dreidimensionalen Bestrahlungsplanung (3D-RT) wurde bei allen Patienten angewendet. Die Behandlung wurde in der üblichen Shrinkingfield-Technik durchgeführt, wobei zunächst die Tumorregionen, die befallenen Lymphknotenstationen und die elektiven, regionären Lymphabflussgebiete mit Einzeldosen von 1,8 – 2,1 Gy für fünf- bis sechsmal wöchentlich, bis zu einer medianen </w:t>
      </w:r>
      <w:r w:rsidR="008C6A11" w:rsidRPr="00812C16">
        <w:rPr>
          <w:rFonts w:cs="Arial"/>
          <w:lang w:eastAsia="de-DE"/>
        </w:rPr>
        <w:lastRenderedPageBreak/>
        <w:t xml:space="preserve">Gesamtdosis von 50,4 Gy (Range: 46,8 Gy – 66,0 Gy) behandelt wurden. Anschließend erfolgte eine simultane integrierte Boostbestrahlung der primären Tumorregion sowie der befallenen Lymphknoten Stationen entsprechend dem Risikoprofil bis zu einer medianen kumulativen Gesamtdosis von 64,0 Gy mit einer Spannweite zwischen 56,0 Gy und 68,4 Gy. </w:t>
      </w:r>
    </w:p>
    <w:p w14:paraId="48237DC9" w14:textId="0AF0E92E" w:rsidR="001A12F8" w:rsidRPr="00812C16" w:rsidRDefault="001A12F8" w:rsidP="008C6A11">
      <w:pPr>
        <w:spacing w:after="0"/>
        <w:jc w:val="left"/>
        <w:rPr>
          <w:rFonts w:cs="Arial"/>
          <w:b/>
          <w:bCs/>
          <w:lang w:eastAsia="de-DE"/>
        </w:rPr>
      </w:pPr>
      <w:bookmarkStart w:id="57" w:name="_Ref89626578"/>
      <w:bookmarkStart w:id="58" w:name="_Toc180788395"/>
      <w:r w:rsidRPr="00812C16">
        <w:rPr>
          <w:rFonts w:cs="Arial"/>
          <w:b/>
          <w:bCs/>
          <w:sz w:val="20"/>
          <w:szCs w:val="20"/>
        </w:rPr>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5</w:t>
      </w:r>
      <w:r w:rsidR="00A126D9" w:rsidRPr="00812C16">
        <w:rPr>
          <w:rFonts w:cs="Arial"/>
          <w:b/>
          <w:bCs/>
          <w:sz w:val="20"/>
          <w:szCs w:val="20"/>
        </w:rPr>
        <w:fldChar w:fldCharType="end"/>
      </w:r>
      <w:bookmarkEnd w:id="57"/>
      <w:r w:rsidRPr="00812C16">
        <w:rPr>
          <w:rFonts w:cs="Arial"/>
          <w:b/>
          <w:bCs/>
          <w:sz w:val="20"/>
          <w:szCs w:val="20"/>
        </w:rPr>
        <w:t>: Behandlungsparameter</w:t>
      </w:r>
      <w:bookmarkEnd w:id="58"/>
    </w:p>
    <w:tbl>
      <w:tblPr>
        <w:tblStyle w:val="EinfacheTabelle4"/>
        <w:tblW w:w="9072" w:type="dxa"/>
        <w:tblLayout w:type="fixed"/>
        <w:tblLook w:val="04A0" w:firstRow="1" w:lastRow="0" w:firstColumn="1" w:lastColumn="0" w:noHBand="0" w:noVBand="1"/>
      </w:tblPr>
      <w:tblGrid>
        <w:gridCol w:w="4253"/>
        <w:gridCol w:w="850"/>
        <w:gridCol w:w="1017"/>
        <w:gridCol w:w="577"/>
        <w:gridCol w:w="577"/>
        <w:gridCol w:w="577"/>
        <w:gridCol w:w="1221"/>
      </w:tblGrid>
      <w:tr w:rsidR="002336E1" w:rsidRPr="00812C16" w14:paraId="0791F06C" w14:textId="77777777" w:rsidTr="00233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149D5EDD" w14:textId="77777777" w:rsidR="00733A6C" w:rsidRPr="00812C16" w:rsidRDefault="00733A6C" w:rsidP="00B86E38">
            <w:pPr>
              <w:spacing w:before="60" w:after="60" w:line="360" w:lineRule="auto"/>
              <w:rPr>
                <w:rFonts w:cs="Arial"/>
                <w:sz w:val="18"/>
                <w:szCs w:val="18"/>
              </w:rPr>
            </w:pPr>
            <w:r w:rsidRPr="00812C16">
              <w:rPr>
                <w:rFonts w:cs="Arial"/>
                <w:sz w:val="18"/>
                <w:szCs w:val="18"/>
              </w:rPr>
              <w:t>Behandlungsparameter</w:t>
            </w:r>
          </w:p>
        </w:tc>
        <w:tc>
          <w:tcPr>
            <w:tcW w:w="850" w:type="dxa"/>
            <w:tcBorders>
              <w:top w:val="single" w:sz="4" w:space="0" w:color="A5A5A5" w:themeColor="accent3"/>
            </w:tcBorders>
          </w:tcPr>
          <w:p w14:paraId="744D0BC4"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Median</w:t>
            </w:r>
          </w:p>
        </w:tc>
        <w:tc>
          <w:tcPr>
            <w:tcW w:w="2748" w:type="dxa"/>
            <w:gridSpan w:val="4"/>
            <w:tcBorders>
              <w:top w:val="single" w:sz="4" w:space="0" w:color="A5A5A5" w:themeColor="accent3"/>
              <w:bottom w:val="single" w:sz="4" w:space="0" w:color="A5A5A5" w:themeColor="accent3"/>
            </w:tcBorders>
          </w:tcPr>
          <w:p w14:paraId="4AC942FB" w14:textId="77777777" w:rsidR="00733A6C" w:rsidRPr="00812C16" w:rsidRDefault="00733A6C" w:rsidP="00B86E38">
            <w:pP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Perzentile</w:t>
            </w:r>
          </w:p>
        </w:tc>
        <w:tc>
          <w:tcPr>
            <w:tcW w:w="1221" w:type="dxa"/>
            <w:tcBorders>
              <w:top w:val="single" w:sz="4" w:space="0" w:color="A5A5A5" w:themeColor="accent3"/>
            </w:tcBorders>
          </w:tcPr>
          <w:p w14:paraId="261B7CDD"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Rang</w:t>
            </w:r>
          </w:p>
        </w:tc>
      </w:tr>
      <w:tr w:rsidR="002A19C6" w:rsidRPr="00812C16" w14:paraId="32AB1F17"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4C11350" w14:textId="77777777" w:rsidR="00733A6C" w:rsidRPr="00812C16" w:rsidRDefault="00733A6C" w:rsidP="00B86E38">
            <w:pPr>
              <w:spacing w:before="60" w:after="60" w:line="360" w:lineRule="auto"/>
              <w:rPr>
                <w:rFonts w:cs="Arial"/>
                <w:b w:val="0"/>
                <w:bCs w:val="0"/>
                <w:sz w:val="18"/>
                <w:szCs w:val="18"/>
              </w:rPr>
            </w:pPr>
          </w:p>
        </w:tc>
        <w:tc>
          <w:tcPr>
            <w:tcW w:w="850" w:type="dxa"/>
            <w:tcBorders>
              <w:bottom w:val="single" w:sz="4" w:space="0" w:color="A5A5A5" w:themeColor="accent3"/>
            </w:tcBorders>
          </w:tcPr>
          <w:p w14:paraId="7E0EA0C0" w14:textId="77777777" w:rsidR="00733A6C" w:rsidRPr="00812C16" w:rsidRDefault="00733A6C" w:rsidP="00B86E38">
            <w:pPr>
              <w:spacing w:before="60" w:after="60" w:line="360" w:lineRule="auto"/>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Borders>
              <w:top w:val="single" w:sz="4" w:space="0" w:color="A5A5A5" w:themeColor="accent3"/>
              <w:bottom w:val="single" w:sz="4" w:space="0" w:color="A5A5A5" w:themeColor="accent3"/>
            </w:tcBorders>
          </w:tcPr>
          <w:p w14:paraId="1239EAE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10%</w:t>
            </w:r>
          </w:p>
        </w:tc>
        <w:tc>
          <w:tcPr>
            <w:tcW w:w="577" w:type="dxa"/>
            <w:tcBorders>
              <w:top w:val="single" w:sz="4" w:space="0" w:color="A5A5A5" w:themeColor="accent3"/>
              <w:bottom w:val="single" w:sz="4" w:space="0" w:color="A5A5A5" w:themeColor="accent3"/>
            </w:tcBorders>
          </w:tcPr>
          <w:p w14:paraId="52F54AD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25%</w:t>
            </w:r>
          </w:p>
        </w:tc>
        <w:tc>
          <w:tcPr>
            <w:tcW w:w="577" w:type="dxa"/>
            <w:tcBorders>
              <w:top w:val="single" w:sz="4" w:space="0" w:color="A5A5A5" w:themeColor="accent3"/>
              <w:bottom w:val="single" w:sz="4" w:space="0" w:color="A5A5A5" w:themeColor="accent3"/>
            </w:tcBorders>
          </w:tcPr>
          <w:p w14:paraId="27456A1C"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75%</w:t>
            </w:r>
          </w:p>
        </w:tc>
        <w:tc>
          <w:tcPr>
            <w:tcW w:w="577" w:type="dxa"/>
            <w:tcBorders>
              <w:top w:val="single" w:sz="4" w:space="0" w:color="A5A5A5" w:themeColor="accent3"/>
              <w:bottom w:val="single" w:sz="4" w:space="0" w:color="A5A5A5" w:themeColor="accent3"/>
            </w:tcBorders>
          </w:tcPr>
          <w:p w14:paraId="2D0470A4"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90%</w:t>
            </w:r>
          </w:p>
        </w:tc>
        <w:tc>
          <w:tcPr>
            <w:tcW w:w="1221" w:type="dxa"/>
            <w:tcBorders>
              <w:bottom w:val="single" w:sz="4" w:space="0" w:color="A5A5A5" w:themeColor="accent3"/>
            </w:tcBorders>
          </w:tcPr>
          <w:p w14:paraId="1E620D7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1678F888" w14:textId="77777777" w:rsidTr="002336E1">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69D48A2C" w14:textId="77777777" w:rsidR="00733A6C" w:rsidRPr="00812C16" w:rsidRDefault="00733A6C" w:rsidP="00B86E38">
            <w:pPr>
              <w:spacing w:before="60" w:after="60" w:line="360" w:lineRule="auto"/>
              <w:rPr>
                <w:rFonts w:cs="Arial"/>
                <w:b w:val="0"/>
                <w:bCs w:val="0"/>
                <w:sz w:val="18"/>
                <w:szCs w:val="18"/>
              </w:rPr>
            </w:pPr>
            <w:r w:rsidRPr="00812C16">
              <w:rPr>
                <w:rFonts w:cs="Arial"/>
                <w:b w:val="0"/>
                <w:bCs w:val="0"/>
                <w:sz w:val="18"/>
                <w:szCs w:val="18"/>
              </w:rPr>
              <w:t>Cisplatin-Dosis (mg/m2 KOF)</w:t>
            </w:r>
          </w:p>
        </w:tc>
        <w:tc>
          <w:tcPr>
            <w:tcW w:w="850" w:type="dxa"/>
            <w:tcBorders>
              <w:top w:val="single" w:sz="4" w:space="0" w:color="A5A5A5" w:themeColor="accent3"/>
            </w:tcBorders>
          </w:tcPr>
          <w:p w14:paraId="19C5AB8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1017" w:type="dxa"/>
            <w:tcBorders>
              <w:top w:val="single" w:sz="4" w:space="0" w:color="A5A5A5" w:themeColor="accent3"/>
            </w:tcBorders>
          </w:tcPr>
          <w:p w14:paraId="4F512E7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577" w:type="dxa"/>
            <w:tcBorders>
              <w:top w:val="single" w:sz="4" w:space="0" w:color="A5A5A5" w:themeColor="accent3"/>
            </w:tcBorders>
          </w:tcPr>
          <w:p w14:paraId="787019F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7FA1F6C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0385BB9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240</w:t>
            </w:r>
          </w:p>
        </w:tc>
        <w:tc>
          <w:tcPr>
            <w:tcW w:w="1221" w:type="dxa"/>
            <w:tcBorders>
              <w:top w:val="single" w:sz="4" w:space="0" w:color="A5A5A5" w:themeColor="accent3"/>
            </w:tcBorders>
          </w:tcPr>
          <w:p w14:paraId="3C7959D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100-300</w:t>
            </w:r>
          </w:p>
        </w:tc>
      </w:tr>
      <w:tr w:rsidR="002A19C6" w:rsidRPr="00812C16" w14:paraId="27D5DF4E"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9E3484E" w14:textId="77777777" w:rsidR="00733A6C" w:rsidRPr="00812C16" w:rsidRDefault="00733A6C" w:rsidP="00B86E38">
            <w:pPr>
              <w:spacing w:before="60" w:after="60" w:line="360" w:lineRule="auto"/>
              <w:rPr>
                <w:rFonts w:cs="Arial"/>
                <w:sz w:val="18"/>
                <w:szCs w:val="18"/>
              </w:rPr>
            </w:pPr>
            <w:r w:rsidRPr="00812C16">
              <w:rPr>
                <w:rFonts w:cs="Arial"/>
                <w:b w:val="0"/>
                <w:bCs w:val="0"/>
                <w:sz w:val="18"/>
                <w:szCs w:val="18"/>
              </w:rPr>
              <w:t>RT-Dosis (Gy)</w:t>
            </w:r>
          </w:p>
        </w:tc>
        <w:tc>
          <w:tcPr>
            <w:tcW w:w="850" w:type="dxa"/>
          </w:tcPr>
          <w:p w14:paraId="5F59BC70"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Pr>
          <w:p w14:paraId="109F084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400E563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010ECA4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2F7221F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21" w:type="dxa"/>
          </w:tcPr>
          <w:p w14:paraId="488EC2D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00D00C85"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52E474AC"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Boost-Volumen</w:t>
            </w:r>
          </w:p>
        </w:tc>
        <w:tc>
          <w:tcPr>
            <w:tcW w:w="850" w:type="dxa"/>
          </w:tcPr>
          <w:p w14:paraId="215CD35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64.0</w:t>
            </w:r>
          </w:p>
        </w:tc>
        <w:tc>
          <w:tcPr>
            <w:tcW w:w="1017" w:type="dxa"/>
          </w:tcPr>
          <w:p w14:paraId="01235B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577" w:type="dxa"/>
          </w:tcPr>
          <w:p w14:paraId="448BB32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63.9</w:t>
            </w:r>
          </w:p>
        </w:tc>
        <w:tc>
          <w:tcPr>
            <w:tcW w:w="577" w:type="dxa"/>
          </w:tcPr>
          <w:p w14:paraId="3E6591C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577" w:type="dxa"/>
          </w:tcPr>
          <w:p w14:paraId="599648B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1221" w:type="dxa"/>
          </w:tcPr>
          <w:p w14:paraId="7570BB5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56.0 - 68.4</w:t>
            </w:r>
          </w:p>
        </w:tc>
      </w:tr>
      <w:tr w:rsidR="002A19C6" w:rsidRPr="00812C16" w14:paraId="6BAB00B4"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87CED02"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7B9D436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B2F143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3827678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5ABAC4C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4A1C35B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221" w:type="dxa"/>
          </w:tcPr>
          <w:p w14:paraId="3744F65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 xml:space="preserve">1.8 - 2.1 </w:t>
            </w:r>
          </w:p>
        </w:tc>
      </w:tr>
      <w:tr w:rsidR="002336E1" w:rsidRPr="00812C16" w14:paraId="6F3B0C1A"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1A46F3D3"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Adjuvantes Volumen</w:t>
            </w:r>
          </w:p>
        </w:tc>
        <w:tc>
          <w:tcPr>
            <w:tcW w:w="850" w:type="dxa"/>
          </w:tcPr>
          <w:p w14:paraId="2F04B80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50.4</w:t>
            </w:r>
          </w:p>
        </w:tc>
        <w:tc>
          <w:tcPr>
            <w:tcW w:w="1017" w:type="dxa"/>
          </w:tcPr>
          <w:p w14:paraId="6313A36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036F8FBE"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69EA14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55.9</w:t>
            </w:r>
          </w:p>
        </w:tc>
        <w:tc>
          <w:tcPr>
            <w:tcW w:w="577" w:type="dxa"/>
          </w:tcPr>
          <w:p w14:paraId="542C35A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1221" w:type="dxa"/>
          </w:tcPr>
          <w:p w14:paraId="3F13A20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46.8 – 66.0</w:t>
            </w:r>
          </w:p>
        </w:tc>
      </w:tr>
      <w:tr w:rsidR="002A19C6" w:rsidRPr="00812C16" w14:paraId="13EE945B"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74C386E"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521DBEE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A30C5A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1C1BAAE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6C7836D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5ADC7E3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2.1</w:t>
            </w:r>
          </w:p>
        </w:tc>
        <w:tc>
          <w:tcPr>
            <w:tcW w:w="1221" w:type="dxa"/>
          </w:tcPr>
          <w:p w14:paraId="57E1FE8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 – 2.2</w:t>
            </w:r>
          </w:p>
        </w:tc>
      </w:tr>
      <w:tr w:rsidR="002336E1" w:rsidRPr="00812C16" w14:paraId="08871B7F"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42BE1E95" w14:textId="77777777" w:rsidR="00733A6C" w:rsidRPr="00812C16" w:rsidRDefault="002336E1" w:rsidP="00B86E38">
            <w:pPr>
              <w:spacing w:before="60" w:after="60" w:line="360" w:lineRule="auto"/>
              <w:ind w:left="42"/>
              <w:jc w:val="left"/>
              <w:rPr>
                <w:rFonts w:cs="Arial"/>
                <w:b w:val="0"/>
                <w:bCs w:val="0"/>
                <w:sz w:val="18"/>
                <w:szCs w:val="18"/>
              </w:rPr>
            </w:pPr>
            <w:r w:rsidRPr="00812C16">
              <w:rPr>
                <w:rFonts w:cs="Arial"/>
                <w:b w:val="0"/>
                <w:bCs w:val="0"/>
                <w:sz w:val="18"/>
                <w:szCs w:val="18"/>
              </w:rPr>
              <w:t>Zeit zwischen OP und Bestrahlung</w:t>
            </w:r>
            <w:r w:rsidR="00733A6C" w:rsidRPr="00812C16">
              <w:rPr>
                <w:rFonts w:cs="Arial"/>
                <w:b w:val="0"/>
                <w:bCs w:val="0"/>
                <w:sz w:val="18"/>
                <w:szCs w:val="18"/>
              </w:rPr>
              <w:t xml:space="preserve"> (</w:t>
            </w:r>
            <w:r w:rsidRPr="00812C16">
              <w:rPr>
                <w:rFonts w:cs="Arial"/>
                <w:b w:val="0"/>
                <w:bCs w:val="0"/>
                <w:sz w:val="18"/>
                <w:szCs w:val="18"/>
              </w:rPr>
              <w:t>Wochen</w:t>
            </w:r>
            <w:r w:rsidR="00733A6C" w:rsidRPr="00812C16">
              <w:rPr>
                <w:rFonts w:cs="Arial"/>
                <w:b w:val="0"/>
                <w:bCs w:val="0"/>
                <w:sz w:val="18"/>
                <w:szCs w:val="18"/>
              </w:rPr>
              <w:t>)</w:t>
            </w:r>
          </w:p>
        </w:tc>
        <w:tc>
          <w:tcPr>
            <w:tcW w:w="850" w:type="dxa"/>
          </w:tcPr>
          <w:p w14:paraId="12A80476"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w:t>
            </w:r>
          </w:p>
        </w:tc>
        <w:tc>
          <w:tcPr>
            <w:tcW w:w="1017" w:type="dxa"/>
          </w:tcPr>
          <w:p w14:paraId="52BFDD8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4.0</w:t>
            </w:r>
          </w:p>
        </w:tc>
        <w:tc>
          <w:tcPr>
            <w:tcW w:w="577" w:type="dxa"/>
          </w:tcPr>
          <w:p w14:paraId="25A2B33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w:t>
            </w:r>
          </w:p>
        </w:tc>
        <w:tc>
          <w:tcPr>
            <w:tcW w:w="577" w:type="dxa"/>
          </w:tcPr>
          <w:p w14:paraId="6DC2857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8.0</w:t>
            </w:r>
          </w:p>
        </w:tc>
        <w:tc>
          <w:tcPr>
            <w:tcW w:w="577" w:type="dxa"/>
          </w:tcPr>
          <w:p w14:paraId="5A873E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1221" w:type="dxa"/>
          </w:tcPr>
          <w:p w14:paraId="118077F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 – 23.0</w:t>
            </w:r>
          </w:p>
        </w:tc>
      </w:tr>
      <w:tr w:rsidR="002A19C6" w:rsidRPr="00812C16" w14:paraId="24EBD441"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23685AB" w14:textId="77777777" w:rsidR="00733A6C" w:rsidRPr="00812C16" w:rsidRDefault="00771F15" w:rsidP="00B86E38">
            <w:pPr>
              <w:spacing w:before="60" w:after="60" w:line="360" w:lineRule="auto"/>
              <w:ind w:left="42"/>
              <w:jc w:val="left"/>
              <w:rPr>
                <w:rFonts w:cs="Arial"/>
                <w:b w:val="0"/>
                <w:bCs w:val="0"/>
                <w:sz w:val="18"/>
                <w:szCs w:val="18"/>
              </w:rPr>
            </w:pPr>
            <w:r w:rsidRPr="00812C16">
              <w:rPr>
                <w:rFonts w:cs="Arial"/>
                <w:b w:val="0"/>
                <w:bCs w:val="0"/>
                <w:sz w:val="18"/>
                <w:szCs w:val="18"/>
              </w:rPr>
              <w:t>Gesamtbehandlungszeit der</w:t>
            </w:r>
            <w:r w:rsidR="00733A6C" w:rsidRPr="00812C16">
              <w:rPr>
                <w:rFonts w:cs="Arial"/>
                <w:b w:val="0"/>
                <w:bCs w:val="0"/>
                <w:sz w:val="18"/>
                <w:szCs w:val="18"/>
              </w:rPr>
              <w:t xml:space="preserve"> PORT-C (</w:t>
            </w:r>
            <w:r w:rsidRPr="00812C16">
              <w:rPr>
                <w:rFonts w:cs="Arial"/>
                <w:b w:val="0"/>
                <w:bCs w:val="0"/>
                <w:sz w:val="18"/>
                <w:szCs w:val="18"/>
              </w:rPr>
              <w:t>Tage</w:t>
            </w:r>
            <w:r w:rsidR="00733A6C" w:rsidRPr="00812C16">
              <w:rPr>
                <w:rFonts w:cs="Arial"/>
                <w:b w:val="0"/>
                <w:bCs w:val="0"/>
                <w:sz w:val="18"/>
                <w:szCs w:val="18"/>
              </w:rPr>
              <w:t>)</w:t>
            </w:r>
          </w:p>
        </w:tc>
        <w:tc>
          <w:tcPr>
            <w:tcW w:w="850" w:type="dxa"/>
          </w:tcPr>
          <w:p w14:paraId="40B2C33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44.0</w:t>
            </w:r>
          </w:p>
        </w:tc>
        <w:tc>
          <w:tcPr>
            <w:tcW w:w="1017" w:type="dxa"/>
          </w:tcPr>
          <w:p w14:paraId="24F8FE5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41.0</w:t>
            </w:r>
          </w:p>
        </w:tc>
        <w:tc>
          <w:tcPr>
            <w:tcW w:w="577" w:type="dxa"/>
          </w:tcPr>
          <w:p w14:paraId="7F42EB4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43.0</w:t>
            </w:r>
          </w:p>
        </w:tc>
        <w:tc>
          <w:tcPr>
            <w:tcW w:w="577" w:type="dxa"/>
          </w:tcPr>
          <w:p w14:paraId="45491D8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47.0</w:t>
            </w:r>
          </w:p>
        </w:tc>
        <w:tc>
          <w:tcPr>
            <w:tcW w:w="577" w:type="dxa"/>
          </w:tcPr>
          <w:p w14:paraId="20FE549B"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50.8</w:t>
            </w:r>
          </w:p>
        </w:tc>
        <w:tc>
          <w:tcPr>
            <w:tcW w:w="1221" w:type="dxa"/>
          </w:tcPr>
          <w:p w14:paraId="5800774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32.0 – 57.0</w:t>
            </w:r>
          </w:p>
        </w:tc>
      </w:tr>
      <w:tr w:rsidR="002336E1" w:rsidRPr="00812C16" w14:paraId="2241F1BC" w14:textId="77777777" w:rsidTr="002336E1">
        <w:trPr>
          <w:trHeight w:val="357"/>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63A7AB6" w14:textId="77777777" w:rsidR="00733A6C" w:rsidRPr="00812C16" w:rsidRDefault="00733A6C" w:rsidP="00B86E38">
            <w:pPr>
              <w:spacing w:before="60" w:after="60" w:line="360" w:lineRule="auto"/>
              <w:ind w:left="42"/>
              <w:jc w:val="left"/>
              <w:rPr>
                <w:rFonts w:cs="Arial"/>
                <w:b w:val="0"/>
                <w:bCs w:val="0"/>
                <w:sz w:val="18"/>
                <w:szCs w:val="18"/>
                <w:lang w:val="en-US"/>
              </w:rPr>
            </w:pPr>
            <w:r w:rsidRPr="00812C16">
              <w:rPr>
                <w:rFonts w:cs="Arial"/>
                <w:b w:val="0"/>
                <w:bCs w:val="0"/>
                <w:sz w:val="18"/>
                <w:szCs w:val="18"/>
                <w:lang w:val="en-US"/>
              </w:rPr>
              <w:t xml:space="preserve">Follow-up </w:t>
            </w:r>
            <w:r w:rsidR="007A796F" w:rsidRPr="00812C16">
              <w:rPr>
                <w:rFonts w:cs="Arial"/>
                <w:b w:val="0"/>
                <w:bCs w:val="0"/>
                <w:sz w:val="18"/>
                <w:szCs w:val="18"/>
                <w:lang w:val="en-US"/>
              </w:rPr>
              <w:t>/</w:t>
            </w:r>
            <w:r w:rsidR="002336E1" w:rsidRPr="00812C16">
              <w:rPr>
                <w:rFonts w:cs="Arial"/>
                <w:b w:val="0"/>
                <w:bCs w:val="0"/>
                <w:sz w:val="18"/>
                <w:szCs w:val="18"/>
                <w:lang w:val="en-US"/>
              </w:rPr>
              <w:t xml:space="preserve"> </w:t>
            </w:r>
            <w:r w:rsidR="007A796F" w:rsidRPr="00812C16">
              <w:rPr>
                <w:rFonts w:cs="Arial"/>
                <w:b w:val="0"/>
                <w:bCs w:val="0"/>
                <w:sz w:val="18"/>
                <w:szCs w:val="18"/>
                <w:lang w:val="en-US"/>
              </w:rPr>
              <w:t>Nachbeobachtung</w:t>
            </w:r>
            <w:r w:rsidRPr="00812C16">
              <w:rPr>
                <w:rFonts w:cs="Arial"/>
                <w:b w:val="0"/>
                <w:bCs w:val="0"/>
                <w:sz w:val="18"/>
                <w:szCs w:val="18"/>
                <w:lang w:val="en-US"/>
              </w:rPr>
              <w:t xml:space="preserve"> </w:t>
            </w:r>
            <w:r w:rsidR="00771F15" w:rsidRPr="00812C16">
              <w:rPr>
                <w:rFonts w:cs="Arial"/>
                <w:b w:val="0"/>
                <w:bCs w:val="0"/>
                <w:sz w:val="18"/>
                <w:szCs w:val="18"/>
                <w:lang w:val="en-US"/>
              </w:rPr>
              <w:t>(Monate</w:t>
            </w:r>
            <w:r w:rsidRPr="00812C16">
              <w:rPr>
                <w:rFonts w:cs="Arial"/>
                <w:b w:val="0"/>
                <w:bCs w:val="0"/>
                <w:sz w:val="18"/>
                <w:szCs w:val="18"/>
                <w:lang w:val="en-US"/>
              </w:rPr>
              <w:t>)</w:t>
            </w:r>
          </w:p>
        </w:tc>
        <w:tc>
          <w:tcPr>
            <w:tcW w:w="850" w:type="dxa"/>
            <w:tcBorders>
              <w:bottom w:val="single" w:sz="4" w:space="0" w:color="A5A5A5" w:themeColor="accent3"/>
            </w:tcBorders>
          </w:tcPr>
          <w:p w14:paraId="0C825B5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47.3</w:t>
            </w:r>
          </w:p>
        </w:tc>
        <w:tc>
          <w:tcPr>
            <w:tcW w:w="1017" w:type="dxa"/>
            <w:tcBorders>
              <w:bottom w:val="single" w:sz="4" w:space="0" w:color="A5A5A5" w:themeColor="accent3"/>
            </w:tcBorders>
          </w:tcPr>
          <w:p w14:paraId="7FF67CB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0.8</w:t>
            </w:r>
          </w:p>
        </w:tc>
        <w:tc>
          <w:tcPr>
            <w:tcW w:w="577" w:type="dxa"/>
            <w:tcBorders>
              <w:bottom w:val="single" w:sz="4" w:space="0" w:color="A5A5A5" w:themeColor="accent3"/>
            </w:tcBorders>
          </w:tcPr>
          <w:p w14:paraId="2E1BFC4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2.6</w:t>
            </w:r>
          </w:p>
        </w:tc>
        <w:tc>
          <w:tcPr>
            <w:tcW w:w="577" w:type="dxa"/>
            <w:tcBorders>
              <w:bottom w:val="single" w:sz="4" w:space="0" w:color="A5A5A5" w:themeColor="accent3"/>
            </w:tcBorders>
          </w:tcPr>
          <w:p w14:paraId="02A9403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5.2</w:t>
            </w:r>
          </w:p>
        </w:tc>
        <w:tc>
          <w:tcPr>
            <w:tcW w:w="577" w:type="dxa"/>
            <w:tcBorders>
              <w:bottom w:val="single" w:sz="4" w:space="0" w:color="A5A5A5" w:themeColor="accent3"/>
            </w:tcBorders>
          </w:tcPr>
          <w:p w14:paraId="3211B92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6.1</w:t>
            </w:r>
          </w:p>
        </w:tc>
        <w:tc>
          <w:tcPr>
            <w:tcW w:w="1221" w:type="dxa"/>
            <w:tcBorders>
              <w:bottom w:val="single" w:sz="4" w:space="0" w:color="A5A5A5" w:themeColor="accent3"/>
            </w:tcBorders>
          </w:tcPr>
          <w:p w14:paraId="6CF8DC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0.2 – 8.3</w:t>
            </w:r>
          </w:p>
        </w:tc>
      </w:tr>
    </w:tbl>
    <w:p w14:paraId="56E37277" w14:textId="77777777" w:rsidR="00931FA9" w:rsidRPr="00812C16" w:rsidRDefault="00931FA9" w:rsidP="008C6A11">
      <w:pPr>
        <w:spacing w:before="360" w:after="0"/>
        <w:rPr>
          <w:rFonts w:cs="Arial"/>
          <w:lang w:eastAsia="de-DE"/>
        </w:rPr>
      </w:pPr>
      <w:r w:rsidRPr="00812C16">
        <w:rPr>
          <w:rFonts w:cs="Arial"/>
          <w:i/>
          <w:iCs/>
          <w:lang w:eastAsia="de-DE"/>
        </w:rPr>
        <w:t>Simultane Chemotherapie</w:t>
      </w:r>
    </w:p>
    <w:p w14:paraId="6EAB2FC5" w14:textId="77777777" w:rsidR="00DE0E04" w:rsidRPr="00812C16" w:rsidRDefault="00502183" w:rsidP="002336E1">
      <w:pPr>
        <w:spacing w:after="0"/>
        <w:rPr>
          <w:rFonts w:cs="Arial"/>
          <w:lang w:eastAsia="de-DE"/>
        </w:rPr>
      </w:pPr>
      <w:r w:rsidRPr="00812C16">
        <w:rPr>
          <w:rFonts w:cs="Arial"/>
          <w:lang w:eastAsia="de-DE"/>
        </w:rPr>
        <w:t xml:space="preserve">Eine zur Radiotherapie simultane Chemotherapie wurde </w:t>
      </w:r>
      <w:r w:rsidR="00BC3714" w:rsidRPr="00812C16">
        <w:rPr>
          <w:rFonts w:cs="Arial"/>
          <w:lang w:eastAsia="de-DE"/>
        </w:rPr>
        <w:t xml:space="preserve">bei allen Patienten </w:t>
      </w:r>
      <w:r w:rsidRPr="00812C16">
        <w:rPr>
          <w:rFonts w:cs="Arial"/>
          <w:lang w:eastAsia="de-DE"/>
        </w:rPr>
        <w:t xml:space="preserve">durchgeführt. Die Kombination aus Cisplatin und 5-Fluoruracil wurde 70,8% (n=75) der Patienten und somit bevorzugt verabreicht. 10,4% (n=11) erhielten eine Monotherapie mit Mitomycin C, jeweils 6,6% (n=7) die Kombination aus Mitomycin und 5-Fluoruracil oder die Dreifachkombination aus Cisplatin, Cetuximab und 5-Fluoruracil, letztere gemäß der ACCRA-Studie, und schließlich erhielten jeweils 2,8 % (n=3) Patienten die Monotherapie bestehend aus Cisplatin (40mg/m2 Körperoberfläche wöchentlich) oder aus Cetuximab. </w:t>
      </w:r>
    </w:p>
    <w:p w14:paraId="38549207" w14:textId="77777777" w:rsidR="00A1534B" w:rsidRPr="00812C16" w:rsidRDefault="00A1534B">
      <w:pPr>
        <w:spacing w:after="0"/>
        <w:jc w:val="left"/>
        <w:rPr>
          <w:rFonts w:cs="Arial"/>
          <w:b/>
          <w:bCs/>
          <w:sz w:val="28"/>
          <w:szCs w:val="28"/>
          <w:lang w:eastAsia="de-DE"/>
        </w:rPr>
      </w:pPr>
      <w:r w:rsidRPr="00812C16">
        <w:rPr>
          <w:rFonts w:cs="Arial"/>
          <w:b/>
          <w:bCs/>
          <w:sz w:val="28"/>
          <w:szCs w:val="28"/>
          <w:lang w:eastAsia="de-DE"/>
        </w:rPr>
        <w:br w:type="page"/>
      </w:r>
    </w:p>
    <w:p w14:paraId="1F72DAF4" w14:textId="77777777" w:rsidR="00C65F6D" w:rsidRPr="00812C16" w:rsidRDefault="00C65F6D" w:rsidP="00C65F6D">
      <w:pPr>
        <w:spacing w:before="100" w:beforeAutospacing="1" w:after="100" w:afterAutospacing="1" w:line="240" w:lineRule="auto"/>
        <w:jc w:val="left"/>
        <w:rPr>
          <w:rFonts w:cs="Arial"/>
          <w:b/>
          <w:bCs/>
          <w:sz w:val="28"/>
          <w:szCs w:val="28"/>
          <w:lang w:eastAsia="de-DE"/>
        </w:rPr>
      </w:pPr>
      <w:r w:rsidRPr="00812C16">
        <w:rPr>
          <w:rFonts w:cs="Arial"/>
          <w:b/>
          <w:bCs/>
          <w:sz w:val="28"/>
          <w:szCs w:val="28"/>
          <w:lang w:eastAsia="de-DE"/>
        </w:rPr>
        <w:lastRenderedPageBreak/>
        <w:t xml:space="preserve">Patienten- und Tumorcharakteristika in Abhängigkeit des HPV16 DNA- und CD44 Status </w:t>
      </w:r>
    </w:p>
    <w:p w14:paraId="14469643" w14:textId="77777777" w:rsidR="00C65F6D" w:rsidRPr="00812C16" w:rsidRDefault="00C65F6D" w:rsidP="00C65F6D">
      <w:pPr>
        <w:spacing w:before="100" w:beforeAutospacing="1" w:after="100" w:afterAutospacing="1" w:line="240" w:lineRule="auto"/>
        <w:jc w:val="left"/>
        <w:rPr>
          <w:rFonts w:cs="Arial"/>
          <w:lang w:eastAsia="de-DE"/>
        </w:rPr>
      </w:pPr>
      <w:r w:rsidRPr="00812C16">
        <w:rPr>
          <w:rFonts w:cs="Arial"/>
          <w:b/>
          <w:bCs/>
          <w:sz w:val="28"/>
          <w:szCs w:val="28"/>
          <w:lang w:eastAsia="de-DE"/>
        </w:rPr>
        <w:t xml:space="preserve"> </w:t>
      </w:r>
    </w:p>
    <w:p w14:paraId="72FF5716" w14:textId="77777777" w:rsidR="002544B9" w:rsidRPr="00812C16" w:rsidRDefault="002544B9" w:rsidP="002544B9">
      <w:pPr>
        <w:spacing w:after="360"/>
        <w:contextualSpacing/>
        <w:rPr>
          <w:rFonts w:cs="Arial"/>
        </w:rPr>
      </w:pPr>
      <w:r w:rsidRPr="00812C16">
        <w:rPr>
          <w:rFonts w:cs="Arial"/>
        </w:rPr>
        <w:t xml:space="preserve">Lediglich 17 Patienten (7,7%) hatten zu Beginn der Strahlentherapie niemals geraucht. 20 (9,0%) waren ehemals Raucher und knapp die Hälfte (48,4%; n=107) rauchte während der Behandlungszeit. Somit konnte bei einem Großteil der Patienten (57,4%) regelmäßiger Tabakgebrauch gegenwärtig der Behandlung oder in der Vergangenheit verzeichnet werden. Niemals Alkohol getrunken zu haben gaben lediglich 30 Patienten (13,6%) an. 27 Patienten (12,2%) haben in der Vergangenheit regelmäßig Alkohol getrunken und waren zu Beginn des Beobachtungszeitraums mindestens 1 Jahr Alkoholabstinent.  Aussagen zum regelmäßigen Alkoholkonsum vor und während des Beobachtungszeitraum konnten nicht erhoben werden. </w:t>
      </w:r>
    </w:p>
    <w:p w14:paraId="48BCE386" w14:textId="77777777" w:rsidR="00B22AA5" w:rsidRPr="00812C16" w:rsidRDefault="00B22AA5" w:rsidP="008072B4">
      <w:pPr>
        <w:spacing w:after="0"/>
        <w:jc w:val="left"/>
        <w:rPr>
          <w:rFonts w:cs="Arial"/>
          <w:lang w:eastAsia="de-DE"/>
        </w:rPr>
      </w:pPr>
    </w:p>
    <w:tbl>
      <w:tblPr>
        <w:tblW w:w="8451"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931"/>
        <w:gridCol w:w="1241"/>
        <w:gridCol w:w="1260"/>
        <w:gridCol w:w="1284"/>
        <w:gridCol w:w="1574"/>
        <w:gridCol w:w="1161"/>
      </w:tblGrid>
      <w:tr w:rsidR="00B22AA5" w:rsidRPr="00812C16" w14:paraId="4FF3D987" w14:textId="77777777" w:rsidTr="006678A2">
        <w:trPr>
          <w:tblHeader/>
        </w:trPr>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11716153" w14:textId="77777777" w:rsidR="00B22AA5" w:rsidRPr="00812C16" w:rsidRDefault="00B22AA5" w:rsidP="006678A2">
            <w:pPr>
              <w:spacing w:before="30" w:after="30" w:line="240" w:lineRule="auto"/>
              <w:jc w:val="left"/>
              <w:rPr>
                <w:rFonts w:cs="Arial"/>
                <w:b/>
                <w:bCs/>
                <w:sz w:val="20"/>
                <w:szCs w:val="20"/>
                <w:lang w:eastAsia="de-DE"/>
              </w:rPr>
            </w:pP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45AF783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7A4496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LRC</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A193D7"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DM</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5B1969D"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OS</w:t>
            </w:r>
          </w:p>
        </w:tc>
        <w:tc>
          <w:tcPr>
            <w:tcW w:w="1161" w:type="dxa"/>
            <w:tcBorders>
              <w:top w:val="single" w:sz="4" w:space="0" w:color="000000" w:themeColor="text1"/>
              <w:bottom w:val="single" w:sz="4" w:space="0" w:color="000000" w:themeColor="text1"/>
              <w:right w:val="nil"/>
            </w:tcBorders>
          </w:tcPr>
          <w:p w14:paraId="38EBFA73"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Zensiert</w:t>
            </w:r>
          </w:p>
        </w:tc>
      </w:tr>
      <w:tr w:rsidR="00B22AA5" w:rsidRPr="00812C16" w14:paraId="2AE8F1D3" w14:textId="77777777" w:rsidTr="006678A2">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8ED0262" w14:textId="77777777" w:rsidR="00B22AA5" w:rsidRPr="00812C16" w:rsidRDefault="00B22AA5"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Alle Patienten</w:t>
            </w: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7814A7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 221</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6134B9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N=29</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3D46CF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N=42</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08C47DE"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N=70</w:t>
            </w:r>
          </w:p>
        </w:tc>
        <w:tc>
          <w:tcPr>
            <w:tcW w:w="1161" w:type="dxa"/>
            <w:tcBorders>
              <w:top w:val="single" w:sz="4" w:space="0" w:color="000000" w:themeColor="text1"/>
              <w:bottom w:val="single" w:sz="4" w:space="0" w:color="000000" w:themeColor="text1"/>
              <w:right w:val="nil"/>
            </w:tcBorders>
          </w:tcPr>
          <w:p w14:paraId="00ADE9A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N=80</w:t>
            </w:r>
          </w:p>
        </w:tc>
      </w:tr>
      <w:tr w:rsidR="00B22AA5" w:rsidRPr="00812C16" w14:paraId="7E9B9229" w14:textId="77777777" w:rsidTr="006678A2">
        <w:tc>
          <w:tcPr>
            <w:tcW w:w="1931" w:type="dxa"/>
            <w:tcBorders>
              <w:top w:val="single" w:sz="4" w:space="0" w:color="000000" w:themeColor="text1"/>
              <w:bottom w:val="nil"/>
              <w:right w:val="nil"/>
            </w:tcBorders>
            <w:tcMar>
              <w:top w:w="75" w:type="dxa"/>
              <w:left w:w="75" w:type="dxa"/>
              <w:bottom w:w="75" w:type="dxa"/>
              <w:right w:w="75" w:type="dxa"/>
            </w:tcMar>
            <w:hideMark/>
          </w:tcPr>
          <w:p w14:paraId="4591FCCD"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 xml:space="preserve">Mundhöhle </w:t>
            </w:r>
          </w:p>
        </w:tc>
        <w:tc>
          <w:tcPr>
            <w:tcW w:w="1241" w:type="dxa"/>
            <w:tcBorders>
              <w:top w:val="single" w:sz="4" w:space="0" w:color="000000" w:themeColor="text1"/>
              <w:bottom w:val="nil"/>
              <w:right w:val="nil"/>
            </w:tcBorders>
            <w:tcMar>
              <w:top w:w="75" w:type="dxa"/>
              <w:left w:w="75" w:type="dxa"/>
              <w:bottom w:w="75" w:type="dxa"/>
              <w:right w:w="75" w:type="dxa"/>
            </w:tcMar>
          </w:tcPr>
          <w:p w14:paraId="0C9C1EF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60</w:t>
            </w:r>
          </w:p>
        </w:tc>
        <w:tc>
          <w:tcPr>
            <w:tcW w:w="1260" w:type="dxa"/>
            <w:tcBorders>
              <w:top w:val="single" w:sz="4" w:space="0" w:color="000000" w:themeColor="text1"/>
              <w:bottom w:val="nil"/>
              <w:right w:val="nil"/>
            </w:tcBorders>
            <w:tcMar>
              <w:top w:w="75" w:type="dxa"/>
              <w:left w:w="75" w:type="dxa"/>
              <w:bottom w:w="75" w:type="dxa"/>
              <w:right w:w="75" w:type="dxa"/>
            </w:tcMar>
          </w:tcPr>
          <w:p w14:paraId="5C5C2399"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15</w:t>
            </w:r>
          </w:p>
        </w:tc>
        <w:tc>
          <w:tcPr>
            <w:tcW w:w="0" w:type="auto"/>
            <w:tcBorders>
              <w:top w:val="single" w:sz="4" w:space="0" w:color="000000" w:themeColor="text1"/>
              <w:bottom w:val="nil"/>
              <w:right w:val="nil"/>
            </w:tcBorders>
            <w:tcMar>
              <w:top w:w="75" w:type="dxa"/>
              <w:left w:w="75" w:type="dxa"/>
              <w:bottom w:w="75" w:type="dxa"/>
              <w:right w:w="75" w:type="dxa"/>
            </w:tcMar>
          </w:tcPr>
          <w:p w14:paraId="55CE7DD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18</w:t>
            </w:r>
          </w:p>
        </w:tc>
        <w:tc>
          <w:tcPr>
            <w:tcW w:w="1574" w:type="dxa"/>
            <w:tcBorders>
              <w:top w:val="single" w:sz="4" w:space="0" w:color="000000" w:themeColor="text1"/>
              <w:bottom w:val="nil"/>
              <w:right w:val="nil"/>
            </w:tcBorders>
            <w:tcMar>
              <w:top w:w="75" w:type="dxa"/>
              <w:left w:w="75" w:type="dxa"/>
              <w:bottom w:w="75" w:type="dxa"/>
              <w:right w:w="75" w:type="dxa"/>
            </w:tcMar>
          </w:tcPr>
          <w:p w14:paraId="6DBDC7F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28</w:t>
            </w:r>
          </w:p>
        </w:tc>
        <w:tc>
          <w:tcPr>
            <w:tcW w:w="1161" w:type="dxa"/>
            <w:tcBorders>
              <w:top w:val="single" w:sz="4" w:space="0" w:color="000000" w:themeColor="text1"/>
              <w:bottom w:val="nil"/>
              <w:right w:val="nil"/>
            </w:tcBorders>
          </w:tcPr>
          <w:p w14:paraId="24AC3C8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w:t>
            </w:r>
          </w:p>
        </w:tc>
      </w:tr>
      <w:tr w:rsidR="00B22AA5" w:rsidRPr="00812C16" w14:paraId="6C832E69" w14:textId="77777777" w:rsidTr="006678A2">
        <w:tc>
          <w:tcPr>
            <w:tcW w:w="1931" w:type="dxa"/>
            <w:tcBorders>
              <w:top w:val="nil"/>
              <w:bottom w:val="nil"/>
              <w:right w:val="nil"/>
            </w:tcBorders>
            <w:tcMar>
              <w:top w:w="75" w:type="dxa"/>
              <w:left w:w="75" w:type="dxa"/>
              <w:bottom w:w="75" w:type="dxa"/>
              <w:right w:w="75" w:type="dxa"/>
            </w:tcMar>
          </w:tcPr>
          <w:p w14:paraId="31431DCA"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Oropharynx</w:t>
            </w:r>
          </w:p>
        </w:tc>
        <w:tc>
          <w:tcPr>
            <w:tcW w:w="1241" w:type="dxa"/>
            <w:tcBorders>
              <w:top w:val="nil"/>
              <w:bottom w:val="nil"/>
              <w:right w:val="nil"/>
            </w:tcBorders>
            <w:tcMar>
              <w:top w:w="75" w:type="dxa"/>
              <w:left w:w="75" w:type="dxa"/>
              <w:bottom w:w="75" w:type="dxa"/>
              <w:right w:w="75" w:type="dxa"/>
            </w:tcMar>
          </w:tcPr>
          <w:p w14:paraId="76DAA1A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126</w:t>
            </w:r>
          </w:p>
        </w:tc>
        <w:tc>
          <w:tcPr>
            <w:tcW w:w="1260" w:type="dxa"/>
            <w:tcBorders>
              <w:top w:val="nil"/>
              <w:bottom w:val="nil"/>
              <w:right w:val="nil"/>
            </w:tcBorders>
            <w:tcMar>
              <w:top w:w="75" w:type="dxa"/>
              <w:left w:w="75" w:type="dxa"/>
              <w:bottom w:w="75" w:type="dxa"/>
              <w:right w:w="75" w:type="dxa"/>
            </w:tcMar>
          </w:tcPr>
          <w:p w14:paraId="3C776FC3"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11</w:t>
            </w:r>
          </w:p>
        </w:tc>
        <w:tc>
          <w:tcPr>
            <w:tcW w:w="0" w:type="auto"/>
            <w:tcBorders>
              <w:top w:val="nil"/>
              <w:bottom w:val="nil"/>
              <w:right w:val="nil"/>
            </w:tcBorders>
            <w:tcMar>
              <w:top w:w="75" w:type="dxa"/>
              <w:left w:w="75" w:type="dxa"/>
              <w:bottom w:w="75" w:type="dxa"/>
              <w:right w:w="75" w:type="dxa"/>
            </w:tcMar>
          </w:tcPr>
          <w:p w14:paraId="4D075066"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c>
          <w:tcPr>
            <w:tcW w:w="1574" w:type="dxa"/>
            <w:tcBorders>
              <w:top w:val="nil"/>
              <w:bottom w:val="nil"/>
              <w:right w:val="nil"/>
            </w:tcBorders>
            <w:tcMar>
              <w:top w:w="75" w:type="dxa"/>
              <w:left w:w="75" w:type="dxa"/>
              <w:bottom w:w="75" w:type="dxa"/>
              <w:right w:w="75" w:type="dxa"/>
            </w:tcMar>
          </w:tcPr>
          <w:p w14:paraId="2CA43A9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34</w:t>
            </w:r>
          </w:p>
        </w:tc>
        <w:tc>
          <w:tcPr>
            <w:tcW w:w="1161" w:type="dxa"/>
            <w:tcBorders>
              <w:top w:val="nil"/>
              <w:bottom w:val="nil"/>
              <w:right w:val="nil"/>
            </w:tcBorders>
          </w:tcPr>
          <w:p w14:paraId="33695F8B"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67</w:t>
            </w:r>
          </w:p>
        </w:tc>
      </w:tr>
      <w:tr w:rsidR="00B22AA5" w:rsidRPr="00812C16" w14:paraId="0D9085BD" w14:textId="77777777" w:rsidTr="006678A2">
        <w:trPr>
          <w:trHeight w:val="14"/>
        </w:trPr>
        <w:tc>
          <w:tcPr>
            <w:tcW w:w="1931" w:type="dxa"/>
            <w:tcBorders>
              <w:top w:val="nil"/>
              <w:bottom w:val="nil"/>
              <w:right w:val="nil"/>
            </w:tcBorders>
            <w:tcMar>
              <w:top w:w="75" w:type="dxa"/>
              <w:left w:w="75" w:type="dxa"/>
              <w:bottom w:w="75" w:type="dxa"/>
              <w:right w:w="75" w:type="dxa"/>
            </w:tcMar>
          </w:tcPr>
          <w:p w14:paraId="7F9866F4"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Hypopharynx</w:t>
            </w:r>
          </w:p>
        </w:tc>
        <w:tc>
          <w:tcPr>
            <w:tcW w:w="1241" w:type="dxa"/>
            <w:tcBorders>
              <w:top w:val="nil"/>
              <w:bottom w:val="nil"/>
              <w:right w:val="nil"/>
            </w:tcBorders>
            <w:tcMar>
              <w:top w:w="75" w:type="dxa"/>
              <w:left w:w="75" w:type="dxa"/>
              <w:bottom w:w="75" w:type="dxa"/>
              <w:right w:w="75" w:type="dxa"/>
            </w:tcMar>
          </w:tcPr>
          <w:p w14:paraId="14B2A5B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35</w:t>
            </w:r>
          </w:p>
        </w:tc>
        <w:tc>
          <w:tcPr>
            <w:tcW w:w="1260" w:type="dxa"/>
            <w:tcBorders>
              <w:top w:val="nil"/>
              <w:bottom w:val="nil"/>
              <w:right w:val="nil"/>
            </w:tcBorders>
            <w:tcMar>
              <w:top w:w="75" w:type="dxa"/>
              <w:left w:w="75" w:type="dxa"/>
              <w:bottom w:w="75" w:type="dxa"/>
              <w:right w:w="75" w:type="dxa"/>
            </w:tcMar>
          </w:tcPr>
          <w:p w14:paraId="248D0A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w:t>
            </w:r>
          </w:p>
        </w:tc>
        <w:tc>
          <w:tcPr>
            <w:tcW w:w="0" w:type="auto"/>
            <w:tcBorders>
              <w:top w:val="nil"/>
              <w:bottom w:val="nil"/>
              <w:right w:val="nil"/>
            </w:tcBorders>
            <w:tcMar>
              <w:top w:w="75" w:type="dxa"/>
              <w:left w:w="75" w:type="dxa"/>
              <w:bottom w:w="75" w:type="dxa"/>
              <w:right w:w="75" w:type="dxa"/>
            </w:tcMar>
          </w:tcPr>
          <w:p w14:paraId="51D1AA47"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10</w:t>
            </w:r>
          </w:p>
        </w:tc>
        <w:tc>
          <w:tcPr>
            <w:tcW w:w="1574" w:type="dxa"/>
            <w:tcBorders>
              <w:top w:val="nil"/>
              <w:bottom w:val="nil"/>
              <w:right w:val="nil"/>
            </w:tcBorders>
            <w:tcMar>
              <w:top w:w="75" w:type="dxa"/>
              <w:left w:w="75" w:type="dxa"/>
              <w:bottom w:w="75" w:type="dxa"/>
              <w:right w:w="75" w:type="dxa"/>
            </w:tcMar>
          </w:tcPr>
          <w:p w14:paraId="737E525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8</w:t>
            </w:r>
          </w:p>
        </w:tc>
        <w:tc>
          <w:tcPr>
            <w:tcW w:w="1161" w:type="dxa"/>
            <w:tcBorders>
              <w:top w:val="nil"/>
              <w:bottom w:val="nil"/>
              <w:right w:val="nil"/>
            </w:tcBorders>
          </w:tcPr>
          <w:p w14:paraId="502A9B3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r>
    </w:tbl>
    <w:p w14:paraId="7C675C74" w14:textId="77777777" w:rsidR="00B22AA5" w:rsidRPr="00812C16" w:rsidRDefault="00913EB8" w:rsidP="008072B4">
      <w:pPr>
        <w:spacing w:after="0"/>
        <w:jc w:val="left"/>
        <w:rPr>
          <w:rFonts w:cs="Arial"/>
          <w:lang w:eastAsia="de-DE"/>
        </w:rPr>
      </w:pPr>
      <w:r w:rsidRPr="00812C16">
        <w:rPr>
          <w:rFonts w:cs="Arial"/>
          <w:lang w:eastAsia="de-DE"/>
        </w:rPr>
        <w:br w:type="page"/>
      </w:r>
    </w:p>
    <w:p w14:paraId="2452C235" w14:textId="77777777" w:rsidR="008072B4" w:rsidRPr="00812C16" w:rsidRDefault="008D076E" w:rsidP="008C6A11">
      <w:pPr>
        <w:pStyle w:val="berschrift2"/>
        <w:rPr>
          <w:rFonts w:cs="Arial"/>
        </w:rPr>
      </w:pPr>
      <w:bookmarkStart w:id="59" w:name="_Toc158006538"/>
      <w:r w:rsidRPr="00812C16">
        <w:rPr>
          <w:rFonts w:cs="Arial"/>
        </w:rPr>
        <w:lastRenderedPageBreak/>
        <w:t>Ereigniszeit</w:t>
      </w:r>
      <w:r w:rsidR="0024248C" w:rsidRPr="00812C16">
        <w:rPr>
          <w:rFonts w:cs="Arial"/>
        </w:rPr>
        <w:t>analyse</w:t>
      </w:r>
      <w:r w:rsidR="00485A5F" w:rsidRPr="00812C16">
        <w:rPr>
          <w:rFonts w:cs="Arial"/>
        </w:rPr>
        <w:t>n</w:t>
      </w:r>
      <w:bookmarkEnd w:id="59"/>
      <w:r w:rsidR="00436497" w:rsidRPr="00812C16">
        <w:rPr>
          <w:rFonts w:cs="Arial"/>
        </w:rPr>
        <w:t xml:space="preserve"> </w:t>
      </w:r>
    </w:p>
    <w:p w14:paraId="15F12CAB" w14:textId="77777777" w:rsidR="009943EC" w:rsidRPr="00812C16" w:rsidRDefault="008072B4" w:rsidP="00E163C3">
      <w:pPr>
        <w:rPr>
          <w:rFonts w:cs="Arial"/>
          <w:lang w:eastAsia="de-DE"/>
        </w:rPr>
      </w:pPr>
      <w:r w:rsidRPr="00812C16">
        <w:rPr>
          <w:rFonts w:cs="Arial"/>
        </w:rPr>
        <w:t xml:space="preserve">Um die prognostische Relevanz </w:t>
      </w:r>
      <w:r w:rsidR="005C27A1" w:rsidRPr="00812C16">
        <w:rPr>
          <w:rFonts w:cs="Arial"/>
        </w:rPr>
        <w:t xml:space="preserve">von </w:t>
      </w:r>
      <w:r w:rsidRPr="00812C16">
        <w:rPr>
          <w:rFonts w:cs="Arial"/>
        </w:rPr>
        <w:t xml:space="preserve">CD44 </w:t>
      </w:r>
      <w:r w:rsidR="005C27A1" w:rsidRPr="00812C16">
        <w:rPr>
          <w:rFonts w:cs="Arial"/>
        </w:rPr>
        <w:t xml:space="preserve">als Tumorstammzellmarker </w:t>
      </w:r>
      <w:r w:rsidRPr="00812C16">
        <w:rPr>
          <w:rFonts w:cs="Arial"/>
        </w:rPr>
        <w:t>für lokal fortgeschrittene Kopf-Hals</w:t>
      </w:r>
      <w:r w:rsidR="005C27A1" w:rsidRPr="00812C16">
        <w:rPr>
          <w:rFonts w:cs="Arial"/>
        </w:rPr>
        <w:t xml:space="preserve"> </w:t>
      </w:r>
      <w:r w:rsidRPr="00812C16">
        <w:rPr>
          <w:rFonts w:cs="Arial"/>
        </w:rPr>
        <w:t xml:space="preserve">Plattenepithelkarzinome bei postoperativer Radiochemotherapie zu </w:t>
      </w:r>
      <w:r w:rsidR="00463781" w:rsidRPr="00812C16">
        <w:rPr>
          <w:rFonts w:cs="Arial"/>
        </w:rPr>
        <w:t>überprüfen</w:t>
      </w:r>
      <w:r w:rsidRPr="00812C16">
        <w:rPr>
          <w:rFonts w:cs="Arial"/>
        </w:rPr>
        <w:t xml:space="preserve">, wurde in dieser Arbeit die CD44-Proteinexpression im prätherapeutischen Tumorgewebematerial mit verschiedenen klinischen Endpunkten korreliert. </w:t>
      </w:r>
      <w:r w:rsidR="00485A5F" w:rsidRPr="00812C16">
        <w:rPr>
          <w:rFonts w:cs="Arial"/>
        </w:rPr>
        <w:t xml:space="preserve">Darüber hinaus </w:t>
      </w:r>
      <w:r w:rsidR="00463781" w:rsidRPr="00812C16">
        <w:rPr>
          <w:rFonts w:cs="Arial"/>
        </w:rPr>
        <w:t>wurde das klinische Outcome unter Einbeziehung</w:t>
      </w:r>
      <w:r w:rsidR="00BA5EE0" w:rsidRPr="00812C16">
        <w:rPr>
          <w:rFonts w:cs="Arial"/>
        </w:rPr>
        <w:t xml:space="preserve"> weiterer</w:t>
      </w:r>
      <w:r w:rsidR="00463781" w:rsidRPr="00812C16">
        <w:rPr>
          <w:rFonts w:cs="Arial"/>
        </w:rPr>
        <w:t xml:space="preserve"> klinisch-pathologischer Parameter mittels uni- und multivariater Analysen berechnet. </w:t>
      </w:r>
      <w:r w:rsidR="00BA5EE0" w:rsidRPr="00812C16">
        <w:rPr>
          <w:rFonts w:cs="Arial"/>
        </w:rPr>
        <w:t>Primärer Endpunkt war die lokoregionäre Tumorkontrolle (LR</w:t>
      </w:r>
      <w:r w:rsidR="00545BAD" w:rsidRPr="00812C16">
        <w:rPr>
          <w:rFonts w:cs="Arial"/>
        </w:rPr>
        <w:t>C</w:t>
      </w:r>
      <w:r w:rsidR="00BA5EE0" w:rsidRPr="00812C16">
        <w:rPr>
          <w:rFonts w:cs="Arial"/>
        </w:rPr>
        <w:t>), sekundäre Endpunkte waren Fernmetastasen-freie</w:t>
      </w:r>
      <w:r w:rsidR="00870573" w:rsidRPr="00812C16">
        <w:rPr>
          <w:rFonts w:cs="Arial"/>
        </w:rPr>
        <w:t xml:space="preserve"> </w:t>
      </w:r>
      <w:r w:rsidR="00BA5EE0" w:rsidRPr="00812C16">
        <w:rPr>
          <w:rFonts w:cs="Arial"/>
        </w:rPr>
        <w:t xml:space="preserve">Überleben </w:t>
      </w:r>
      <w:r w:rsidR="00870573" w:rsidRPr="00812C16">
        <w:rPr>
          <w:rFonts w:cs="Arial"/>
        </w:rPr>
        <w:t xml:space="preserve">(DMS) </w:t>
      </w:r>
      <w:r w:rsidR="00BA5EE0" w:rsidRPr="00812C16">
        <w:rPr>
          <w:rFonts w:cs="Arial"/>
        </w:rPr>
        <w:t>und Gesamtüberleben</w:t>
      </w:r>
      <w:r w:rsidR="00891DD3" w:rsidRPr="00812C16">
        <w:rPr>
          <w:rFonts w:cs="Arial"/>
        </w:rPr>
        <w:t xml:space="preserve"> (OS)</w:t>
      </w:r>
      <w:r w:rsidR="00545BAD" w:rsidRPr="00812C16">
        <w:rPr>
          <w:rFonts w:cs="Arial"/>
          <w:lang w:eastAsia="de-DE"/>
        </w:rPr>
        <w:t>. </w:t>
      </w:r>
    </w:p>
    <w:p w14:paraId="604B658D" w14:textId="77777777" w:rsidR="00066AE4" w:rsidRPr="00812C16" w:rsidRDefault="00C34358" w:rsidP="005547D3">
      <w:pPr>
        <w:pStyle w:val="berschrift3"/>
        <w:rPr>
          <w:rFonts w:eastAsia="Times New Roman"/>
        </w:rPr>
      </w:pPr>
      <w:bookmarkStart w:id="60" w:name="_Toc158006539"/>
      <w:r w:rsidRPr="00812C16">
        <w:rPr>
          <w:rFonts w:eastAsia="Times New Roman"/>
        </w:rPr>
        <w:t xml:space="preserve">Deskription der </w:t>
      </w:r>
      <w:r w:rsidR="00596C8D" w:rsidRPr="00812C16">
        <w:rPr>
          <w:rFonts w:eastAsia="Times New Roman"/>
        </w:rPr>
        <w:t>Ereignis</w:t>
      </w:r>
      <w:r w:rsidR="00D96409" w:rsidRPr="00812C16">
        <w:rPr>
          <w:rFonts w:eastAsia="Times New Roman"/>
        </w:rPr>
        <w:t>zeit</w:t>
      </w:r>
      <w:r w:rsidR="00596C8D" w:rsidRPr="00812C16">
        <w:rPr>
          <w:rFonts w:eastAsia="Times New Roman"/>
        </w:rPr>
        <w:t>daten im Beobachtungszeitraum</w:t>
      </w:r>
      <w:bookmarkEnd w:id="60"/>
    </w:p>
    <w:p w14:paraId="4783AC5C" w14:textId="370150A0" w:rsidR="00F2646B" w:rsidRPr="00812C16" w:rsidRDefault="003B27A7" w:rsidP="003B27A7">
      <w:pPr>
        <w:spacing w:after="360"/>
        <w:rPr>
          <w:rFonts w:cs="Arial"/>
          <w:lang w:eastAsia="de-DE"/>
        </w:rPr>
      </w:pPr>
      <w:r w:rsidRPr="00812C16">
        <w:rPr>
          <w:rFonts w:cs="Arial"/>
          <w:lang w:eastAsia="de-DE"/>
        </w:rPr>
        <w:t>Die Anzahl aller Ereigniss</w:t>
      </w:r>
      <w:r w:rsidR="00850477" w:rsidRPr="00812C16">
        <w:rPr>
          <w:rFonts w:cs="Arial"/>
          <w:lang w:eastAsia="de-DE"/>
        </w:rPr>
        <w:t xml:space="preserve">e für die </w:t>
      </w:r>
      <w:r w:rsidR="00FA1B9A" w:rsidRPr="00812C16">
        <w:rPr>
          <w:rFonts w:cs="Arial"/>
          <w:lang w:eastAsia="de-DE"/>
        </w:rPr>
        <w:t>l</w:t>
      </w:r>
      <w:r w:rsidR="00850477" w:rsidRPr="00812C16">
        <w:rPr>
          <w:rFonts w:cs="Arial"/>
          <w:lang w:eastAsia="de-DE"/>
        </w:rPr>
        <w:t>oko-regionäre Tumorkontrolle</w:t>
      </w:r>
      <w:r w:rsidR="00FA1B9A" w:rsidRPr="00812C16">
        <w:rPr>
          <w:rFonts w:cs="Arial"/>
          <w:lang w:eastAsia="de-DE"/>
        </w:rPr>
        <w:t xml:space="preserve"> (lokales Versagen)</w:t>
      </w:r>
      <w:r w:rsidR="00850477" w:rsidRPr="00812C16">
        <w:rPr>
          <w:rFonts w:cs="Arial"/>
          <w:lang w:eastAsia="de-DE"/>
        </w:rPr>
        <w:t xml:space="preserve">, </w:t>
      </w:r>
      <w:r w:rsidR="00076ED9" w:rsidRPr="00812C16">
        <w:rPr>
          <w:rFonts w:cs="Arial"/>
          <w:lang w:eastAsia="de-DE"/>
        </w:rPr>
        <w:t xml:space="preserve">das </w:t>
      </w:r>
      <w:r w:rsidR="00850477" w:rsidRPr="00812C16">
        <w:rPr>
          <w:rFonts w:cs="Arial"/>
          <w:lang w:eastAsia="de-DE"/>
        </w:rPr>
        <w:t>Fernmetastasen</w:t>
      </w:r>
      <w:r w:rsidR="00FA1B9A" w:rsidRPr="00812C16">
        <w:rPr>
          <w:rFonts w:cs="Arial"/>
          <w:lang w:eastAsia="de-DE"/>
        </w:rPr>
        <w:t>-</w:t>
      </w:r>
      <w:r w:rsidR="00850477" w:rsidRPr="00812C16">
        <w:rPr>
          <w:rFonts w:cs="Arial"/>
          <w:lang w:eastAsia="de-DE"/>
        </w:rPr>
        <w:t>freie</w:t>
      </w:r>
      <w:r w:rsidR="00892815" w:rsidRPr="00812C16">
        <w:rPr>
          <w:rFonts w:cs="Arial"/>
          <w:lang w:eastAsia="de-DE"/>
        </w:rPr>
        <w:t xml:space="preserve">s Überleben </w:t>
      </w:r>
      <w:r w:rsidR="00FA1B9A" w:rsidRPr="00812C16">
        <w:rPr>
          <w:rFonts w:cs="Arial"/>
          <w:lang w:eastAsia="de-DE"/>
        </w:rPr>
        <w:t>(</w:t>
      </w:r>
      <w:r w:rsidR="00F2646B" w:rsidRPr="00812C16">
        <w:rPr>
          <w:rFonts w:cs="Arial"/>
          <w:lang w:eastAsia="de-DE"/>
        </w:rPr>
        <w:t>e</w:t>
      </w:r>
      <w:r w:rsidR="00FA1B9A" w:rsidRPr="00812C16">
        <w:rPr>
          <w:rFonts w:cs="Arial"/>
          <w:lang w:eastAsia="de-DE"/>
        </w:rPr>
        <w:t xml:space="preserve">ntferntes Versagen) </w:t>
      </w:r>
      <w:r w:rsidR="00076ED9" w:rsidRPr="00812C16">
        <w:rPr>
          <w:rFonts w:cs="Arial"/>
          <w:lang w:eastAsia="de-DE"/>
        </w:rPr>
        <w:t>und</w:t>
      </w:r>
      <w:r w:rsidR="00850477" w:rsidRPr="00812C16">
        <w:rPr>
          <w:rFonts w:cs="Arial"/>
          <w:lang w:eastAsia="de-DE"/>
        </w:rPr>
        <w:t xml:space="preserve"> für das </w:t>
      </w:r>
      <w:r w:rsidR="00892815" w:rsidRPr="00812C16">
        <w:rPr>
          <w:rFonts w:cs="Arial"/>
          <w:lang w:eastAsia="de-DE"/>
        </w:rPr>
        <w:t>Gesamtüberleben</w:t>
      </w:r>
      <w:r w:rsidR="00FA1B9A" w:rsidRPr="00812C16">
        <w:rPr>
          <w:rFonts w:cs="Arial"/>
          <w:lang w:eastAsia="de-DE"/>
        </w:rPr>
        <w:t xml:space="preserve"> (Tod)</w:t>
      </w:r>
      <w:r w:rsidR="00892815" w:rsidRPr="00812C16">
        <w:rPr>
          <w:rFonts w:cs="Arial"/>
          <w:lang w:eastAsia="de-DE"/>
        </w:rPr>
        <w:t>,</w:t>
      </w:r>
      <w:r w:rsidR="00850477" w:rsidRPr="00812C16">
        <w:rPr>
          <w:rFonts w:cs="Arial"/>
          <w:lang w:eastAsia="de-DE"/>
        </w:rPr>
        <w:t xml:space="preserve"> </w:t>
      </w:r>
      <w:r w:rsidRPr="00812C16">
        <w:rPr>
          <w:rFonts w:cs="Arial"/>
          <w:lang w:eastAsia="de-DE"/>
        </w:rPr>
        <w:t>die im Beobachtungszeitraum</w:t>
      </w:r>
      <w:r w:rsidR="00FA1B9A" w:rsidRPr="00812C16">
        <w:rPr>
          <w:rFonts w:cs="Arial"/>
          <w:lang w:eastAsia="de-DE"/>
        </w:rPr>
        <w:t xml:space="preserve"> sowohl</w:t>
      </w:r>
      <w:r w:rsidR="0077430B" w:rsidRPr="00812C16">
        <w:rPr>
          <w:rFonts w:cs="Arial"/>
          <w:lang w:eastAsia="de-DE"/>
        </w:rPr>
        <w:t xml:space="preserve"> im </w:t>
      </w:r>
      <w:r w:rsidR="00FA1B9A" w:rsidRPr="00812C16">
        <w:rPr>
          <w:rFonts w:cs="Arial"/>
          <w:lang w:eastAsia="de-DE"/>
        </w:rPr>
        <w:t xml:space="preserve">gesamten </w:t>
      </w:r>
      <w:r w:rsidR="0077430B" w:rsidRPr="00812C16">
        <w:rPr>
          <w:rFonts w:cs="Arial"/>
          <w:lang w:eastAsia="de-DE"/>
        </w:rPr>
        <w:t>Patientenkollektiv</w:t>
      </w:r>
      <w:r w:rsidR="00FA1B9A" w:rsidRPr="00812C16">
        <w:rPr>
          <w:rFonts w:cs="Arial"/>
          <w:lang w:eastAsia="de-DE"/>
        </w:rPr>
        <w:t xml:space="preserve"> als auch in der Subgruppe der HPV16 D</w:t>
      </w:r>
      <w:r w:rsidR="00F2646B" w:rsidRPr="00812C16">
        <w:rPr>
          <w:rFonts w:cs="Arial"/>
          <w:lang w:eastAsia="de-DE"/>
        </w:rPr>
        <w:t>NA-</w:t>
      </w:r>
      <w:r w:rsidR="00FA1B9A" w:rsidRPr="00812C16">
        <w:rPr>
          <w:rFonts w:cs="Arial"/>
          <w:lang w:eastAsia="de-DE"/>
        </w:rPr>
        <w:t xml:space="preserve">positiven und </w:t>
      </w:r>
      <w:r w:rsidR="00F2646B" w:rsidRPr="00812C16">
        <w:rPr>
          <w:rFonts w:cs="Arial"/>
          <w:lang w:eastAsia="de-DE"/>
        </w:rPr>
        <w:t>-</w:t>
      </w:r>
      <w:r w:rsidR="00FA1B9A" w:rsidRPr="00812C16">
        <w:rPr>
          <w:rFonts w:cs="Arial"/>
          <w:lang w:eastAsia="de-DE"/>
        </w:rPr>
        <w:t>negativen Kohorte</w:t>
      </w:r>
      <w:r w:rsidR="00F2646B" w:rsidRPr="00812C16">
        <w:rPr>
          <w:rFonts w:cs="Arial"/>
          <w:lang w:eastAsia="de-DE"/>
        </w:rPr>
        <w:t xml:space="preserve"> </w:t>
      </w:r>
      <w:r w:rsidR="00892815" w:rsidRPr="00812C16">
        <w:rPr>
          <w:rFonts w:cs="Arial"/>
          <w:lang w:eastAsia="de-DE"/>
        </w:rPr>
        <w:t>erfasst wurden</w:t>
      </w:r>
      <w:r w:rsidR="0077430B" w:rsidRPr="00812C16">
        <w:rPr>
          <w:rFonts w:cs="Arial"/>
          <w:lang w:eastAsia="de-DE"/>
        </w:rPr>
        <w:t>,</w:t>
      </w:r>
      <w:r w:rsidRPr="00812C16">
        <w:rPr>
          <w:rFonts w:cs="Arial"/>
          <w:lang w:eastAsia="de-DE"/>
        </w:rPr>
        <w:t xml:space="preserve"> sind </w:t>
      </w:r>
      <w:r w:rsidR="00892815" w:rsidRPr="00812C16">
        <w:rPr>
          <w:rFonts w:cs="Arial"/>
          <w:color w:val="000000" w:themeColor="text1"/>
          <w:lang w:eastAsia="de-DE"/>
        </w:rPr>
        <w:t xml:space="preserve">in </w:t>
      </w:r>
      <w:r w:rsidR="00892815" w:rsidRPr="00812C16">
        <w:rPr>
          <w:rFonts w:cs="Arial"/>
          <w:color w:val="000000" w:themeColor="text1"/>
          <w:lang w:eastAsia="de-DE"/>
        </w:rPr>
        <w:fldChar w:fldCharType="begin"/>
      </w:r>
      <w:r w:rsidR="00892815" w:rsidRPr="00812C16">
        <w:rPr>
          <w:rFonts w:cs="Arial"/>
          <w:color w:val="000000" w:themeColor="text1"/>
          <w:lang w:eastAsia="de-DE"/>
        </w:rPr>
        <w:instrText xml:space="preserve"> REF _Ref90727684 \h  \* MERGEFORMAT </w:instrText>
      </w:r>
      <w:r w:rsidR="00892815" w:rsidRPr="00812C16">
        <w:rPr>
          <w:rFonts w:cs="Arial"/>
          <w:color w:val="000000" w:themeColor="text1"/>
          <w:lang w:eastAsia="de-DE"/>
        </w:rPr>
      </w:r>
      <w:r w:rsidR="00892815" w:rsidRPr="00812C16">
        <w:rPr>
          <w:rFonts w:cs="Arial"/>
          <w:color w:val="000000" w:themeColor="text1"/>
          <w:lang w:eastAsia="de-DE"/>
        </w:rPr>
        <w:fldChar w:fldCharType="separate"/>
      </w:r>
      <w:r w:rsidR="00F67803" w:rsidRPr="00F67803">
        <w:rPr>
          <w:rFonts w:cs="Arial"/>
          <w:color w:val="000000" w:themeColor="text1"/>
        </w:rPr>
        <w:t xml:space="preserve">Tabelle </w:t>
      </w:r>
      <w:r w:rsidR="00F67803" w:rsidRPr="00F67803">
        <w:rPr>
          <w:rFonts w:cs="Arial"/>
          <w:noProof/>
          <w:color w:val="000000" w:themeColor="text1"/>
        </w:rPr>
        <w:t>4</w:t>
      </w:r>
      <w:r w:rsidR="00F67803" w:rsidRPr="00F67803">
        <w:rPr>
          <w:rFonts w:cs="Arial"/>
          <w:noProof/>
          <w:color w:val="000000" w:themeColor="text1"/>
        </w:rPr>
        <w:noBreakHyphen/>
        <w:t>6</w:t>
      </w:r>
      <w:r w:rsidR="00892815" w:rsidRPr="00812C16">
        <w:rPr>
          <w:rFonts w:cs="Arial"/>
          <w:color w:val="000000" w:themeColor="text1"/>
          <w:lang w:eastAsia="de-DE"/>
        </w:rPr>
        <w:fldChar w:fldCharType="end"/>
      </w:r>
      <w:r w:rsidR="004A55E3" w:rsidRPr="00812C16">
        <w:rPr>
          <w:rFonts w:cs="Arial"/>
          <w:color w:val="000000" w:themeColor="text1"/>
          <w:lang w:eastAsia="de-DE"/>
        </w:rPr>
        <w:t xml:space="preserve"> und in Anlage </w:t>
      </w:r>
      <w:r w:rsidR="00892815" w:rsidRPr="00812C16">
        <w:rPr>
          <w:rFonts w:cs="Arial"/>
          <w:color w:val="000000" w:themeColor="text1"/>
          <w:lang w:eastAsia="de-DE"/>
        </w:rPr>
        <w:t xml:space="preserve">, </w:t>
      </w:r>
      <w:r w:rsidR="00BB48AC" w:rsidRPr="00812C16">
        <w:rPr>
          <w:rFonts w:cs="Arial"/>
          <w:color w:val="000000" w:themeColor="text1"/>
          <w:lang w:eastAsia="de-DE"/>
        </w:rPr>
        <w:t xml:space="preserve">entsprechend </w:t>
      </w:r>
      <w:r w:rsidR="00FC771B" w:rsidRPr="00812C16">
        <w:rPr>
          <w:rFonts w:cs="Arial"/>
          <w:color w:val="000000" w:themeColor="text1"/>
          <w:lang w:eastAsia="de-DE"/>
        </w:rPr>
        <w:t xml:space="preserve">der </w:t>
      </w:r>
      <w:r w:rsidR="00BB48AC" w:rsidRPr="00812C16">
        <w:rPr>
          <w:rFonts w:cs="Arial"/>
          <w:color w:val="000000" w:themeColor="text1"/>
          <w:lang w:eastAsia="de-DE"/>
        </w:rPr>
        <w:t xml:space="preserve">Tumorlokalisation </w:t>
      </w:r>
      <w:r w:rsidRPr="00812C16">
        <w:rPr>
          <w:rFonts w:cs="Arial"/>
          <w:lang w:eastAsia="de-DE"/>
        </w:rPr>
        <w:t xml:space="preserve">dargestellt. </w:t>
      </w:r>
    </w:p>
    <w:p w14:paraId="217832F8" w14:textId="28D14867" w:rsidR="001C2E99" w:rsidRPr="00812C16" w:rsidRDefault="003B27A7" w:rsidP="00C808A2">
      <w:pPr>
        <w:pStyle w:val="Beschriftung"/>
        <w:keepNext/>
        <w:spacing w:after="120" w:line="240" w:lineRule="auto"/>
        <w:rPr>
          <w:rFonts w:cs="Arial"/>
          <w:b/>
          <w:bCs/>
          <w:i w:val="0"/>
          <w:iCs w:val="0"/>
          <w:sz w:val="20"/>
          <w:szCs w:val="20"/>
        </w:rPr>
      </w:pPr>
      <w:bookmarkStart w:id="61" w:name="_Ref90727684"/>
      <w:bookmarkStart w:id="62" w:name="_Ref90727678"/>
      <w:bookmarkStart w:id="63" w:name="_Toc180788396"/>
      <w:r w:rsidRPr="00812C16">
        <w:rPr>
          <w:rFonts w:cs="Arial"/>
          <w:b/>
          <w:bCs/>
          <w:i w:val="0"/>
          <w:iCs w:val="0"/>
          <w:color w:val="000000" w:themeColor="text1"/>
          <w:sz w:val="20"/>
          <w:szCs w:val="20"/>
        </w:rPr>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4</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6</w:t>
      </w:r>
      <w:r w:rsidR="00A126D9" w:rsidRPr="00812C16">
        <w:rPr>
          <w:rFonts w:cs="Arial"/>
          <w:b/>
          <w:bCs/>
          <w:i w:val="0"/>
          <w:iCs w:val="0"/>
          <w:color w:val="000000" w:themeColor="text1"/>
          <w:sz w:val="20"/>
          <w:szCs w:val="20"/>
        </w:rPr>
        <w:fldChar w:fldCharType="end"/>
      </w:r>
      <w:bookmarkEnd w:id="61"/>
      <w:r w:rsidRPr="00812C16">
        <w:rPr>
          <w:rFonts w:cs="Arial"/>
          <w:b/>
          <w:bCs/>
          <w:i w:val="0"/>
          <w:iCs w:val="0"/>
          <w:color w:val="000000" w:themeColor="text1"/>
          <w:sz w:val="20"/>
          <w:szCs w:val="20"/>
        </w:rPr>
        <w:t>:  Anzahl der Ereignisse</w:t>
      </w:r>
      <w:r w:rsidR="000A27AE" w:rsidRPr="00812C16">
        <w:rPr>
          <w:rFonts w:cs="Arial"/>
          <w:b/>
          <w:bCs/>
          <w:i w:val="0"/>
          <w:iCs w:val="0"/>
          <w:color w:val="000000" w:themeColor="text1"/>
          <w:sz w:val="20"/>
          <w:szCs w:val="20"/>
        </w:rPr>
        <w:t xml:space="preserve"> für die klinischen Endpunkte</w:t>
      </w:r>
      <w:r w:rsidRPr="00812C16">
        <w:rPr>
          <w:rFonts w:cs="Arial"/>
          <w:b/>
          <w:bCs/>
          <w:i w:val="0"/>
          <w:iCs w:val="0"/>
          <w:color w:val="000000" w:themeColor="text1"/>
          <w:sz w:val="20"/>
          <w:szCs w:val="20"/>
        </w:rPr>
        <w:t xml:space="preserve"> im Beobachtungszeitraum pro Tumorlokalisation</w:t>
      </w:r>
      <w:bookmarkEnd w:id="62"/>
      <w:r w:rsidR="000A27AE" w:rsidRPr="00812C16">
        <w:rPr>
          <w:rFonts w:cs="Arial"/>
          <w:b/>
          <w:bCs/>
          <w:i w:val="0"/>
          <w:iCs w:val="0"/>
          <w:color w:val="000000" w:themeColor="text1"/>
          <w:sz w:val="20"/>
          <w:szCs w:val="20"/>
        </w:rPr>
        <w:t xml:space="preserve"> vom gesamten Patientenkollektiv</w:t>
      </w:r>
      <w:r w:rsidR="00260E9C" w:rsidRPr="00812C16">
        <w:rPr>
          <w:rFonts w:cs="Arial"/>
          <w:b/>
          <w:bCs/>
          <w:i w:val="0"/>
          <w:iCs w:val="0"/>
          <w:color w:val="000000" w:themeColor="text1"/>
          <w:sz w:val="20"/>
          <w:szCs w:val="20"/>
        </w:rPr>
        <w:t xml:space="preserve">. </w:t>
      </w:r>
      <w:r w:rsidR="00260E9C" w:rsidRPr="00812C16">
        <w:rPr>
          <w:rFonts w:cs="Arial"/>
          <w:i w:val="0"/>
          <w:iCs w:val="0"/>
          <w:color w:val="000000" w:themeColor="text1"/>
          <w:sz w:val="20"/>
          <w:szCs w:val="20"/>
        </w:rPr>
        <w:t>N=Anzahl der auswertbaren Fälle</w:t>
      </w:r>
      <w:bookmarkEnd w:id="63"/>
      <w:r w:rsidR="00260E9C"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3F66A6" w:rsidRPr="00812C16" w14:paraId="1E14EE6A" w14:textId="77777777" w:rsidTr="00E10DBC">
        <w:trPr>
          <w:tblHeader/>
        </w:trPr>
        <w:tc>
          <w:tcPr>
            <w:tcW w:w="2835"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1B481D00" w14:textId="77777777" w:rsidR="003F66A6" w:rsidRPr="00812C16" w:rsidRDefault="003F66A6" w:rsidP="006678A2">
            <w:pPr>
              <w:spacing w:before="30" w:after="30" w:line="240" w:lineRule="auto"/>
              <w:jc w:val="left"/>
              <w:rPr>
                <w:rFonts w:cs="Arial"/>
                <w:b/>
                <w:bCs/>
                <w:color w:val="FFFFFF" w:themeColor="background1"/>
                <w:sz w:val="18"/>
                <w:szCs w:val="18"/>
                <w:lang w:eastAsia="de-DE"/>
              </w:rPr>
            </w:pPr>
            <w:r w:rsidRPr="00812C16">
              <w:rPr>
                <w:rFonts w:cs="Arial"/>
                <w:b/>
                <w:bCs/>
                <w:color w:val="FFFFFF" w:themeColor="background1"/>
                <w:sz w:val="18"/>
                <w:szCs w:val="18"/>
                <w:lang w:eastAsia="de-DE"/>
              </w:rPr>
              <w:t>Endpunkte</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88D58B9"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Insgesamt</w:t>
            </w:r>
          </w:p>
        </w:tc>
        <w:tc>
          <w:tcPr>
            <w:tcW w:w="142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2191953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Mundhöhle</w:t>
            </w:r>
          </w:p>
        </w:tc>
        <w:tc>
          <w:tcPr>
            <w:tcW w:w="0" w:type="auto"/>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69170B71"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Oropharynx</w:t>
            </w:r>
          </w:p>
        </w:tc>
        <w:tc>
          <w:tcPr>
            <w:tcW w:w="1633"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41ED66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Hypopharynx</w:t>
            </w:r>
          </w:p>
        </w:tc>
      </w:tr>
      <w:tr w:rsidR="003F66A6" w:rsidRPr="00812C16" w14:paraId="7806FA30" w14:textId="77777777" w:rsidTr="00E10DBC">
        <w:tc>
          <w:tcPr>
            <w:tcW w:w="2835"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40B11AE" w14:textId="77777777" w:rsidR="003F66A6" w:rsidRPr="00812C16" w:rsidRDefault="003F66A6" w:rsidP="006678A2">
            <w:pPr>
              <w:spacing w:before="30" w:after="30" w:line="240" w:lineRule="auto"/>
              <w:jc w:val="left"/>
              <w:rPr>
                <w:rFonts w:cs="Arial"/>
                <w:b/>
                <w:bCs/>
                <w:i/>
                <w:iCs/>
                <w:sz w:val="18"/>
                <w:szCs w:val="18"/>
                <w:lang w:eastAsia="de-DE"/>
              </w:rPr>
            </w:pPr>
            <w:r w:rsidRPr="00812C16">
              <w:rPr>
                <w:rFonts w:cs="Arial"/>
                <w:b/>
                <w:bCs/>
                <w:i/>
                <w:iCs/>
                <w:sz w:val="18"/>
                <w:szCs w:val="18"/>
                <w:lang w:eastAsia="de-DE"/>
              </w:rPr>
              <w:t>Alle Patienten</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B20A64" w14:textId="77777777" w:rsidR="003F66A6" w:rsidRPr="00812C16" w:rsidRDefault="003F66A6" w:rsidP="0029765C">
            <w:pPr>
              <w:spacing w:before="30" w:after="30" w:line="240" w:lineRule="auto"/>
              <w:jc w:val="right"/>
              <w:rPr>
                <w:rFonts w:cs="Arial"/>
                <w:sz w:val="18"/>
                <w:szCs w:val="18"/>
                <w:lang w:eastAsia="de-DE"/>
              </w:rPr>
            </w:pPr>
            <w:r w:rsidRPr="00812C16">
              <w:rPr>
                <w:rFonts w:cs="Arial"/>
                <w:sz w:val="18"/>
                <w:szCs w:val="18"/>
                <w:lang w:eastAsia="de-DE"/>
              </w:rPr>
              <w:t>N= 221</w:t>
            </w:r>
          </w:p>
        </w:tc>
        <w:tc>
          <w:tcPr>
            <w:tcW w:w="142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6445716C"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N=60</w:t>
            </w:r>
          </w:p>
        </w:tc>
        <w:tc>
          <w:tcPr>
            <w:tcW w:w="0" w:type="auto"/>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1D26E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N=126</w:t>
            </w:r>
          </w:p>
        </w:tc>
        <w:tc>
          <w:tcPr>
            <w:tcW w:w="1633"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46B6B7B"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N=35</w:t>
            </w:r>
          </w:p>
        </w:tc>
      </w:tr>
      <w:tr w:rsidR="003F66A6" w:rsidRPr="00812C16" w14:paraId="2BD77E41" w14:textId="77777777" w:rsidTr="003F66A6">
        <w:tc>
          <w:tcPr>
            <w:tcW w:w="2835" w:type="dxa"/>
            <w:tcBorders>
              <w:top w:val="single" w:sz="4" w:space="0" w:color="000000" w:themeColor="text1"/>
              <w:bottom w:val="nil"/>
              <w:right w:val="nil"/>
            </w:tcBorders>
            <w:tcMar>
              <w:top w:w="75" w:type="dxa"/>
              <w:left w:w="75" w:type="dxa"/>
              <w:bottom w:w="75" w:type="dxa"/>
              <w:right w:w="75" w:type="dxa"/>
            </w:tcMar>
            <w:hideMark/>
          </w:tcPr>
          <w:p w14:paraId="3EB8FF98"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Lokales Versagen</w:t>
            </w:r>
          </w:p>
        </w:tc>
        <w:tc>
          <w:tcPr>
            <w:tcW w:w="1559" w:type="dxa"/>
            <w:tcBorders>
              <w:top w:val="single" w:sz="4" w:space="0" w:color="000000" w:themeColor="text1"/>
              <w:bottom w:val="nil"/>
              <w:right w:val="nil"/>
            </w:tcBorders>
            <w:tcMar>
              <w:top w:w="75" w:type="dxa"/>
              <w:left w:w="75" w:type="dxa"/>
              <w:bottom w:w="75" w:type="dxa"/>
              <w:right w:w="75" w:type="dxa"/>
            </w:tcMar>
            <w:hideMark/>
          </w:tcPr>
          <w:p w14:paraId="5A32434F" w14:textId="77777777" w:rsidR="003F66A6" w:rsidRPr="00812C16" w:rsidRDefault="003F66A6" w:rsidP="00DD653C">
            <w:pPr>
              <w:spacing w:before="30" w:after="30" w:line="240" w:lineRule="auto"/>
              <w:jc w:val="right"/>
              <w:rPr>
                <w:rFonts w:cs="Arial"/>
                <w:sz w:val="18"/>
                <w:szCs w:val="18"/>
                <w:lang w:eastAsia="de-DE"/>
              </w:rPr>
            </w:pPr>
            <w:r w:rsidRPr="00812C16">
              <w:rPr>
                <w:rFonts w:cs="Arial"/>
                <w:sz w:val="18"/>
                <w:szCs w:val="18"/>
                <w:lang w:eastAsia="de-DE"/>
              </w:rPr>
              <w:t>29 (13,1%)</w:t>
            </w:r>
          </w:p>
        </w:tc>
        <w:tc>
          <w:tcPr>
            <w:tcW w:w="1428" w:type="dxa"/>
            <w:tcBorders>
              <w:top w:val="single" w:sz="4" w:space="0" w:color="000000" w:themeColor="text1"/>
              <w:bottom w:val="nil"/>
              <w:right w:val="nil"/>
            </w:tcBorders>
            <w:tcMar>
              <w:top w:w="75" w:type="dxa"/>
              <w:left w:w="75" w:type="dxa"/>
              <w:bottom w:w="75" w:type="dxa"/>
              <w:right w:w="75" w:type="dxa"/>
            </w:tcMar>
            <w:hideMark/>
          </w:tcPr>
          <w:p w14:paraId="554D066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15</w:t>
            </w:r>
            <w:r w:rsidR="00DD653C" w:rsidRPr="00812C16">
              <w:rPr>
                <w:rFonts w:cs="Arial"/>
                <w:sz w:val="18"/>
                <w:szCs w:val="18"/>
                <w:lang w:eastAsia="de-DE"/>
              </w:rPr>
              <w:t xml:space="preserve"> </w:t>
            </w:r>
            <w:r w:rsidRPr="00812C16">
              <w:rPr>
                <w:rFonts w:cs="Arial"/>
                <w:sz w:val="18"/>
                <w:szCs w:val="18"/>
                <w:lang w:eastAsia="de-DE"/>
              </w:rPr>
              <w:t>(25,0%)</w:t>
            </w:r>
          </w:p>
        </w:tc>
        <w:tc>
          <w:tcPr>
            <w:tcW w:w="0" w:type="auto"/>
            <w:tcBorders>
              <w:top w:val="single" w:sz="4" w:space="0" w:color="000000" w:themeColor="text1"/>
              <w:bottom w:val="nil"/>
              <w:right w:val="nil"/>
            </w:tcBorders>
            <w:tcMar>
              <w:top w:w="75" w:type="dxa"/>
              <w:left w:w="75" w:type="dxa"/>
              <w:bottom w:w="75" w:type="dxa"/>
              <w:right w:w="75" w:type="dxa"/>
            </w:tcMar>
            <w:hideMark/>
          </w:tcPr>
          <w:p w14:paraId="06FBECC0"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11</w:t>
            </w:r>
            <w:r w:rsidR="00DD653C" w:rsidRPr="00812C16">
              <w:rPr>
                <w:rFonts w:cs="Arial"/>
                <w:sz w:val="18"/>
                <w:szCs w:val="18"/>
                <w:lang w:eastAsia="de-DE"/>
              </w:rPr>
              <w:t xml:space="preserve"> </w:t>
            </w:r>
            <w:r w:rsidRPr="00812C16">
              <w:rPr>
                <w:rFonts w:cs="Arial"/>
                <w:sz w:val="18"/>
                <w:szCs w:val="18"/>
                <w:lang w:eastAsia="de-DE"/>
              </w:rPr>
              <w:t>(8,7%)</w:t>
            </w:r>
          </w:p>
        </w:tc>
        <w:tc>
          <w:tcPr>
            <w:tcW w:w="1633" w:type="dxa"/>
            <w:tcBorders>
              <w:top w:val="single" w:sz="4" w:space="0" w:color="000000" w:themeColor="text1"/>
              <w:bottom w:val="nil"/>
              <w:right w:val="nil"/>
            </w:tcBorders>
            <w:tcMar>
              <w:top w:w="75" w:type="dxa"/>
              <w:left w:w="75" w:type="dxa"/>
              <w:bottom w:w="75" w:type="dxa"/>
              <w:right w:w="75" w:type="dxa"/>
            </w:tcMar>
            <w:hideMark/>
          </w:tcPr>
          <w:p w14:paraId="09B625D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w:t>
            </w:r>
            <w:r w:rsidR="00DD653C" w:rsidRPr="00812C16">
              <w:rPr>
                <w:rFonts w:cs="Arial"/>
                <w:sz w:val="18"/>
                <w:szCs w:val="18"/>
                <w:lang w:eastAsia="de-DE"/>
              </w:rPr>
              <w:t xml:space="preserve"> </w:t>
            </w:r>
            <w:r w:rsidRPr="00812C16">
              <w:rPr>
                <w:rFonts w:cs="Arial"/>
                <w:sz w:val="18"/>
                <w:szCs w:val="18"/>
                <w:lang w:eastAsia="de-DE"/>
              </w:rPr>
              <w:t>(8,6%)</w:t>
            </w:r>
          </w:p>
        </w:tc>
      </w:tr>
      <w:tr w:rsidR="003F66A6" w:rsidRPr="00812C16" w14:paraId="2BC1F7EE" w14:textId="77777777" w:rsidTr="003F66A6">
        <w:tc>
          <w:tcPr>
            <w:tcW w:w="2835" w:type="dxa"/>
            <w:tcBorders>
              <w:top w:val="nil"/>
              <w:bottom w:val="nil"/>
              <w:right w:val="nil"/>
            </w:tcBorders>
            <w:tcMar>
              <w:top w:w="75" w:type="dxa"/>
              <w:left w:w="75" w:type="dxa"/>
              <w:bottom w:w="75" w:type="dxa"/>
              <w:right w:w="75" w:type="dxa"/>
            </w:tcMar>
          </w:tcPr>
          <w:p w14:paraId="05135DD5"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Entferntes Versagen</w:t>
            </w:r>
          </w:p>
        </w:tc>
        <w:tc>
          <w:tcPr>
            <w:tcW w:w="1559" w:type="dxa"/>
            <w:tcBorders>
              <w:top w:val="nil"/>
              <w:bottom w:val="nil"/>
              <w:right w:val="nil"/>
            </w:tcBorders>
            <w:tcMar>
              <w:top w:w="75" w:type="dxa"/>
              <w:left w:w="75" w:type="dxa"/>
              <w:bottom w:w="75" w:type="dxa"/>
              <w:right w:w="75" w:type="dxa"/>
            </w:tcMar>
          </w:tcPr>
          <w:p w14:paraId="53035C2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42 (19,0%)</w:t>
            </w:r>
          </w:p>
        </w:tc>
        <w:tc>
          <w:tcPr>
            <w:tcW w:w="1428" w:type="dxa"/>
            <w:tcBorders>
              <w:top w:val="nil"/>
              <w:bottom w:val="nil"/>
              <w:right w:val="nil"/>
            </w:tcBorders>
            <w:tcMar>
              <w:top w:w="75" w:type="dxa"/>
              <w:left w:w="75" w:type="dxa"/>
              <w:bottom w:w="75" w:type="dxa"/>
              <w:right w:w="75" w:type="dxa"/>
            </w:tcMar>
          </w:tcPr>
          <w:p w14:paraId="42F3A268"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18 (30,0%)</w:t>
            </w:r>
          </w:p>
        </w:tc>
        <w:tc>
          <w:tcPr>
            <w:tcW w:w="0" w:type="auto"/>
            <w:tcBorders>
              <w:top w:val="nil"/>
              <w:bottom w:val="nil"/>
              <w:right w:val="nil"/>
            </w:tcBorders>
            <w:tcMar>
              <w:top w:w="75" w:type="dxa"/>
              <w:left w:w="75" w:type="dxa"/>
              <w:bottom w:w="75" w:type="dxa"/>
              <w:right w:w="75" w:type="dxa"/>
            </w:tcMar>
          </w:tcPr>
          <w:p w14:paraId="17AA3FE2"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14</w:t>
            </w:r>
            <w:r w:rsidR="00DD653C" w:rsidRPr="00812C16">
              <w:rPr>
                <w:rFonts w:cs="Arial"/>
                <w:sz w:val="18"/>
                <w:szCs w:val="18"/>
                <w:lang w:eastAsia="de-DE"/>
              </w:rPr>
              <w:t xml:space="preserve"> </w:t>
            </w:r>
            <w:r w:rsidRPr="00812C16">
              <w:rPr>
                <w:rFonts w:cs="Arial"/>
                <w:sz w:val="18"/>
                <w:szCs w:val="18"/>
                <w:lang w:eastAsia="de-DE"/>
              </w:rPr>
              <w:t>(11,1%)</w:t>
            </w:r>
          </w:p>
        </w:tc>
        <w:tc>
          <w:tcPr>
            <w:tcW w:w="1633" w:type="dxa"/>
            <w:tcBorders>
              <w:top w:val="nil"/>
              <w:bottom w:val="nil"/>
              <w:right w:val="nil"/>
            </w:tcBorders>
            <w:tcMar>
              <w:top w:w="75" w:type="dxa"/>
              <w:left w:w="75" w:type="dxa"/>
              <w:bottom w:w="75" w:type="dxa"/>
              <w:right w:w="75" w:type="dxa"/>
            </w:tcMar>
          </w:tcPr>
          <w:p w14:paraId="79617B3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10 (28,6%)</w:t>
            </w:r>
          </w:p>
        </w:tc>
      </w:tr>
      <w:tr w:rsidR="003F66A6" w:rsidRPr="00812C16" w14:paraId="40C1CA9C" w14:textId="77777777" w:rsidTr="00596B3B">
        <w:trPr>
          <w:trHeight w:val="14"/>
        </w:trPr>
        <w:tc>
          <w:tcPr>
            <w:tcW w:w="2835" w:type="dxa"/>
            <w:tcBorders>
              <w:top w:val="nil"/>
              <w:bottom w:val="nil"/>
              <w:right w:val="nil"/>
            </w:tcBorders>
            <w:tcMar>
              <w:top w:w="75" w:type="dxa"/>
              <w:left w:w="75" w:type="dxa"/>
              <w:bottom w:w="75" w:type="dxa"/>
              <w:right w:w="75" w:type="dxa"/>
            </w:tcMar>
          </w:tcPr>
          <w:p w14:paraId="4B51296C" w14:textId="77777777" w:rsidR="003F66A6" w:rsidRPr="00812C16" w:rsidRDefault="003F66A6" w:rsidP="006678A2">
            <w:pPr>
              <w:spacing w:before="30" w:after="30" w:line="240" w:lineRule="auto"/>
              <w:jc w:val="left"/>
              <w:rPr>
                <w:rFonts w:cs="Arial"/>
                <w:sz w:val="18"/>
                <w:szCs w:val="18"/>
                <w:lang w:eastAsia="de-DE"/>
              </w:rPr>
            </w:pPr>
            <w:r w:rsidRPr="00812C16">
              <w:rPr>
                <w:rFonts w:cs="Arial"/>
                <w:sz w:val="18"/>
                <w:szCs w:val="18"/>
                <w:lang w:eastAsia="de-DE"/>
              </w:rPr>
              <w:t>Tod</w:t>
            </w:r>
          </w:p>
        </w:tc>
        <w:tc>
          <w:tcPr>
            <w:tcW w:w="1559" w:type="dxa"/>
            <w:tcBorders>
              <w:top w:val="nil"/>
              <w:bottom w:val="nil"/>
              <w:right w:val="nil"/>
            </w:tcBorders>
            <w:tcMar>
              <w:top w:w="75" w:type="dxa"/>
              <w:left w:w="75" w:type="dxa"/>
              <w:bottom w:w="75" w:type="dxa"/>
              <w:right w:w="75" w:type="dxa"/>
            </w:tcMar>
          </w:tcPr>
          <w:p w14:paraId="03AEE469"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70</w:t>
            </w:r>
            <w:r w:rsidR="00DD653C" w:rsidRPr="00812C16">
              <w:rPr>
                <w:rFonts w:cs="Arial"/>
                <w:sz w:val="18"/>
                <w:szCs w:val="18"/>
                <w:lang w:eastAsia="de-DE"/>
              </w:rPr>
              <w:t xml:space="preserve"> </w:t>
            </w:r>
            <w:r w:rsidRPr="00812C16">
              <w:rPr>
                <w:rFonts w:cs="Arial"/>
                <w:sz w:val="18"/>
                <w:szCs w:val="18"/>
                <w:lang w:eastAsia="de-DE"/>
              </w:rPr>
              <w:t>(31,7%)</w:t>
            </w:r>
          </w:p>
        </w:tc>
        <w:tc>
          <w:tcPr>
            <w:tcW w:w="1428" w:type="dxa"/>
            <w:tcBorders>
              <w:top w:val="nil"/>
              <w:bottom w:val="nil"/>
              <w:right w:val="nil"/>
            </w:tcBorders>
            <w:tcMar>
              <w:top w:w="75" w:type="dxa"/>
              <w:left w:w="75" w:type="dxa"/>
              <w:bottom w:w="75" w:type="dxa"/>
              <w:right w:w="75" w:type="dxa"/>
            </w:tcMar>
          </w:tcPr>
          <w:p w14:paraId="677D514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28</w:t>
            </w:r>
            <w:r w:rsidR="00DD653C" w:rsidRPr="00812C16">
              <w:rPr>
                <w:rFonts w:cs="Arial"/>
                <w:sz w:val="18"/>
                <w:szCs w:val="18"/>
                <w:lang w:eastAsia="de-DE"/>
              </w:rPr>
              <w:t xml:space="preserve"> </w:t>
            </w:r>
            <w:r w:rsidRPr="00812C16">
              <w:rPr>
                <w:rFonts w:cs="Arial"/>
                <w:sz w:val="18"/>
                <w:szCs w:val="18"/>
                <w:lang w:eastAsia="de-DE"/>
              </w:rPr>
              <w:t>(46,7%)</w:t>
            </w:r>
          </w:p>
        </w:tc>
        <w:tc>
          <w:tcPr>
            <w:tcW w:w="0" w:type="auto"/>
            <w:tcBorders>
              <w:top w:val="nil"/>
              <w:bottom w:val="nil"/>
              <w:right w:val="nil"/>
            </w:tcBorders>
            <w:tcMar>
              <w:top w:w="75" w:type="dxa"/>
              <w:left w:w="75" w:type="dxa"/>
              <w:bottom w:w="75" w:type="dxa"/>
              <w:right w:w="75" w:type="dxa"/>
            </w:tcMar>
          </w:tcPr>
          <w:p w14:paraId="4DA324E5"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34</w:t>
            </w:r>
            <w:r w:rsidR="00DD653C" w:rsidRPr="00812C16">
              <w:rPr>
                <w:rFonts w:cs="Arial"/>
                <w:sz w:val="18"/>
                <w:szCs w:val="18"/>
                <w:lang w:eastAsia="de-DE"/>
              </w:rPr>
              <w:t xml:space="preserve"> </w:t>
            </w:r>
            <w:r w:rsidRPr="00812C16">
              <w:rPr>
                <w:rFonts w:cs="Arial"/>
                <w:sz w:val="18"/>
                <w:szCs w:val="18"/>
                <w:lang w:eastAsia="de-DE"/>
              </w:rPr>
              <w:t>(27,0%)</w:t>
            </w:r>
          </w:p>
        </w:tc>
        <w:tc>
          <w:tcPr>
            <w:tcW w:w="1633" w:type="dxa"/>
            <w:tcBorders>
              <w:top w:val="nil"/>
              <w:bottom w:val="nil"/>
              <w:right w:val="nil"/>
            </w:tcBorders>
            <w:tcMar>
              <w:top w:w="75" w:type="dxa"/>
              <w:left w:w="75" w:type="dxa"/>
              <w:bottom w:w="75" w:type="dxa"/>
              <w:right w:w="75" w:type="dxa"/>
            </w:tcMar>
          </w:tcPr>
          <w:p w14:paraId="06CB4FD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8</w:t>
            </w:r>
            <w:r w:rsidR="00DD653C" w:rsidRPr="00812C16">
              <w:rPr>
                <w:rFonts w:cs="Arial"/>
                <w:sz w:val="18"/>
                <w:szCs w:val="18"/>
                <w:lang w:eastAsia="de-DE"/>
              </w:rPr>
              <w:t xml:space="preserve"> </w:t>
            </w:r>
            <w:r w:rsidRPr="00812C16">
              <w:rPr>
                <w:rFonts w:cs="Arial"/>
                <w:sz w:val="18"/>
                <w:szCs w:val="18"/>
                <w:lang w:eastAsia="de-DE"/>
              </w:rPr>
              <w:t>(22,9%)</w:t>
            </w:r>
          </w:p>
        </w:tc>
      </w:tr>
      <w:tr w:rsidR="00842855" w:rsidRPr="00812C16" w14:paraId="090D89BB" w14:textId="77777777" w:rsidTr="003F66A6">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658699A9" w14:textId="77777777" w:rsidR="00842855" w:rsidRPr="00812C16" w:rsidRDefault="00842855" w:rsidP="006678A2">
            <w:pPr>
              <w:spacing w:before="30" w:after="30" w:line="240" w:lineRule="auto"/>
              <w:jc w:val="left"/>
              <w:rPr>
                <w:rFonts w:cs="Arial"/>
                <w:sz w:val="18"/>
                <w:szCs w:val="18"/>
                <w:lang w:eastAsia="de-DE"/>
              </w:rPr>
            </w:pPr>
            <w:r w:rsidRPr="00812C16">
              <w:rPr>
                <w:rFonts w:cs="Arial"/>
                <w:sz w:val="18"/>
                <w:szCs w:val="18"/>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77C1E42C" w14:textId="77777777" w:rsidR="00842855" w:rsidRPr="00812C16" w:rsidRDefault="0039568E" w:rsidP="006678A2">
            <w:pPr>
              <w:spacing w:before="30" w:after="30" w:line="240" w:lineRule="auto"/>
              <w:jc w:val="right"/>
              <w:rPr>
                <w:rFonts w:cs="Arial"/>
                <w:sz w:val="18"/>
                <w:szCs w:val="18"/>
                <w:lang w:eastAsia="de-DE"/>
              </w:rPr>
            </w:pPr>
            <w:r w:rsidRPr="00812C16">
              <w:rPr>
                <w:rFonts w:cs="Arial"/>
                <w:sz w:val="18"/>
                <w:szCs w:val="18"/>
                <w:lang w:eastAsia="de-DE"/>
              </w:rPr>
              <w:t>80 (36,2%)</w:t>
            </w:r>
          </w:p>
        </w:tc>
        <w:tc>
          <w:tcPr>
            <w:tcW w:w="1428" w:type="dxa"/>
            <w:tcBorders>
              <w:top w:val="nil"/>
              <w:bottom w:val="single" w:sz="4" w:space="0" w:color="000000" w:themeColor="text1"/>
              <w:right w:val="nil"/>
            </w:tcBorders>
            <w:tcMar>
              <w:top w:w="75" w:type="dxa"/>
              <w:left w:w="75" w:type="dxa"/>
              <w:bottom w:w="75" w:type="dxa"/>
              <w:right w:w="75" w:type="dxa"/>
            </w:tcMar>
          </w:tcPr>
          <w:p w14:paraId="645B6EE2" w14:textId="77777777" w:rsidR="00842855" w:rsidRPr="00812C16" w:rsidRDefault="0024223E" w:rsidP="006678A2">
            <w:pPr>
              <w:spacing w:before="30" w:after="30" w:line="240" w:lineRule="auto"/>
              <w:jc w:val="right"/>
              <w:rPr>
                <w:rFonts w:cs="Arial"/>
                <w:sz w:val="18"/>
                <w:szCs w:val="18"/>
                <w:lang w:eastAsia="de-DE"/>
              </w:rPr>
            </w:pPr>
            <w:r w:rsidRPr="00812C16">
              <w:rPr>
                <w:rFonts w:cs="Arial"/>
                <w:sz w:val="18"/>
                <w:szCs w:val="18"/>
                <w:lang w:eastAsia="de-DE"/>
              </w:rPr>
              <w:t>0</w:t>
            </w:r>
            <w:r w:rsidR="00383A2A" w:rsidRPr="00812C16">
              <w:rPr>
                <w:rFonts w:cs="Arial"/>
                <w:sz w:val="18"/>
                <w:szCs w:val="18"/>
                <w:lang w:eastAsia="de-DE"/>
              </w:rPr>
              <w:t xml:space="preserve"> (0,0%)</w:t>
            </w:r>
          </w:p>
        </w:tc>
        <w:tc>
          <w:tcPr>
            <w:tcW w:w="0" w:type="auto"/>
            <w:tcBorders>
              <w:top w:val="nil"/>
              <w:bottom w:val="single" w:sz="4" w:space="0" w:color="000000" w:themeColor="text1"/>
              <w:right w:val="nil"/>
            </w:tcBorders>
            <w:tcMar>
              <w:top w:w="75" w:type="dxa"/>
              <w:left w:w="75" w:type="dxa"/>
              <w:bottom w:w="75" w:type="dxa"/>
              <w:right w:w="75" w:type="dxa"/>
            </w:tcMar>
          </w:tcPr>
          <w:p w14:paraId="22B9BA88"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6</w:t>
            </w:r>
            <w:r w:rsidR="0024223E" w:rsidRPr="00812C16">
              <w:rPr>
                <w:rFonts w:cs="Arial"/>
                <w:sz w:val="18"/>
                <w:szCs w:val="18"/>
                <w:lang w:eastAsia="de-DE"/>
              </w:rPr>
              <w:t>6</w:t>
            </w:r>
            <w:r w:rsidR="00383A2A" w:rsidRPr="00812C16">
              <w:rPr>
                <w:rFonts w:cs="Arial"/>
                <w:sz w:val="18"/>
                <w:szCs w:val="18"/>
                <w:lang w:eastAsia="de-DE"/>
              </w:rPr>
              <w:t xml:space="preserve"> (52,4%)</w:t>
            </w:r>
          </w:p>
        </w:tc>
        <w:tc>
          <w:tcPr>
            <w:tcW w:w="1633" w:type="dxa"/>
            <w:tcBorders>
              <w:top w:val="nil"/>
              <w:bottom w:val="single" w:sz="4" w:space="0" w:color="000000" w:themeColor="text1"/>
              <w:right w:val="nil"/>
            </w:tcBorders>
            <w:tcMar>
              <w:top w:w="75" w:type="dxa"/>
              <w:left w:w="75" w:type="dxa"/>
              <w:bottom w:w="75" w:type="dxa"/>
              <w:right w:w="75" w:type="dxa"/>
            </w:tcMar>
          </w:tcPr>
          <w:p w14:paraId="4A35B27F"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14</w:t>
            </w:r>
            <w:r w:rsidR="00383A2A" w:rsidRPr="00812C16">
              <w:rPr>
                <w:rFonts w:cs="Arial"/>
                <w:sz w:val="18"/>
                <w:szCs w:val="18"/>
                <w:lang w:eastAsia="de-DE"/>
              </w:rPr>
              <w:t xml:space="preserve"> (40%)</w:t>
            </w:r>
          </w:p>
        </w:tc>
      </w:tr>
    </w:tbl>
    <w:p w14:paraId="67698B5F" w14:textId="0E60539D" w:rsidR="00F74A18" w:rsidRPr="00812C16" w:rsidRDefault="009943EC" w:rsidP="00B76E7A">
      <w:pPr>
        <w:tabs>
          <w:tab w:val="left" w:pos="7088"/>
          <w:tab w:val="left" w:pos="7371"/>
          <w:tab w:val="left" w:pos="7513"/>
        </w:tabs>
        <w:spacing w:before="360"/>
        <w:rPr>
          <w:rFonts w:cs="Arial"/>
          <w:lang w:eastAsia="de-DE"/>
        </w:rPr>
      </w:pPr>
      <w:r w:rsidRPr="00812C16">
        <w:rPr>
          <w:rFonts w:cs="Arial"/>
          <w:lang w:eastAsia="de-DE"/>
        </w:rPr>
        <w:t>Die mediane</w:t>
      </w:r>
      <w:r w:rsidR="00AD3966" w:rsidRPr="00812C16">
        <w:rPr>
          <w:rFonts w:cs="Arial"/>
          <w:lang w:eastAsia="de-DE"/>
        </w:rPr>
        <w:t>n</w:t>
      </w:r>
      <w:r w:rsidRPr="00812C16">
        <w:rPr>
          <w:rFonts w:cs="Arial"/>
          <w:lang w:eastAsia="de-DE"/>
        </w:rPr>
        <w:t xml:space="preserve"> </w:t>
      </w:r>
      <w:r w:rsidR="00FA78F9" w:rsidRPr="00812C16">
        <w:rPr>
          <w:rFonts w:cs="Arial"/>
          <w:lang w:eastAsia="de-DE"/>
        </w:rPr>
        <w:t>Nachbeobach</w:t>
      </w:r>
      <w:r w:rsidR="00930B1A" w:rsidRPr="00812C16">
        <w:rPr>
          <w:rFonts w:cs="Arial"/>
          <w:lang w:eastAsia="de-DE"/>
        </w:rPr>
        <w:t>tu</w:t>
      </w:r>
      <w:r w:rsidR="00FA78F9" w:rsidRPr="00812C16">
        <w:rPr>
          <w:rFonts w:cs="Arial"/>
          <w:lang w:eastAsia="de-DE"/>
        </w:rPr>
        <w:t>ngszeit</w:t>
      </w:r>
      <w:r w:rsidR="00AD3966" w:rsidRPr="00812C16">
        <w:rPr>
          <w:rFonts w:cs="Arial"/>
          <w:lang w:eastAsia="de-DE"/>
        </w:rPr>
        <w:t>en</w:t>
      </w:r>
      <w:r w:rsidR="00FA78F9" w:rsidRPr="00812C16">
        <w:rPr>
          <w:rFonts w:cs="Arial"/>
          <w:lang w:eastAsia="de-DE"/>
        </w:rPr>
        <w:t xml:space="preserve"> </w:t>
      </w:r>
      <w:r w:rsidR="00B1662B" w:rsidRPr="00812C16">
        <w:rPr>
          <w:rFonts w:cs="Arial"/>
          <w:lang w:eastAsia="de-DE"/>
        </w:rPr>
        <w:t>des Patienten</w:t>
      </w:r>
      <w:r w:rsidR="00B77E4B" w:rsidRPr="00812C16">
        <w:rPr>
          <w:rFonts w:cs="Arial"/>
          <w:lang w:eastAsia="de-DE"/>
        </w:rPr>
        <w:t>kollektivs</w:t>
      </w:r>
      <w:r w:rsidR="00341452" w:rsidRPr="00812C16">
        <w:rPr>
          <w:rFonts w:cs="Arial"/>
          <w:lang w:eastAsia="de-DE"/>
        </w:rPr>
        <w:t xml:space="preserve"> ab Beginn der </w:t>
      </w:r>
      <w:r w:rsidR="001A688B" w:rsidRPr="00812C16">
        <w:rPr>
          <w:rFonts w:cs="Arial"/>
          <w:lang w:eastAsia="de-DE"/>
        </w:rPr>
        <w:t xml:space="preserve">Strahlentherapie </w:t>
      </w:r>
      <w:r w:rsidR="00D86F9A" w:rsidRPr="00812C16">
        <w:rPr>
          <w:rFonts w:cs="Arial"/>
          <w:lang w:eastAsia="de-DE"/>
        </w:rPr>
        <w:t>bis zum Erreichen der</w:t>
      </w:r>
      <w:r w:rsidR="00AD3966" w:rsidRPr="00812C16">
        <w:rPr>
          <w:rFonts w:cs="Arial"/>
          <w:lang w:eastAsia="de-DE"/>
        </w:rPr>
        <w:t xml:space="preserve"> jeweiligen </w:t>
      </w:r>
      <w:r w:rsidR="001A1CEB" w:rsidRPr="00812C16">
        <w:rPr>
          <w:rFonts w:cs="Arial"/>
          <w:lang w:eastAsia="de-DE"/>
        </w:rPr>
        <w:t>Endpunkte</w:t>
      </w:r>
      <w:r w:rsidR="00341452" w:rsidRPr="00812C16">
        <w:rPr>
          <w:rFonts w:cs="Arial"/>
          <w:lang w:eastAsia="de-DE"/>
        </w:rPr>
        <w:t xml:space="preserve"> oder Zensierungen betrug</w:t>
      </w:r>
      <w:r w:rsidR="00AD3966" w:rsidRPr="00812C16">
        <w:rPr>
          <w:rFonts w:cs="Arial"/>
          <w:lang w:eastAsia="de-DE"/>
        </w:rPr>
        <w:t>en</w:t>
      </w:r>
      <w:r w:rsidR="00341452" w:rsidRPr="00812C16">
        <w:rPr>
          <w:rFonts w:cs="Arial"/>
          <w:lang w:eastAsia="de-DE"/>
        </w:rPr>
        <w:t xml:space="preserve"> </w:t>
      </w:r>
      <w:r w:rsidR="00AD3966" w:rsidRPr="00812C16">
        <w:rPr>
          <w:rFonts w:cs="Arial"/>
          <w:lang w:eastAsia="de-DE"/>
        </w:rPr>
        <w:t xml:space="preserve">im durschnitt </w:t>
      </w:r>
      <w:r w:rsidR="00341452" w:rsidRPr="00812C16">
        <w:rPr>
          <w:rFonts w:cs="Arial"/>
          <w:lang w:eastAsia="de-DE"/>
        </w:rPr>
        <w:t>47,</w:t>
      </w:r>
      <w:r w:rsidR="00AD3966" w:rsidRPr="00812C16">
        <w:rPr>
          <w:rFonts w:cs="Arial"/>
          <w:lang w:eastAsia="de-DE"/>
        </w:rPr>
        <w:t>1</w:t>
      </w:r>
      <w:r w:rsidR="00341452" w:rsidRPr="00812C16">
        <w:rPr>
          <w:rFonts w:cs="Arial"/>
          <w:lang w:eastAsia="de-DE"/>
        </w:rPr>
        <w:t xml:space="preserve"> Monate (3,9 Jahre) mit einer </w:t>
      </w:r>
      <w:r w:rsidR="00AD3966" w:rsidRPr="00812C16">
        <w:rPr>
          <w:rFonts w:cs="Arial"/>
          <w:lang w:eastAsia="de-DE"/>
        </w:rPr>
        <w:t xml:space="preserve">mittleren </w:t>
      </w:r>
      <w:r w:rsidR="00341452" w:rsidRPr="00812C16">
        <w:rPr>
          <w:rFonts w:cs="Arial"/>
          <w:lang w:eastAsia="de-DE"/>
        </w:rPr>
        <w:t>Spannweite von 2,</w:t>
      </w:r>
      <w:r w:rsidR="00AD3966" w:rsidRPr="00812C16">
        <w:rPr>
          <w:rFonts w:cs="Arial"/>
          <w:lang w:eastAsia="de-DE"/>
        </w:rPr>
        <w:t>2</w:t>
      </w:r>
      <w:r w:rsidR="00341452" w:rsidRPr="00812C16">
        <w:rPr>
          <w:rFonts w:cs="Arial"/>
          <w:lang w:eastAsia="de-DE"/>
        </w:rPr>
        <w:t xml:space="preserve"> bis 100,1 Monaten. </w:t>
      </w:r>
      <w:r w:rsidR="00E72CB2" w:rsidRPr="00812C16">
        <w:rPr>
          <w:rFonts w:cs="Arial"/>
          <w:lang w:eastAsia="de-DE"/>
        </w:rPr>
        <w:t xml:space="preserve"> </w:t>
      </w:r>
      <w:r w:rsidR="00AF7108" w:rsidRPr="00812C16">
        <w:rPr>
          <w:rFonts w:cs="Arial"/>
          <w:lang w:eastAsia="de-DE"/>
        </w:rPr>
        <w:t>I</w:t>
      </w:r>
      <w:r w:rsidR="00C31BB6" w:rsidRPr="00812C16">
        <w:rPr>
          <w:rFonts w:cs="Arial"/>
          <w:lang w:eastAsia="de-DE"/>
        </w:rPr>
        <w:t xml:space="preserve">n diesem Zeitraum </w:t>
      </w:r>
      <w:r w:rsidR="00516CAB" w:rsidRPr="00812C16">
        <w:rPr>
          <w:rFonts w:cs="Arial"/>
          <w:lang w:eastAsia="de-DE"/>
        </w:rPr>
        <w:t>kam es</w:t>
      </w:r>
      <w:r w:rsidR="00C4158F" w:rsidRPr="00812C16">
        <w:rPr>
          <w:rFonts w:cs="Arial"/>
          <w:lang w:eastAsia="de-DE"/>
        </w:rPr>
        <w:t xml:space="preserve"> bei 29</w:t>
      </w:r>
      <w:r w:rsidR="00516CAB" w:rsidRPr="00812C16">
        <w:rPr>
          <w:rFonts w:cs="Arial"/>
          <w:lang w:eastAsia="de-DE"/>
        </w:rPr>
        <w:t xml:space="preserve"> </w:t>
      </w:r>
      <w:r w:rsidR="001A688B" w:rsidRPr="00812C16">
        <w:rPr>
          <w:rFonts w:cs="Arial"/>
          <w:lang w:eastAsia="de-DE"/>
        </w:rPr>
        <w:t>der</w:t>
      </w:r>
      <w:r w:rsidR="00516CAB" w:rsidRPr="00812C16">
        <w:rPr>
          <w:rFonts w:cs="Arial"/>
          <w:lang w:eastAsia="de-DE"/>
        </w:rPr>
        <w:t xml:space="preserve"> 221</w:t>
      </w:r>
      <w:r w:rsidR="00C4158F" w:rsidRPr="00812C16">
        <w:rPr>
          <w:rFonts w:cs="Arial"/>
          <w:lang w:eastAsia="de-DE"/>
        </w:rPr>
        <w:t xml:space="preserve"> </w:t>
      </w:r>
      <w:r w:rsidR="001A688B" w:rsidRPr="00812C16">
        <w:rPr>
          <w:rFonts w:cs="Arial"/>
          <w:lang w:eastAsia="de-DE"/>
        </w:rPr>
        <w:t xml:space="preserve">(13,1%) </w:t>
      </w:r>
      <w:r w:rsidR="00516CAB" w:rsidRPr="00812C16">
        <w:rPr>
          <w:rFonts w:cs="Arial"/>
          <w:lang w:eastAsia="de-DE"/>
        </w:rPr>
        <w:t xml:space="preserve">beobachteten </w:t>
      </w:r>
      <w:r w:rsidR="00C4158F" w:rsidRPr="00812C16">
        <w:rPr>
          <w:rFonts w:cs="Arial"/>
          <w:lang w:eastAsia="de-DE"/>
        </w:rPr>
        <w:t xml:space="preserve">Patienten </w:t>
      </w:r>
      <w:r w:rsidR="00516CAB" w:rsidRPr="00812C16">
        <w:rPr>
          <w:rFonts w:cs="Arial"/>
          <w:lang w:eastAsia="de-DE"/>
        </w:rPr>
        <w:t xml:space="preserve">zu </w:t>
      </w:r>
      <w:r w:rsidR="00C4158F" w:rsidRPr="00812C16">
        <w:rPr>
          <w:rFonts w:cs="Arial"/>
          <w:lang w:eastAsia="de-DE"/>
        </w:rPr>
        <w:t>ein</w:t>
      </w:r>
      <w:r w:rsidR="00116575" w:rsidRPr="00812C16">
        <w:rPr>
          <w:rFonts w:cs="Arial"/>
          <w:lang w:eastAsia="de-DE"/>
        </w:rPr>
        <w:t xml:space="preserve">em </w:t>
      </w:r>
      <w:r w:rsidR="00516CAB" w:rsidRPr="00812C16">
        <w:rPr>
          <w:rFonts w:cs="Arial"/>
          <w:lang w:eastAsia="de-DE"/>
        </w:rPr>
        <w:t>loko</w:t>
      </w:r>
      <w:r w:rsidR="00D86F9A" w:rsidRPr="00812C16">
        <w:rPr>
          <w:rFonts w:cs="Arial"/>
          <w:lang w:eastAsia="de-DE"/>
        </w:rPr>
        <w:t>-</w:t>
      </w:r>
      <w:r w:rsidR="00516CAB" w:rsidRPr="00812C16">
        <w:rPr>
          <w:rFonts w:cs="Arial"/>
          <w:lang w:eastAsia="de-DE"/>
        </w:rPr>
        <w:t>regionären</w:t>
      </w:r>
      <w:r w:rsidR="00116575" w:rsidRPr="00812C16">
        <w:rPr>
          <w:rFonts w:cs="Arial"/>
          <w:lang w:eastAsia="de-DE"/>
        </w:rPr>
        <w:t xml:space="preserve"> Rezidiv</w:t>
      </w:r>
      <w:r w:rsidR="00622C8B" w:rsidRPr="00812C16">
        <w:rPr>
          <w:rFonts w:cs="Arial"/>
          <w:lang w:eastAsia="de-DE"/>
        </w:rPr>
        <w:t xml:space="preserve"> im Bereich des Bestrahlungsvolumens</w:t>
      </w:r>
      <w:r w:rsidR="00516CAB" w:rsidRPr="00812C16">
        <w:rPr>
          <w:rFonts w:cs="Arial"/>
          <w:lang w:eastAsia="de-DE"/>
        </w:rPr>
        <w:t xml:space="preserve">. </w:t>
      </w:r>
      <w:r w:rsidR="00C4158F" w:rsidRPr="00812C16">
        <w:rPr>
          <w:rFonts w:cs="Arial"/>
          <w:lang w:eastAsia="de-DE"/>
        </w:rPr>
        <w:t xml:space="preserve">Das erste Rezidiv wurde nach 2,1 Monaten im Bereich der Mundhöhle diagnostiziert. </w:t>
      </w:r>
      <w:r w:rsidR="00800A2F" w:rsidRPr="00812C16">
        <w:rPr>
          <w:rFonts w:cs="Arial"/>
          <w:lang w:eastAsia="de-DE"/>
        </w:rPr>
        <w:lastRenderedPageBreak/>
        <w:t>Das längste Intervall bis zum Auftreten eines loko</w:t>
      </w:r>
      <w:r w:rsidR="00D86F9A" w:rsidRPr="00812C16">
        <w:rPr>
          <w:rFonts w:cs="Arial"/>
          <w:lang w:eastAsia="de-DE"/>
        </w:rPr>
        <w:t>-</w:t>
      </w:r>
      <w:r w:rsidR="00800A2F" w:rsidRPr="00812C16">
        <w:rPr>
          <w:rFonts w:cs="Arial"/>
          <w:lang w:eastAsia="de-DE"/>
        </w:rPr>
        <w:t>regionären Rezidivs betrug 68</w:t>
      </w:r>
      <w:r w:rsidR="00927DD2" w:rsidRPr="00812C16">
        <w:rPr>
          <w:rFonts w:cs="Arial"/>
          <w:lang w:eastAsia="de-DE"/>
        </w:rPr>
        <w:t xml:space="preserve">,2 </w:t>
      </w:r>
      <w:r w:rsidR="00800A2F" w:rsidRPr="00812C16">
        <w:rPr>
          <w:rFonts w:cs="Arial"/>
          <w:lang w:eastAsia="de-DE"/>
        </w:rPr>
        <w:t xml:space="preserve">Monate und trat im Bereich des Hypopharynx auf. </w:t>
      </w:r>
      <w:r w:rsidR="00302CC0" w:rsidRPr="00812C16">
        <w:rPr>
          <w:rFonts w:cs="Arial"/>
          <w:lang w:eastAsia="de-DE"/>
        </w:rPr>
        <w:t xml:space="preserve">Anteilsmäßig traten die meisten Rezidive mit </w:t>
      </w:r>
      <w:r w:rsidR="00927DD2" w:rsidRPr="00812C16">
        <w:rPr>
          <w:rFonts w:cs="Arial"/>
          <w:lang w:eastAsia="de-DE"/>
        </w:rPr>
        <w:t>25</w:t>
      </w:r>
      <w:r w:rsidR="00302CC0" w:rsidRPr="00812C16">
        <w:rPr>
          <w:rFonts w:cs="Arial"/>
          <w:lang w:eastAsia="de-DE"/>
        </w:rPr>
        <w:t xml:space="preserve">% im Bereich der Mundhöhle auf. </w:t>
      </w:r>
      <w:r w:rsidR="002E3D98" w:rsidRPr="00812C16">
        <w:rPr>
          <w:rFonts w:cs="Arial"/>
          <w:lang w:eastAsia="de-DE"/>
        </w:rPr>
        <w:t>Lediglich b</w:t>
      </w:r>
      <w:r w:rsidR="00503D6F" w:rsidRPr="00812C16">
        <w:rPr>
          <w:rFonts w:cs="Arial"/>
          <w:lang w:eastAsia="de-DE"/>
        </w:rPr>
        <w:t xml:space="preserve">ei </w:t>
      </w:r>
      <w:r w:rsidR="002E3D98" w:rsidRPr="00812C16">
        <w:rPr>
          <w:rFonts w:cs="Arial"/>
          <w:lang w:eastAsia="de-DE"/>
        </w:rPr>
        <w:t>8,7</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 xml:space="preserve">der </w:t>
      </w:r>
      <w:r w:rsidR="00593D28" w:rsidRPr="00812C16">
        <w:rPr>
          <w:rFonts w:cs="Arial"/>
          <w:lang w:eastAsia="de-DE"/>
        </w:rPr>
        <w:t xml:space="preserve">Patienten mit </w:t>
      </w:r>
      <w:r w:rsidR="00503D6F" w:rsidRPr="00812C16">
        <w:rPr>
          <w:rFonts w:cs="Arial"/>
          <w:lang w:eastAsia="de-DE"/>
        </w:rPr>
        <w:t>Oropharynx</w:t>
      </w:r>
      <w:r w:rsidR="002E3D98" w:rsidRPr="00812C16">
        <w:rPr>
          <w:rFonts w:cs="Arial"/>
          <w:lang w:eastAsia="de-DE"/>
        </w:rPr>
        <w:t>karzinom</w:t>
      </w:r>
      <w:r w:rsidR="00503D6F" w:rsidRPr="00812C16">
        <w:rPr>
          <w:rFonts w:cs="Arial"/>
          <w:lang w:eastAsia="de-DE"/>
        </w:rPr>
        <w:t xml:space="preserve"> und bei </w:t>
      </w:r>
      <w:r w:rsidR="002E3D98" w:rsidRPr="00812C16">
        <w:rPr>
          <w:rFonts w:cs="Arial"/>
          <w:lang w:eastAsia="de-DE"/>
        </w:rPr>
        <w:t>8,6</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der</w:t>
      </w:r>
      <w:r w:rsidR="00593D28" w:rsidRPr="00812C16">
        <w:rPr>
          <w:rFonts w:cs="Arial"/>
          <w:lang w:eastAsia="de-DE"/>
        </w:rPr>
        <w:t xml:space="preserve"> Patienten mit Hypopharynxkarzinom</w:t>
      </w:r>
      <w:r w:rsidR="00503D6F" w:rsidRPr="00812C16">
        <w:rPr>
          <w:rFonts w:cs="Arial"/>
          <w:lang w:eastAsia="de-DE"/>
        </w:rPr>
        <w:t xml:space="preserve"> wurde im Beobachtungszeitraum ein </w:t>
      </w:r>
      <w:r w:rsidR="002E3D98" w:rsidRPr="00812C16">
        <w:rPr>
          <w:rFonts w:cs="Arial"/>
          <w:lang w:eastAsia="de-DE"/>
        </w:rPr>
        <w:t>loko</w:t>
      </w:r>
      <w:r w:rsidR="00D86F9A" w:rsidRPr="00812C16">
        <w:rPr>
          <w:rFonts w:cs="Arial"/>
          <w:lang w:eastAsia="de-DE"/>
        </w:rPr>
        <w:t>-</w:t>
      </w:r>
      <w:r w:rsidR="002E3D98" w:rsidRPr="00812C16">
        <w:rPr>
          <w:rFonts w:cs="Arial"/>
          <w:lang w:eastAsia="de-DE"/>
        </w:rPr>
        <w:t xml:space="preserve">regionäres </w:t>
      </w:r>
      <w:r w:rsidR="00503D6F" w:rsidRPr="00812C16">
        <w:rPr>
          <w:rFonts w:cs="Arial"/>
          <w:lang w:eastAsia="de-DE"/>
        </w:rPr>
        <w:t xml:space="preserve">Rezidiv diagnostiziert. </w:t>
      </w:r>
      <w:r w:rsidR="002E3D98" w:rsidRPr="00812C16">
        <w:rPr>
          <w:rFonts w:cs="Arial"/>
          <w:lang w:eastAsia="de-DE"/>
        </w:rPr>
        <w:t xml:space="preserve">Die </w:t>
      </w:r>
      <w:r w:rsidR="00E94ED6" w:rsidRPr="00812C16">
        <w:rPr>
          <w:rFonts w:cs="Arial"/>
          <w:lang w:eastAsia="de-DE"/>
        </w:rPr>
        <w:t xml:space="preserve">nach Kaplan-Meier </w:t>
      </w:r>
      <w:r w:rsidR="002E3D98" w:rsidRPr="00812C16">
        <w:rPr>
          <w:rFonts w:cs="Arial"/>
          <w:lang w:eastAsia="de-DE"/>
        </w:rPr>
        <w:t>geschätzten Ereignisraten der loko</w:t>
      </w:r>
      <w:r w:rsidR="00D86F9A" w:rsidRPr="00812C16">
        <w:rPr>
          <w:rFonts w:cs="Arial"/>
          <w:lang w:eastAsia="de-DE"/>
        </w:rPr>
        <w:t>-</w:t>
      </w:r>
      <w:r w:rsidR="002E3D98" w:rsidRPr="00812C16">
        <w:rPr>
          <w:rFonts w:cs="Arial"/>
          <w:lang w:eastAsia="de-DE"/>
        </w:rPr>
        <w:t>regionären Tumorkontrolle</w:t>
      </w:r>
      <w:r w:rsidR="00076ED9" w:rsidRPr="00812C16">
        <w:rPr>
          <w:rFonts w:cs="Arial"/>
          <w:lang w:eastAsia="de-DE"/>
        </w:rPr>
        <w:t xml:space="preserve"> sind in </w:t>
      </w:r>
      <w:r w:rsidR="00076ED9" w:rsidRPr="00812C16">
        <w:rPr>
          <w:rFonts w:cs="Arial"/>
          <w:lang w:eastAsia="de-DE"/>
        </w:rPr>
        <w:fldChar w:fldCharType="begin"/>
      </w:r>
      <w:r w:rsidR="00076ED9" w:rsidRPr="00812C16">
        <w:rPr>
          <w:rFonts w:cs="Arial"/>
          <w:lang w:eastAsia="de-DE"/>
        </w:rPr>
        <w:instrText xml:space="preserve"> REF _Ref90728223 \h </w:instrText>
      </w:r>
      <w:r w:rsidR="00241DC8" w:rsidRPr="00812C16">
        <w:rPr>
          <w:rFonts w:cs="Arial"/>
          <w:lang w:eastAsia="de-DE"/>
        </w:rPr>
        <w:instrText xml:space="preserve"> \* MERGEFORMAT </w:instrText>
      </w:r>
      <w:r w:rsidR="00076ED9" w:rsidRPr="00812C16">
        <w:rPr>
          <w:rFonts w:cs="Arial"/>
          <w:lang w:eastAsia="de-DE"/>
        </w:rPr>
      </w:r>
      <w:r w:rsidR="00076ED9" w:rsidRPr="00812C16">
        <w:rPr>
          <w:rFonts w:cs="Arial"/>
          <w:lang w:eastAsia="de-DE"/>
        </w:rPr>
        <w:fldChar w:fldCharType="separate"/>
      </w:r>
      <w:r w:rsidR="00F67803" w:rsidRPr="00F67803">
        <w:rPr>
          <w:rFonts w:cs="Arial"/>
          <w:color w:val="000000" w:themeColor="text1"/>
        </w:rPr>
        <w:t xml:space="preserve">Abbildung </w:t>
      </w:r>
      <w:r w:rsidR="00F67803" w:rsidRPr="00F67803">
        <w:rPr>
          <w:rFonts w:cs="Arial"/>
          <w:noProof/>
          <w:color w:val="000000" w:themeColor="text1"/>
        </w:rPr>
        <w:t>4</w:t>
      </w:r>
      <w:r w:rsidR="00F67803" w:rsidRPr="00F67803">
        <w:rPr>
          <w:rFonts w:cs="Arial"/>
          <w:noProof/>
          <w:color w:val="000000" w:themeColor="text1"/>
        </w:rPr>
        <w:noBreakHyphen/>
        <w:t>1</w:t>
      </w:r>
      <w:r w:rsidR="00076ED9" w:rsidRPr="00812C16">
        <w:rPr>
          <w:rFonts w:cs="Arial"/>
          <w:lang w:eastAsia="de-DE"/>
        </w:rPr>
        <w:fldChar w:fldCharType="end"/>
      </w:r>
      <w:r w:rsidR="00076ED9" w:rsidRPr="00812C16">
        <w:rPr>
          <w:rFonts w:cs="Arial"/>
          <w:lang w:eastAsia="de-DE"/>
        </w:rPr>
        <w:t xml:space="preserve"> dargestellt</w:t>
      </w:r>
      <w:r w:rsidR="00EE6C76" w:rsidRPr="00812C16">
        <w:rPr>
          <w:rFonts w:cs="Arial"/>
          <w:lang w:eastAsia="de-DE"/>
        </w:rPr>
        <w:t>. Postoperativ waren nach 2 Jahren 89,6 % (Standardfehler 2,1%) der Patienten lokal und regional Rezidiv-frei und nach 5 Jahren 85,7% (Standardfehler 2,6%).</w:t>
      </w:r>
      <w:r w:rsidR="00206CEA" w:rsidRPr="00812C16">
        <w:rPr>
          <w:rFonts w:cs="Arial"/>
          <w:lang w:eastAsia="de-DE"/>
        </w:rPr>
        <w:t xml:space="preserve">Da im Beobachtungszeitraum </w:t>
      </w:r>
      <w:r w:rsidR="009321D4" w:rsidRPr="00812C16">
        <w:rPr>
          <w:rFonts w:cs="Arial"/>
          <w:lang w:eastAsia="de-DE"/>
        </w:rPr>
        <w:t xml:space="preserve">in allen untersuchten Endpunkten </w:t>
      </w:r>
      <w:r w:rsidR="00206CEA" w:rsidRPr="00812C16">
        <w:rPr>
          <w:rFonts w:cs="Arial"/>
          <w:lang w:eastAsia="de-DE"/>
        </w:rPr>
        <w:t xml:space="preserve">bei weniger als 50% der Klienten ein Ereignis eingetreten war, konnten die medianen Überlebenszeiten </w:t>
      </w:r>
      <w:r w:rsidR="009321D4" w:rsidRPr="00812C16">
        <w:rPr>
          <w:rFonts w:cs="Arial"/>
          <w:lang w:eastAsia="de-DE"/>
        </w:rPr>
        <w:t xml:space="preserve">nicht berechnet werden. Die mediane Ereignisfreie Zeit beträgt </w:t>
      </w:r>
      <w:r w:rsidR="000D5932" w:rsidRPr="00812C16">
        <w:rPr>
          <w:rFonts w:cs="Arial"/>
          <w:lang w:eastAsia="de-DE"/>
        </w:rPr>
        <w:t>daher</w:t>
      </w:r>
      <w:r w:rsidR="009321D4" w:rsidRPr="00812C16">
        <w:rPr>
          <w:rFonts w:cs="Arial"/>
          <w:lang w:eastAsia="de-DE"/>
        </w:rPr>
        <w:t xml:space="preserve"> mindestens 60 Monate.</w:t>
      </w:r>
      <w:r w:rsidR="002B29E1" w:rsidRPr="00812C16">
        <w:rPr>
          <w:rFonts w:cs="Arial"/>
          <w:lang w:eastAsia="de-DE"/>
        </w:rPr>
        <w:t xml:space="preserve">  </w:t>
      </w:r>
      <w:r w:rsidR="00E72CB2" w:rsidRPr="00812C16">
        <w:rPr>
          <w:rFonts w:cs="Arial"/>
          <w:lang w:eastAsia="de-DE"/>
        </w:rPr>
        <w:t xml:space="preserve">Die Ereignis-freie Zeit bezogen auf die </w:t>
      </w:r>
      <w:r w:rsidR="000D5932" w:rsidRPr="00812C16">
        <w:rPr>
          <w:rFonts w:cs="Arial"/>
          <w:lang w:eastAsia="de-DE"/>
        </w:rPr>
        <w:t>l</w:t>
      </w:r>
      <w:r w:rsidR="00E72CB2" w:rsidRPr="00812C16">
        <w:rPr>
          <w:rFonts w:cs="Arial"/>
          <w:lang w:eastAsia="de-DE"/>
        </w:rPr>
        <w:t xml:space="preserve">oko-regionäre Tumorkontrolle </w:t>
      </w:r>
      <w:r w:rsidR="007B1FA9" w:rsidRPr="00812C16">
        <w:rPr>
          <w:rFonts w:cs="Arial"/>
          <w:lang w:eastAsia="de-DE"/>
        </w:rPr>
        <w:t xml:space="preserve">betrug </w:t>
      </w:r>
      <w:r w:rsidR="00337351" w:rsidRPr="00812C16">
        <w:rPr>
          <w:rFonts w:cs="Arial"/>
          <w:lang w:eastAsia="de-DE"/>
        </w:rPr>
        <w:t>durchschnittlich 87,3</w:t>
      </w:r>
      <w:r w:rsidR="007B1FA9" w:rsidRPr="00812C16">
        <w:rPr>
          <w:rFonts w:cs="Arial"/>
          <w:lang w:eastAsia="de-DE"/>
        </w:rPr>
        <w:t xml:space="preserve"> Monate</w:t>
      </w:r>
      <w:r w:rsidR="00337351" w:rsidRPr="00812C16">
        <w:rPr>
          <w:rFonts w:cs="Arial"/>
          <w:lang w:eastAsia="de-DE"/>
        </w:rPr>
        <w:t xml:space="preserve"> (95%-KI</w:t>
      </w:r>
      <w:r w:rsidR="00465294" w:rsidRPr="00812C16">
        <w:rPr>
          <w:rFonts w:cs="Arial"/>
          <w:lang w:eastAsia="de-DE"/>
        </w:rPr>
        <w:t>,</w:t>
      </w:r>
      <w:r w:rsidR="00337351" w:rsidRPr="00812C16">
        <w:rPr>
          <w:rFonts w:cs="Arial"/>
          <w:lang w:eastAsia="de-DE"/>
        </w:rPr>
        <w:t xml:space="preserve"> 82,8</w:t>
      </w:r>
      <w:r w:rsidR="00465294" w:rsidRPr="00812C16">
        <w:rPr>
          <w:rFonts w:cs="Arial"/>
          <w:lang w:eastAsia="de-DE"/>
        </w:rPr>
        <w:t xml:space="preserve"> bis </w:t>
      </w:r>
      <w:r w:rsidR="00337351" w:rsidRPr="00812C16">
        <w:rPr>
          <w:rFonts w:cs="Arial"/>
          <w:lang w:eastAsia="de-DE"/>
        </w:rPr>
        <w:t>91,7</w:t>
      </w:r>
      <w:r w:rsidR="005559EF" w:rsidRPr="00812C16">
        <w:rPr>
          <w:rFonts w:cs="Arial"/>
          <w:lang w:eastAsia="de-DE"/>
        </w:rPr>
        <w:t xml:space="preserve"> </w:t>
      </w:r>
      <w:r w:rsidR="00337351" w:rsidRPr="00812C16">
        <w:rPr>
          <w:rFonts w:cs="Arial"/>
          <w:lang w:eastAsia="de-DE"/>
        </w:rPr>
        <w:t>Monate)</w:t>
      </w:r>
      <w:r w:rsidR="007B1FA9" w:rsidRPr="00812C16">
        <w:rPr>
          <w:rFonts w:cs="Arial"/>
          <w:lang w:eastAsia="de-DE"/>
        </w:rPr>
        <w:t>.</w:t>
      </w:r>
      <w:r w:rsidR="007B1FA9" w:rsidRPr="004B2E0C">
        <w:rPr>
          <w:rStyle w:val="Funotenzeichen"/>
        </w:rPr>
        <w:footnoteReference w:id="2"/>
      </w:r>
      <w:r w:rsidR="007B1FA9" w:rsidRPr="00812C16">
        <w:rPr>
          <w:rFonts w:cs="Arial"/>
          <w:lang w:eastAsia="de-DE"/>
        </w:rPr>
        <w:t xml:space="preserve"> </w:t>
      </w:r>
    </w:p>
    <w:p w14:paraId="57149D71" w14:textId="77777777" w:rsidR="009C2074" w:rsidRPr="00812C16" w:rsidRDefault="00B71E93" w:rsidP="00513B9C">
      <w:pPr>
        <w:tabs>
          <w:tab w:val="left" w:pos="7088"/>
        </w:tabs>
        <w:spacing w:before="120"/>
        <w:jc w:val="center"/>
        <w:rPr>
          <w:rFonts w:cs="Arial"/>
          <w:b/>
          <w:bCs/>
          <w:i/>
          <w:iCs/>
          <w:color w:val="000000" w:themeColor="text1"/>
          <w:sz w:val="20"/>
          <w:szCs w:val="20"/>
        </w:rPr>
      </w:pPr>
      <w:r w:rsidRPr="00812C16">
        <w:rPr>
          <w:rFonts w:cs="Arial"/>
          <w:b/>
          <w:i/>
          <w:noProof/>
          <w:color w:val="000000" w:themeColor="text1"/>
          <w:sz w:val="20"/>
          <w:szCs w:val="20"/>
        </w:rPr>
        <w:drawing>
          <wp:inline distT="0" distB="0" distL="0" distR="0" wp14:anchorId="0BE75B62" wp14:editId="45A98017">
            <wp:extent cx="4681855" cy="355854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2">
                      <a:extLst>
                        <a:ext uri="{28A0092B-C50C-407E-A947-70E740481C1C}">
                          <a14:useLocalDpi xmlns:a14="http://schemas.microsoft.com/office/drawing/2010/main" val="0"/>
                        </a:ext>
                      </a:extLst>
                    </a:blip>
                    <a:srcRect l="1802" t="-2777" r="29776" b="22632"/>
                    <a:stretch>
                      <a:fillRect/>
                    </a:stretch>
                  </pic:blipFill>
                  <pic:spPr bwMode="auto">
                    <a:xfrm>
                      <a:off x="0" y="0"/>
                      <a:ext cx="4681855" cy="3558540"/>
                    </a:xfrm>
                    <a:prstGeom prst="rect">
                      <a:avLst/>
                    </a:prstGeom>
                    <a:noFill/>
                    <a:ln>
                      <a:noFill/>
                    </a:ln>
                  </pic:spPr>
                </pic:pic>
              </a:graphicData>
            </a:graphic>
          </wp:inline>
        </w:drawing>
      </w:r>
    </w:p>
    <w:p w14:paraId="4CE8E166" w14:textId="7878B6A6" w:rsidR="00B86B18" w:rsidRPr="00812C16" w:rsidRDefault="006C6822" w:rsidP="003D2BD6">
      <w:pPr>
        <w:spacing w:before="120" w:after="360" w:line="240" w:lineRule="auto"/>
        <w:rPr>
          <w:rFonts w:cs="Arial"/>
          <w:lang w:eastAsia="de-DE"/>
        </w:rPr>
      </w:pPr>
      <w:bookmarkStart w:id="64" w:name="_Ref90728223"/>
      <w:bookmarkStart w:id="65" w:name="_Ref90728217"/>
      <w:bookmarkStart w:id="66" w:name="_Toc180788381"/>
      <w:r w:rsidRPr="00812C16">
        <w:rPr>
          <w:rFonts w:cs="Arial"/>
          <w:b/>
          <w:bCs/>
          <w:color w:val="000000" w:themeColor="text1"/>
          <w:sz w:val="20"/>
          <w:szCs w:val="20"/>
        </w:rPr>
        <w:t xml:space="preserve">Abbildung </w:t>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STYLEREF 1 \s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4</w:t>
      </w:r>
      <w:r w:rsidR="00BF08D6" w:rsidRPr="00812C16">
        <w:rPr>
          <w:rFonts w:cs="Arial"/>
          <w:b/>
          <w:bCs/>
          <w:color w:val="000000" w:themeColor="text1"/>
          <w:sz w:val="20"/>
          <w:szCs w:val="20"/>
        </w:rPr>
        <w:fldChar w:fldCharType="end"/>
      </w:r>
      <w:r w:rsidR="00BF08D6" w:rsidRPr="00812C16">
        <w:rPr>
          <w:rFonts w:cs="Arial"/>
          <w:b/>
          <w:bCs/>
          <w:color w:val="000000" w:themeColor="text1"/>
          <w:sz w:val="20"/>
          <w:szCs w:val="20"/>
        </w:rPr>
        <w:noBreakHyphen/>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SEQ Abbildung \* ARABIC \s 1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1</w:t>
      </w:r>
      <w:r w:rsidR="00BF08D6" w:rsidRPr="00812C16">
        <w:rPr>
          <w:rFonts w:cs="Arial"/>
          <w:b/>
          <w:bCs/>
          <w:color w:val="000000" w:themeColor="text1"/>
          <w:sz w:val="20"/>
          <w:szCs w:val="20"/>
        </w:rPr>
        <w:fldChar w:fldCharType="end"/>
      </w:r>
      <w:bookmarkEnd w:id="64"/>
      <w:r w:rsidRPr="00812C16">
        <w:rPr>
          <w:rFonts w:cs="Arial"/>
          <w:b/>
          <w:bCs/>
          <w:color w:val="000000" w:themeColor="text1"/>
          <w:sz w:val="20"/>
          <w:szCs w:val="20"/>
        </w:rPr>
        <w:t>: Lokoregionäre Kontrollrate nach Kaplan-Meier für das</w:t>
      </w:r>
      <w:r w:rsidR="003D2BD6" w:rsidRPr="00812C16">
        <w:rPr>
          <w:rFonts w:cs="Arial"/>
          <w:b/>
          <w:bCs/>
          <w:color w:val="000000" w:themeColor="text1"/>
          <w:sz w:val="20"/>
          <w:szCs w:val="20"/>
        </w:rPr>
        <w:t xml:space="preserve"> </w:t>
      </w:r>
      <w:r w:rsidRPr="00812C16">
        <w:rPr>
          <w:rFonts w:cs="Arial"/>
          <w:b/>
          <w:bCs/>
          <w:color w:val="000000" w:themeColor="text1"/>
          <w:sz w:val="20"/>
          <w:szCs w:val="20"/>
        </w:rPr>
        <w:t>Gesamtkollektiv</w:t>
      </w:r>
      <w:bookmarkEnd w:id="65"/>
      <w:bookmarkEnd w:id="66"/>
      <w:r w:rsidR="00F9120C" w:rsidRPr="00812C16">
        <w:rPr>
          <w:rFonts w:cs="Arial"/>
          <w:b/>
          <w:bCs/>
          <w:color w:val="000000" w:themeColor="text1"/>
          <w:sz w:val="20"/>
          <w:szCs w:val="20"/>
        </w:rPr>
        <w:t xml:space="preserve"> </w:t>
      </w:r>
    </w:p>
    <w:p w14:paraId="1D1BEEBB" w14:textId="01932003" w:rsidR="00A03005" w:rsidRPr="00812C16" w:rsidRDefault="00A03005" w:rsidP="003419D8">
      <w:pPr>
        <w:tabs>
          <w:tab w:val="left" w:pos="567"/>
        </w:tabs>
        <w:spacing w:before="360" w:after="100" w:afterAutospacing="1"/>
        <w:rPr>
          <w:rFonts w:cs="Arial"/>
        </w:rPr>
      </w:pPr>
      <w:r w:rsidRPr="00812C16">
        <w:rPr>
          <w:rFonts w:cs="Arial"/>
          <w:lang w:eastAsia="de-DE"/>
        </w:rPr>
        <w:t>Fernmetastasen traten bei 42 Patienten (19,0%</w:t>
      </w:r>
      <w:r w:rsidR="00F523DC" w:rsidRPr="00812C16">
        <w:rPr>
          <w:rFonts w:cs="Arial"/>
          <w:lang w:eastAsia="de-DE"/>
        </w:rPr>
        <w:t xml:space="preserve"> der Fälle</w:t>
      </w:r>
      <w:r w:rsidRPr="00812C16">
        <w:rPr>
          <w:rFonts w:cs="Arial"/>
          <w:lang w:eastAsia="de-DE"/>
        </w:rPr>
        <w:t xml:space="preserve">) auf. Die </w:t>
      </w:r>
      <w:r w:rsidR="000C557A" w:rsidRPr="00812C16">
        <w:rPr>
          <w:rFonts w:cs="Arial"/>
          <w:lang w:eastAsia="de-DE"/>
        </w:rPr>
        <w:fldChar w:fldCharType="begin"/>
      </w:r>
      <w:r w:rsidR="000C557A" w:rsidRPr="00812C16">
        <w:rPr>
          <w:rFonts w:cs="Arial"/>
          <w:lang w:eastAsia="de-DE"/>
        </w:rPr>
        <w:instrText xml:space="preserve"> REF _Ref90720946 \h  \* MERGEFORMAT </w:instrText>
      </w:r>
      <w:r w:rsidR="000C557A" w:rsidRPr="00812C16">
        <w:rPr>
          <w:rFonts w:cs="Arial"/>
          <w:lang w:eastAsia="de-DE"/>
        </w:rPr>
      </w:r>
      <w:r w:rsidR="000C557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2</w:t>
      </w:r>
      <w:r w:rsidR="000C557A" w:rsidRPr="00812C16">
        <w:rPr>
          <w:rFonts w:cs="Arial"/>
          <w:lang w:eastAsia="de-DE"/>
        </w:rPr>
        <w:fldChar w:fldCharType="end"/>
      </w:r>
      <w:r w:rsidRPr="00812C16">
        <w:rPr>
          <w:rFonts w:cs="Arial"/>
          <w:lang w:eastAsia="de-DE"/>
        </w:rPr>
        <w:t xml:space="preserve"> zeigt die Kaplan-Meier Ereigniskurve für das Fernmetastasen-freie Überleben des gesamten </w:t>
      </w:r>
      <w:r w:rsidR="003419D8" w:rsidRPr="00812C16">
        <w:rPr>
          <w:rFonts w:cs="Arial"/>
          <w:lang w:eastAsia="de-DE"/>
        </w:rPr>
        <w:t>Patientkollektivs</w:t>
      </w:r>
      <w:r w:rsidRPr="00812C16">
        <w:rPr>
          <w:rFonts w:cs="Arial"/>
          <w:lang w:eastAsia="de-DE"/>
        </w:rPr>
        <w:t xml:space="preserve">. Die fernmetastasenfreie Ereignisrate nach 2 und 5 Jahren </w:t>
      </w:r>
      <w:r w:rsidRPr="00812C16">
        <w:rPr>
          <w:rFonts w:cs="Arial"/>
          <w:lang w:eastAsia="de-DE"/>
        </w:rPr>
        <w:lastRenderedPageBreak/>
        <w:t xml:space="preserve">betrug 85,1% </w:t>
      </w:r>
      <w:r w:rsidR="000C557A" w:rsidRPr="00812C16">
        <w:rPr>
          <w:rFonts w:cs="Arial"/>
          <w:lang w:eastAsia="de-DE"/>
        </w:rPr>
        <w:t xml:space="preserve">(Standardfehler 2,4%) </w:t>
      </w:r>
      <w:r w:rsidRPr="00812C16">
        <w:rPr>
          <w:rFonts w:cs="Arial"/>
          <w:lang w:eastAsia="de-DE"/>
        </w:rPr>
        <w:t>sowie 79,1% (</w:t>
      </w:r>
      <w:r w:rsidR="000C557A" w:rsidRPr="00812C16">
        <w:rPr>
          <w:rFonts w:cs="Arial"/>
          <w:lang w:eastAsia="de-DE"/>
        </w:rPr>
        <w:t>Standardfehler 2,9%)</w:t>
      </w:r>
      <w:r w:rsidRPr="00812C16">
        <w:rPr>
          <w:rFonts w:cs="Arial"/>
          <w:lang w:eastAsia="de-DE"/>
        </w:rPr>
        <w:t>. Die mittlere ereignisfreie Zeit lag bei 82,8 Monaten</w:t>
      </w:r>
      <w:r w:rsidRPr="00812C16">
        <w:rPr>
          <w:rFonts w:cs="Arial"/>
        </w:rPr>
        <w:t xml:space="preserve"> (95%-KI, 78,1 bis 87,5 Monate).</w:t>
      </w:r>
    </w:p>
    <w:p w14:paraId="53A24C41" w14:textId="77777777" w:rsidR="00A03005" w:rsidRPr="00812C16" w:rsidRDefault="00B71E93" w:rsidP="001B1F9F">
      <w:pPr>
        <w:tabs>
          <w:tab w:val="left" w:pos="2410"/>
          <w:tab w:val="left" w:pos="6096"/>
          <w:tab w:val="left" w:pos="7230"/>
          <w:tab w:val="left" w:pos="7371"/>
          <w:tab w:val="left" w:pos="7513"/>
          <w:tab w:val="left" w:pos="7655"/>
          <w:tab w:val="right" w:pos="7938"/>
        </w:tabs>
        <w:spacing w:after="0"/>
        <w:ind w:left="1418"/>
        <w:jc w:val="left"/>
        <w:rPr>
          <w:rFonts w:cs="Arial"/>
          <w:lang w:eastAsia="de-DE"/>
        </w:rPr>
      </w:pPr>
      <w:r w:rsidRPr="00812C16">
        <w:rPr>
          <w:noProof/>
        </w:rPr>
        <w:drawing>
          <wp:inline distT="0" distB="0" distL="0" distR="0" wp14:anchorId="12A3C2C2" wp14:editId="2F733C22">
            <wp:extent cx="4054475" cy="2974340"/>
            <wp:effectExtent l="0" t="0" r="0" b="0"/>
            <wp:docPr id="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3">
                      <a:extLst>
                        <a:ext uri="{28A0092B-C50C-407E-A947-70E740481C1C}">
                          <a14:useLocalDpi xmlns:a14="http://schemas.microsoft.com/office/drawing/2010/main" val="0"/>
                        </a:ext>
                      </a:extLst>
                    </a:blip>
                    <a:srcRect l="1909" r="30424" b="24030"/>
                    <a:stretch>
                      <a:fillRect/>
                    </a:stretch>
                  </pic:blipFill>
                  <pic:spPr bwMode="auto">
                    <a:xfrm>
                      <a:off x="0" y="0"/>
                      <a:ext cx="4054475" cy="2974340"/>
                    </a:xfrm>
                    <a:prstGeom prst="rect">
                      <a:avLst/>
                    </a:prstGeom>
                    <a:noFill/>
                    <a:ln>
                      <a:noFill/>
                    </a:ln>
                  </pic:spPr>
                </pic:pic>
              </a:graphicData>
            </a:graphic>
          </wp:inline>
        </w:drawing>
      </w:r>
    </w:p>
    <w:p w14:paraId="14544F07" w14:textId="47FA40AE" w:rsidR="00A03005" w:rsidRPr="00812C16" w:rsidRDefault="00A03005" w:rsidP="00A03005">
      <w:pPr>
        <w:pStyle w:val="Beschriftung"/>
        <w:spacing w:after="360" w:line="240" w:lineRule="auto"/>
        <w:rPr>
          <w:rFonts w:cs="Arial"/>
          <w:b/>
          <w:bCs/>
          <w:i w:val="0"/>
          <w:iCs w:val="0"/>
          <w:color w:val="000000" w:themeColor="text1"/>
          <w:sz w:val="20"/>
          <w:szCs w:val="20"/>
          <w:lang w:eastAsia="de-DE"/>
        </w:rPr>
      </w:pPr>
      <w:bookmarkStart w:id="67" w:name="_Ref90720946"/>
      <w:bookmarkStart w:id="68" w:name="_Toc180788382"/>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67"/>
      <w:r w:rsidRPr="00812C16">
        <w:rPr>
          <w:b/>
          <w:bCs/>
          <w:i w:val="0"/>
          <w:iCs w:val="0"/>
          <w:color w:val="000000" w:themeColor="text1"/>
          <w:sz w:val="20"/>
          <w:szCs w:val="20"/>
        </w:rPr>
        <w:t>: Fernmetastasenfreies Überleben nach Kaplan-Meier für das Gesamtkollektiv</w:t>
      </w:r>
      <w:bookmarkEnd w:id="68"/>
      <w:r w:rsidRPr="00812C16">
        <w:rPr>
          <w:b/>
          <w:bCs/>
          <w:i w:val="0"/>
          <w:iCs w:val="0"/>
          <w:color w:val="000000" w:themeColor="text1"/>
          <w:sz w:val="20"/>
          <w:szCs w:val="20"/>
        </w:rPr>
        <w:t xml:space="preserve"> </w:t>
      </w:r>
    </w:p>
    <w:p w14:paraId="01688B3A" w14:textId="01B96383" w:rsidR="002E360C" w:rsidRPr="00812C16" w:rsidRDefault="00622C8B" w:rsidP="00513B9C">
      <w:pPr>
        <w:tabs>
          <w:tab w:val="left" w:pos="2694"/>
          <w:tab w:val="left" w:pos="7797"/>
          <w:tab w:val="left" w:pos="8080"/>
        </w:tabs>
        <w:spacing w:before="120" w:after="360"/>
        <w:rPr>
          <w:rFonts w:cs="Arial"/>
        </w:rPr>
      </w:pPr>
      <w:r w:rsidRPr="00812C16">
        <w:rPr>
          <w:rFonts w:cs="Arial"/>
          <w:lang w:eastAsia="de-DE"/>
        </w:rPr>
        <w:t xml:space="preserve">Zum Ende der Beobachtungszeit waren 70 Patienten (31,7 %) verstorben. </w:t>
      </w:r>
      <w:r w:rsidR="00D472BB" w:rsidRPr="00812C16">
        <w:rPr>
          <w:rFonts w:cs="Arial"/>
          <w:lang w:eastAsia="de-DE"/>
        </w:rPr>
        <w:t>Die</w:t>
      </w:r>
      <w:r w:rsidR="00382956" w:rsidRPr="00812C16">
        <w:rPr>
          <w:rFonts w:cs="Arial"/>
          <w:lang w:eastAsia="de-DE"/>
        </w:rPr>
        <w:t xml:space="preserve"> 2- bzw. 5-Jahresüberlebensrate betrug</w:t>
      </w:r>
      <w:r w:rsidR="00465294" w:rsidRPr="00812C16">
        <w:rPr>
          <w:rFonts w:cs="Arial"/>
          <w:lang w:eastAsia="de-DE"/>
        </w:rPr>
        <w:t xml:space="preserve"> schätzungsweise 83,9% </w:t>
      </w:r>
      <w:r w:rsidR="000C557A" w:rsidRPr="00812C16">
        <w:rPr>
          <w:rFonts w:cs="Arial"/>
          <w:lang w:eastAsia="de-DE"/>
        </w:rPr>
        <w:t xml:space="preserve">(Standardfehler </w:t>
      </w:r>
      <w:r w:rsidR="00513B9C" w:rsidRPr="00812C16">
        <w:rPr>
          <w:rFonts w:cs="Arial"/>
          <w:lang w:eastAsia="de-DE"/>
        </w:rPr>
        <w:t>2,5</w:t>
      </w:r>
      <w:r w:rsidR="000C557A" w:rsidRPr="00812C16">
        <w:rPr>
          <w:rFonts w:cs="Arial"/>
          <w:lang w:eastAsia="de-DE"/>
        </w:rPr>
        <w:t xml:space="preserve">%) </w:t>
      </w:r>
      <w:r w:rsidR="00465294" w:rsidRPr="00812C16">
        <w:rPr>
          <w:rFonts w:cs="Arial"/>
          <w:lang w:eastAsia="de-DE"/>
        </w:rPr>
        <w:t>bzw. 67,8%</w:t>
      </w:r>
      <w:r w:rsidR="000C557A" w:rsidRPr="00812C16">
        <w:rPr>
          <w:rFonts w:cs="Arial"/>
          <w:lang w:eastAsia="de-DE"/>
        </w:rPr>
        <w:t xml:space="preserve"> (Standardfehler </w:t>
      </w:r>
      <w:r w:rsidR="00513B9C" w:rsidRPr="00812C16">
        <w:rPr>
          <w:rFonts w:cs="Arial"/>
          <w:lang w:eastAsia="de-DE"/>
        </w:rPr>
        <w:t>3,4</w:t>
      </w:r>
      <w:r w:rsidR="000C557A" w:rsidRPr="00812C16">
        <w:rPr>
          <w:rFonts w:cs="Arial"/>
          <w:lang w:eastAsia="de-DE"/>
        </w:rPr>
        <w:t>%). Die entsprechende Kaplan-Meier Kurve zeigt</w:t>
      </w:r>
      <w:r w:rsidR="00FF1DDA" w:rsidRPr="00812C16">
        <w:rPr>
          <w:rFonts w:cs="Arial"/>
          <w:lang w:eastAsia="de-DE"/>
        </w:rPr>
        <w:t xml:space="preserve"> </w:t>
      </w:r>
      <w:r w:rsidR="00FF1DDA" w:rsidRPr="00812C16">
        <w:rPr>
          <w:rFonts w:cs="Arial"/>
          <w:lang w:eastAsia="de-DE"/>
        </w:rPr>
        <w:fldChar w:fldCharType="begin"/>
      </w:r>
      <w:r w:rsidR="00FF1DDA" w:rsidRPr="00812C16">
        <w:rPr>
          <w:rFonts w:cs="Arial"/>
          <w:lang w:eastAsia="de-DE"/>
        </w:rPr>
        <w:instrText xml:space="preserve"> REF _Ref90720910 \h  \* MERGEFORMAT </w:instrText>
      </w:r>
      <w:r w:rsidR="00FF1DDA" w:rsidRPr="00812C16">
        <w:rPr>
          <w:rFonts w:cs="Arial"/>
          <w:lang w:eastAsia="de-DE"/>
        </w:rPr>
      </w:r>
      <w:r w:rsidR="00FF1DD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3</w:t>
      </w:r>
      <w:r w:rsidR="00FF1DDA" w:rsidRPr="00812C16">
        <w:rPr>
          <w:rFonts w:cs="Arial"/>
          <w:lang w:eastAsia="de-DE"/>
        </w:rPr>
        <w:fldChar w:fldCharType="end"/>
      </w:r>
      <w:r w:rsidR="000C557A" w:rsidRPr="00812C16">
        <w:rPr>
          <w:rFonts w:cs="Arial"/>
          <w:lang w:eastAsia="de-DE"/>
        </w:rPr>
        <w:t xml:space="preserve">. </w:t>
      </w:r>
      <w:r w:rsidR="00465294" w:rsidRPr="00812C16">
        <w:rPr>
          <w:rFonts w:cs="Arial"/>
          <w:lang w:eastAsia="de-DE"/>
        </w:rPr>
        <w:t xml:space="preserve"> </w:t>
      </w:r>
      <w:r w:rsidR="00382956" w:rsidRPr="00812C16">
        <w:rPr>
          <w:rFonts w:cs="Arial"/>
          <w:lang w:eastAsia="de-DE"/>
        </w:rPr>
        <w:t>Die mittlere Überlebenszeit lag bei 71,6 Monaten</w:t>
      </w:r>
      <w:r w:rsidR="00382956" w:rsidRPr="00812C16">
        <w:rPr>
          <w:rFonts w:cs="Arial"/>
        </w:rPr>
        <w:t xml:space="preserve"> (95%-KI, 65,8</w:t>
      </w:r>
      <w:r w:rsidR="00465294" w:rsidRPr="00812C16">
        <w:rPr>
          <w:rFonts w:cs="Arial"/>
        </w:rPr>
        <w:t xml:space="preserve"> bis </w:t>
      </w:r>
      <w:r w:rsidR="00382956" w:rsidRPr="00812C16">
        <w:rPr>
          <w:rFonts w:cs="Arial"/>
        </w:rPr>
        <w:t>72,3 Monate)</w:t>
      </w:r>
      <w:r w:rsidR="002E360C" w:rsidRPr="00812C16">
        <w:rPr>
          <w:rFonts w:cs="Arial"/>
        </w:rPr>
        <w:t>.</w:t>
      </w:r>
    </w:p>
    <w:p w14:paraId="22B1CEB8" w14:textId="77777777" w:rsidR="00B86B18" w:rsidRPr="00812C16" w:rsidRDefault="005D0971" w:rsidP="001B1F9F">
      <w:pPr>
        <w:keepNext/>
        <w:tabs>
          <w:tab w:val="left" w:pos="284"/>
          <w:tab w:val="left" w:pos="709"/>
          <w:tab w:val="left" w:pos="2268"/>
          <w:tab w:val="right" w:pos="2552"/>
          <w:tab w:val="left" w:pos="2694"/>
          <w:tab w:val="left" w:pos="6804"/>
          <w:tab w:val="left" w:pos="6946"/>
          <w:tab w:val="left" w:pos="7230"/>
          <w:tab w:val="right" w:pos="7371"/>
          <w:tab w:val="left" w:pos="7797"/>
          <w:tab w:val="right" w:pos="7938"/>
        </w:tabs>
        <w:spacing w:after="0"/>
        <w:ind w:left="1418"/>
        <w:jc w:val="left"/>
      </w:pPr>
      <w:r w:rsidRPr="00812C16">
        <w:rPr>
          <w:noProof/>
        </w:rPr>
        <mc:AlternateContent>
          <mc:Choice Requires="wps">
            <w:drawing>
              <wp:anchor distT="0" distB="0" distL="114300" distR="114300" simplePos="0" relativeHeight="251663360" behindDoc="0" locked="0" layoutInCell="1" allowOverlap="1" wp14:anchorId="72D6ABE8" wp14:editId="308DCF08">
                <wp:simplePos x="0" y="0"/>
                <wp:positionH relativeFrom="column">
                  <wp:posOffset>615950</wp:posOffset>
                </wp:positionH>
                <wp:positionV relativeFrom="paragraph">
                  <wp:posOffset>2040255</wp:posOffset>
                </wp:positionV>
                <wp:extent cx="147320" cy="137160"/>
                <wp:effectExtent l="0" t="0" r="0" b="0"/>
                <wp:wrapNone/>
                <wp:docPr id="21" name="Rechtec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47320" cy="137160"/>
                        </a:xfrm>
                        <a:prstGeom prst="rect">
                          <a:avLst/>
                        </a:prstGeom>
                        <a:solidFill>
                          <a:schemeClr val="bg1"/>
                        </a:solidFill>
                        <a:ln cmpd="thickThi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B8BD9" id="Rechteck 21" o:spid="_x0000_s1026" style="position:absolute;margin-left:48.5pt;margin-top:160.65pt;width:11.6pt;height:10.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" fillcolor="white [3212]" stroked="f" strokeweight="1pt">
                <v:stroke linestyle="thickThin"/>
              </v:rect>
            </w:pict>
          </mc:Fallback>
        </mc:AlternateContent>
      </w:r>
      <w:r w:rsidR="002A2753" w:rsidRPr="00812C16">
        <w:rPr>
          <w:noProof/>
        </w:rPr>
        <w:t xml:space="preserve"> </w:t>
      </w:r>
      <w:r w:rsidR="00B71E93" w:rsidRPr="00812C16">
        <w:rPr>
          <w:noProof/>
        </w:rPr>
        <w:drawing>
          <wp:inline distT="0" distB="0" distL="0" distR="0" wp14:anchorId="4B4C212D" wp14:editId="42A188D3">
            <wp:extent cx="3999230" cy="2930525"/>
            <wp:effectExtent l="0" t="0" r="0" b="0"/>
            <wp:docPr id="1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24">
                      <a:extLst>
                        <a:ext uri="{28A0092B-C50C-407E-A947-70E740481C1C}">
                          <a14:useLocalDpi xmlns:a14="http://schemas.microsoft.com/office/drawing/2010/main" val="0"/>
                        </a:ext>
                      </a:extLst>
                    </a:blip>
                    <a:srcRect l="2144" t="218" r="30482" b="23593"/>
                    <a:stretch>
                      <a:fillRect/>
                    </a:stretch>
                  </pic:blipFill>
                  <pic:spPr bwMode="auto">
                    <a:xfrm>
                      <a:off x="0" y="0"/>
                      <a:ext cx="3999230" cy="2930525"/>
                    </a:xfrm>
                    <a:prstGeom prst="rect">
                      <a:avLst/>
                    </a:prstGeom>
                    <a:noFill/>
                    <a:ln>
                      <a:noFill/>
                    </a:ln>
                  </pic:spPr>
                </pic:pic>
              </a:graphicData>
            </a:graphic>
          </wp:inline>
        </w:drawing>
      </w:r>
      <w:r w:rsidR="00581845" w:rsidRPr="00812C16">
        <w:rPr>
          <w:noProof/>
        </w:rPr>
        <w:t xml:space="preserve">   </w:t>
      </w:r>
    </w:p>
    <w:p w14:paraId="1A54277D" w14:textId="72605C6D" w:rsidR="00860D6D" w:rsidRPr="00812C16" w:rsidRDefault="00B86B18" w:rsidP="00365664">
      <w:pPr>
        <w:pStyle w:val="Beschriftung"/>
        <w:spacing w:after="360" w:line="240" w:lineRule="auto"/>
        <w:jc w:val="left"/>
        <w:rPr>
          <w:rFonts w:cs="Arial"/>
          <w:i w:val="0"/>
          <w:iCs w:val="0"/>
          <w:color w:val="000000" w:themeColor="text1"/>
          <w:sz w:val="20"/>
          <w:szCs w:val="20"/>
          <w:lang w:eastAsia="de-DE"/>
        </w:rPr>
      </w:pPr>
      <w:bookmarkStart w:id="69" w:name="_Ref90720910"/>
      <w:bookmarkStart w:id="70" w:name="_Toc180788383"/>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bookmarkEnd w:id="69"/>
      <w:r w:rsidRPr="00812C16">
        <w:rPr>
          <w:b/>
          <w:bCs/>
          <w:i w:val="0"/>
          <w:iCs w:val="0"/>
          <w:color w:val="000000" w:themeColor="text1"/>
          <w:sz w:val="20"/>
          <w:szCs w:val="20"/>
        </w:rPr>
        <w:t>: Gesamtüberleben nach Kaplan-Meier für das Gesamtkollektiv</w:t>
      </w:r>
      <w:r w:rsidR="00ED14C9" w:rsidRPr="00812C16">
        <w:rPr>
          <w:b/>
          <w:bCs/>
          <w:i w:val="0"/>
          <w:iCs w:val="0"/>
          <w:color w:val="000000" w:themeColor="text1"/>
          <w:sz w:val="20"/>
          <w:szCs w:val="20"/>
        </w:rPr>
        <w:t>.</w:t>
      </w:r>
      <w:bookmarkEnd w:id="70"/>
      <w:r w:rsidR="00ED14C9" w:rsidRPr="00812C16">
        <w:rPr>
          <w:b/>
          <w:bCs/>
          <w:i w:val="0"/>
          <w:iCs w:val="0"/>
          <w:color w:val="000000" w:themeColor="text1"/>
          <w:sz w:val="20"/>
          <w:szCs w:val="20"/>
        </w:rPr>
        <w:t xml:space="preserve"> </w:t>
      </w:r>
    </w:p>
    <w:p w14:paraId="297B9FB2" w14:textId="77777777" w:rsidR="0008123C" w:rsidRPr="00812C16" w:rsidRDefault="00C64E3B" w:rsidP="00A03005">
      <w:pPr>
        <w:spacing w:before="120" w:after="360"/>
        <w:rPr>
          <w:rFonts w:cs="Arial"/>
          <w:lang w:eastAsia="de-DE"/>
        </w:rPr>
      </w:pPr>
      <w:r w:rsidRPr="00812C16">
        <w:rPr>
          <w:rFonts w:cs="Arial"/>
          <w:lang w:eastAsia="de-DE"/>
        </w:rPr>
        <w:lastRenderedPageBreak/>
        <w:t xml:space="preserve">Im Untersuchungszeitraum </w:t>
      </w:r>
      <w:r w:rsidR="00CF777B" w:rsidRPr="00812C16">
        <w:rPr>
          <w:rFonts w:cs="Arial"/>
          <w:lang w:eastAsia="de-DE"/>
        </w:rPr>
        <w:t>verstarben</w:t>
      </w:r>
      <w:r w:rsidR="00AD58D6" w:rsidRPr="00812C16">
        <w:rPr>
          <w:rFonts w:cs="Arial"/>
          <w:lang w:eastAsia="de-DE"/>
        </w:rPr>
        <w:t xml:space="preserve"> 70 </w:t>
      </w:r>
      <w:r w:rsidR="00CF777B" w:rsidRPr="00812C16">
        <w:rPr>
          <w:rFonts w:cs="Arial"/>
          <w:lang w:eastAsia="de-DE"/>
        </w:rPr>
        <w:t>Patienten,</w:t>
      </w:r>
      <w:r w:rsidR="00AD58D6" w:rsidRPr="00812C16">
        <w:rPr>
          <w:rFonts w:cs="Arial"/>
          <w:lang w:eastAsia="de-DE"/>
        </w:rPr>
        <w:t xml:space="preserve"> bei 29 wurde ein </w:t>
      </w:r>
      <w:r w:rsidR="009B7869" w:rsidRPr="00812C16">
        <w:rPr>
          <w:rFonts w:cs="Arial"/>
          <w:lang w:eastAsia="de-DE"/>
        </w:rPr>
        <w:t>l</w:t>
      </w:r>
      <w:r w:rsidR="00AD58D6" w:rsidRPr="00812C16">
        <w:rPr>
          <w:rFonts w:cs="Arial"/>
          <w:lang w:eastAsia="de-DE"/>
        </w:rPr>
        <w:t>okoregionäres Rezidiv diag</w:t>
      </w:r>
      <w:r w:rsidR="009B7869" w:rsidRPr="00812C16">
        <w:rPr>
          <w:rFonts w:cs="Arial"/>
          <w:lang w:eastAsia="de-DE"/>
        </w:rPr>
        <w:t xml:space="preserve">nostiziert </w:t>
      </w:r>
      <w:r w:rsidR="00AD58D6" w:rsidRPr="00812C16">
        <w:rPr>
          <w:rFonts w:cs="Arial"/>
          <w:lang w:eastAsia="de-DE"/>
        </w:rPr>
        <w:t>und 42 Patienten bekamen Fernmetastasen</w:t>
      </w:r>
      <w:r w:rsidR="009B7869" w:rsidRPr="00812C16">
        <w:rPr>
          <w:rFonts w:cs="Arial"/>
          <w:lang w:eastAsia="de-DE"/>
        </w:rPr>
        <w:t>.</w:t>
      </w:r>
      <w:r w:rsidR="00AD58D6" w:rsidRPr="00812C16">
        <w:rPr>
          <w:rFonts w:cs="Arial"/>
          <w:lang w:eastAsia="de-DE"/>
        </w:rPr>
        <w:t xml:space="preserve"> I</w:t>
      </w:r>
      <w:r w:rsidRPr="00812C16">
        <w:rPr>
          <w:rFonts w:cs="Arial"/>
          <w:lang w:eastAsia="de-DE"/>
        </w:rPr>
        <w:t>nsgesamt</w:t>
      </w:r>
      <w:r w:rsidR="00AD58D6" w:rsidRPr="00812C16">
        <w:rPr>
          <w:rFonts w:cs="Arial"/>
          <w:lang w:eastAsia="de-DE"/>
        </w:rPr>
        <w:t xml:space="preserve"> wurden also</w:t>
      </w:r>
      <w:r w:rsidRPr="00812C16">
        <w:rPr>
          <w:rFonts w:cs="Arial"/>
          <w:lang w:eastAsia="de-DE"/>
        </w:rPr>
        <w:t xml:space="preserve"> </w:t>
      </w:r>
      <w:r w:rsidR="00AD58D6" w:rsidRPr="00812C16">
        <w:rPr>
          <w:rFonts w:cs="Arial"/>
          <w:lang w:eastAsia="de-DE"/>
        </w:rPr>
        <w:t xml:space="preserve">141 </w:t>
      </w:r>
      <w:r w:rsidRPr="00812C16">
        <w:rPr>
          <w:rFonts w:cs="Arial"/>
          <w:lang w:eastAsia="de-DE"/>
        </w:rPr>
        <w:t xml:space="preserve">Ereignisse </w:t>
      </w:r>
      <w:r w:rsidR="009B7869" w:rsidRPr="00812C16">
        <w:rPr>
          <w:rFonts w:cs="Arial"/>
          <w:lang w:eastAsia="de-DE"/>
        </w:rPr>
        <w:t>registriert</w:t>
      </w:r>
      <w:r w:rsidRPr="00812C16">
        <w:rPr>
          <w:rFonts w:cs="Arial"/>
          <w:lang w:eastAsia="de-DE"/>
        </w:rPr>
        <w:t xml:space="preserve">. Somit war für </w:t>
      </w:r>
      <w:r w:rsidR="00AD58D6" w:rsidRPr="00812C16">
        <w:rPr>
          <w:rFonts w:cs="Arial"/>
          <w:lang w:eastAsia="de-DE"/>
        </w:rPr>
        <w:t>80</w:t>
      </w:r>
      <w:r w:rsidRPr="00812C16">
        <w:rPr>
          <w:rFonts w:cs="Arial"/>
          <w:lang w:eastAsia="de-DE"/>
        </w:rPr>
        <w:t xml:space="preserve"> (</w:t>
      </w:r>
      <w:r w:rsidR="003419D8" w:rsidRPr="00812C16">
        <w:rPr>
          <w:rFonts w:cs="Arial"/>
          <w:lang w:eastAsia="de-DE"/>
        </w:rPr>
        <w:t>36,2</w:t>
      </w:r>
      <w:r w:rsidRPr="00812C16">
        <w:rPr>
          <w:rFonts w:cs="Arial"/>
          <w:lang w:eastAsia="de-DE"/>
        </w:rPr>
        <w:t>%) Patienten das Follow-up zum Zeitpunkt der letzten Datenerfassung der vorliegenden Arbeit noch nicht abgeschlossen.</w:t>
      </w:r>
      <w:r w:rsidR="00AD58D6" w:rsidRPr="00812C16">
        <w:rPr>
          <w:rFonts w:cs="Arial"/>
          <w:lang w:eastAsia="de-DE"/>
        </w:rPr>
        <w:t xml:space="preserve"> Diese wurden als </w:t>
      </w:r>
      <w:r w:rsidR="00127FDE" w:rsidRPr="00812C16">
        <w:rPr>
          <w:rFonts w:cs="Arial"/>
          <w:lang w:eastAsia="de-DE"/>
        </w:rPr>
        <w:t xml:space="preserve">zensierte Ereignisse in der Datenauswertung berücksichtigt. </w:t>
      </w:r>
      <w:r w:rsidR="0008123C" w:rsidRPr="00812C16">
        <w:rPr>
          <w:rFonts w:cs="Arial"/>
          <w:lang w:eastAsia="de-DE"/>
        </w:rPr>
        <w:t>Die Kaplan-Meier Ereigniskurven</w:t>
      </w:r>
      <w:r w:rsidR="0024223E" w:rsidRPr="00812C16">
        <w:rPr>
          <w:rFonts w:cs="Arial"/>
          <w:lang w:eastAsia="de-DE"/>
        </w:rPr>
        <w:t xml:space="preserve"> </w:t>
      </w:r>
      <w:r w:rsidR="0008123C" w:rsidRPr="00812C16">
        <w:rPr>
          <w:rFonts w:cs="Arial"/>
          <w:lang w:eastAsia="de-DE"/>
        </w:rPr>
        <w:t xml:space="preserve">für das Patientenkollektiv der Subgruppen mit HPV16 DNA-negativen </w:t>
      </w:r>
      <w:r w:rsidR="00B57DDF" w:rsidRPr="00812C16">
        <w:rPr>
          <w:rFonts w:cs="Arial"/>
          <w:lang w:eastAsia="de-DE"/>
        </w:rPr>
        <w:t>und</w:t>
      </w:r>
      <w:r w:rsidR="0008123C" w:rsidRPr="00812C16">
        <w:rPr>
          <w:rFonts w:cs="Arial"/>
          <w:lang w:eastAsia="de-DE"/>
        </w:rPr>
        <w:t xml:space="preserve"> -positiven Tumoren</w:t>
      </w:r>
      <w:r w:rsidR="00B57DDF" w:rsidRPr="00812C16">
        <w:rPr>
          <w:rFonts w:cs="Arial"/>
          <w:lang w:eastAsia="de-DE"/>
        </w:rPr>
        <w:t>, können der Anlage entnommen werden.</w:t>
      </w:r>
    </w:p>
    <w:p w14:paraId="06AA311E" w14:textId="77777777" w:rsidR="0083406B" w:rsidRPr="00812C16" w:rsidRDefault="0030348F" w:rsidP="005547D3">
      <w:pPr>
        <w:pStyle w:val="berschrift3"/>
        <w:rPr>
          <w:rFonts w:eastAsia="Times New Roman" w:cs="Arial"/>
          <w:i/>
          <w:iCs/>
          <w:sz w:val="18"/>
        </w:rPr>
      </w:pPr>
      <w:bookmarkStart w:id="71" w:name="_Toc158006540"/>
      <w:r w:rsidRPr="00812C16">
        <w:t xml:space="preserve">Univariate Analysen zur </w:t>
      </w:r>
      <w:r w:rsidR="00DA09A9" w:rsidRPr="00812C16">
        <w:t>p</w:t>
      </w:r>
      <w:r w:rsidR="0083406B" w:rsidRPr="00812C16">
        <w:t>rognostische Relevanz von CD44</w:t>
      </w:r>
      <w:bookmarkEnd w:id="71"/>
      <w:r w:rsidR="00C5290B" w:rsidRPr="00812C16">
        <w:t xml:space="preserve"> </w:t>
      </w:r>
    </w:p>
    <w:p w14:paraId="4A2B05A1" w14:textId="4021D6FC" w:rsidR="006451FD" w:rsidRPr="00812C16" w:rsidRDefault="0035487A" w:rsidP="00FF0C10">
      <w:pPr>
        <w:spacing w:after="360"/>
        <w:rPr>
          <w:rFonts w:cs="Arial"/>
          <w:lang w:eastAsia="de-DE"/>
        </w:rPr>
      </w:pPr>
      <w:r w:rsidRPr="00812C16">
        <w:rPr>
          <w:rFonts w:cs="Arial"/>
          <w:lang w:eastAsia="de-DE"/>
        </w:rPr>
        <w:t>D</w:t>
      </w:r>
      <w:r w:rsidR="00A91231" w:rsidRPr="00812C16">
        <w:rPr>
          <w:rFonts w:cs="Arial"/>
          <w:lang w:eastAsia="de-DE"/>
        </w:rPr>
        <w:t>er</w:t>
      </w:r>
      <w:r w:rsidRPr="00812C16">
        <w:rPr>
          <w:rFonts w:cs="Arial"/>
          <w:lang w:eastAsia="de-DE"/>
        </w:rPr>
        <w:t xml:space="preserve"> potenzielle </w:t>
      </w:r>
      <w:r w:rsidR="00A805DC" w:rsidRPr="00812C16">
        <w:rPr>
          <w:rFonts w:cs="Arial"/>
          <w:lang w:eastAsia="de-DE"/>
        </w:rPr>
        <w:t>Tumorstammzellmarker</w:t>
      </w:r>
      <w:r w:rsidR="007649AF" w:rsidRPr="00812C16">
        <w:rPr>
          <w:rFonts w:cs="Arial"/>
          <w:lang w:eastAsia="de-DE"/>
        </w:rPr>
        <w:t xml:space="preserve"> (CSC-Marker)</w:t>
      </w:r>
      <w:r w:rsidR="007A0C35" w:rsidRPr="00812C16">
        <w:rPr>
          <w:rFonts w:cs="Arial"/>
          <w:lang w:eastAsia="de-DE"/>
        </w:rPr>
        <w:t xml:space="preserve"> </w:t>
      </w:r>
      <w:r w:rsidR="00A91231" w:rsidRPr="00812C16">
        <w:rPr>
          <w:rFonts w:cs="Arial"/>
          <w:lang w:eastAsia="de-DE"/>
        </w:rPr>
        <w:t xml:space="preserve">CD44 wurde </w:t>
      </w:r>
      <w:r w:rsidR="007649AF" w:rsidRPr="00812C16">
        <w:rPr>
          <w:rFonts w:cs="Arial"/>
          <w:lang w:eastAsia="de-DE"/>
        </w:rPr>
        <w:t>anhand</w:t>
      </w:r>
      <w:r w:rsidR="00A91231" w:rsidRPr="00812C16">
        <w:rPr>
          <w:rFonts w:cs="Arial"/>
          <w:lang w:eastAsia="de-DE"/>
        </w:rPr>
        <w:t xml:space="preserve"> seine</w:t>
      </w:r>
      <w:r w:rsidR="007649AF" w:rsidRPr="00812C16">
        <w:rPr>
          <w:rFonts w:cs="Arial"/>
          <w:lang w:eastAsia="de-DE"/>
        </w:rPr>
        <w:t>r</w:t>
      </w:r>
      <w:r w:rsidR="00A91231" w:rsidRPr="00812C16">
        <w:rPr>
          <w:rFonts w:cs="Arial"/>
          <w:lang w:eastAsia="de-DE"/>
        </w:rPr>
        <w:t xml:space="preserve"> immunhistochemische Proteinexpression </w:t>
      </w:r>
      <w:r w:rsidR="00365664" w:rsidRPr="00812C16">
        <w:rPr>
          <w:rFonts w:cs="Arial"/>
          <w:lang w:eastAsia="de-DE"/>
        </w:rPr>
        <w:t xml:space="preserve">im Tumormaterial des Patientkollektivs, </w:t>
      </w:r>
      <w:r w:rsidR="00A91231" w:rsidRPr="00812C16">
        <w:rPr>
          <w:rFonts w:cs="Arial"/>
          <w:lang w:eastAsia="de-DE"/>
        </w:rPr>
        <w:t xml:space="preserve">wie oben beschreiben bewertet. </w:t>
      </w:r>
      <w:r w:rsidR="007649AF" w:rsidRPr="00812C16">
        <w:rPr>
          <w:rFonts w:cs="Arial"/>
          <w:lang w:eastAsia="de-DE"/>
        </w:rPr>
        <w:t>Je nach Expressionsverhalten, konnte das Gesamtkollektiv dadurch in CD44-positive und -negative Gruppen stratifiziert werden.</w:t>
      </w:r>
      <w:r w:rsidR="00FC5E2B" w:rsidRPr="00812C16">
        <w:rPr>
          <w:rFonts w:cs="Arial"/>
          <w:lang w:eastAsia="de-DE"/>
        </w:rPr>
        <w:t xml:space="preserve"> </w:t>
      </w:r>
      <w:r w:rsidR="0009256A" w:rsidRPr="00812C16">
        <w:rPr>
          <w:rFonts w:cs="Arial"/>
        </w:rPr>
        <w:t>151 Patienten wiesen Tumore mit CD44</w:t>
      </w:r>
      <w:r w:rsidR="00365664" w:rsidRPr="00812C16">
        <w:rPr>
          <w:rFonts w:cs="Arial"/>
        </w:rPr>
        <w:t>-</w:t>
      </w:r>
      <w:r w:rsidR="0009256A" w:rsidRPr="00812C16">
        <w:rPr>
          <w:rFonts w:cs="Arial"/>
        </w:rPr>
        <w:t xml:space="preserve">positiver Proteinexpression auf, während </w:t>
      </w:r>
      <w:r w:rsidR="00DE3DEF" w:rsidRPr="00812C16">
        <w:rPr>
          <w:rFonts w:cs="Arial"/>
        </w:rPr>
        <w:t xml:space="preserve">44 </w:t>
      </w:r>
      <w:r w:rsidR="0009256A" w:rsidRPr="00812C16">
        <w:rPr>
          <w:rFonts w:cs="Arial"/>
        </w:rPr>
        <w:t>Patienten keine Färbeaktivität auf den A</w:t>
      </w:r>
      <w:r w:rsidR="00DE3DEF" w:rsidRPr="00812C16">
        <w:rPr>
          <w:rFonts w:cs="Arial"/>
        </w:rPr>
        <w:t>n</w:t>
      </w:r>
      <w:r w:rsidR="0009256A" w:rsidRPr="00812C16">
        <w:rPr>
          <w:rFonts w:cs="Arial"/>
        </w:rPr>
        <w:t>tikörper gegen CD44 zeigten und als CD44</w:t>
      </w:r>
      <w:r w:rsidR="00365664" w:rsidRPr="00812C16">
        <w:rPr>
          <w:rFonts w:cs="Arial"/>
        </w:rPr>
        <w:t>-</w:t>
      </w:r>
      <w:r w:rsidR="0009256A" w:rsidRPr="00812C16">
        <w:rPr>
          <w:rFonts w:cs="Arial"/>
        </w:rPr>
        <w:t>negativ definiert wurden.</w:t>
      </w:r>
      <w:r w:rsidR="0009256A" w:rsidRPr="00812C16">
        <w:rPr>
          <w:rFonts w:cs="Arial"/>
          <w:lang w:eastAsia="de-DE"/>
        </w:rPr>
        <w:t xml:space="preserve"> </w:t>
      </w:r>
      <w:r w:rsidR="00DE3DEF" w:rsidRPr="00812C16">
        <w:rPr>
          <w:rFonts w:cs="Arial"/>
          <w:lang w:eastAsia="de-DE"/>
        </w:rPr>
        <w:fldChar w:fldCharType="begin"/>
      </w:r>
      <w:r w:rsidR="00DE3DEF" w:rsidRPr="00812C16">
        <w:rPr>
          <w:rFonts w:cs="Arial"/>
          <w:lang w:eastAsia="de-DE"/>
        </w:rPr>
        <w:instrText xml:space="preserve"> REF _Ref90825960 \h  \* MERGEFORMAT </w:instrText>
      </w:r>
      <w:r w:rsidR="00DE3DEF" w:rsidRPr="00812C16">
        <w:rPr>
          <w:rFonts w:cs="Arial"/>
          <w:lang w:eastAsia="de-DE"/>
        </w:rPr>
      </w:r>
      <w:r w:rsidR="00DE3DEF" w:rsidRPr="00812C16">
        <w:rPr>
          <w:rFonts w:cs="Arial"/>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7</w:t>
      </w:r>
      <w:r w:rsidR="00DE3DEF" w:rsidRPr="00812C16">
        <w:rPr>
          <w:rFonts w:cs="Arial"/>
          <w:lang w:eastAsia="de-DE"/>
        </w:rPr>
        <w:fldChar w:fldCharType="end"/>
      </w:r>
      <w:r w:rsidR="00DE3DEF" w:rsidRPr="00812C16">
        <w:rPr>
          <w:rFonts w:cs="Arial"/>
          <w:lang w:eastAsia="de-DE"/>
        </w:rPr>
        <w:t xml:space="preserve"> zeigt die Verteilung der CD44</w:t>
      </w:r>
      <w:r w:rsidR="00365664" w:rsidRPr="00812C16">
        <w:rPr>
          <w:rFonts w:cs="Arial"/>
          <w:lang w:eastAsia="de-DE"/>
        </w:rPr>
        <w:t xml:space="preserve"> </w:t>
      </w:r>
      <w:r w:rsidR="00B57DDF" w:rsidRPr="00812C16">
        <w:rPr>
          <w:rFonts w:cs="Arial"/>
          <w:lang w:eastAsia="de-DE"/>
        </w:rPr>
        <w:t xml:space="preserve">positiven und negativen Tumoren </w:t>
      </w:r>
      <w:r w:rsidR="00DE3DEF" w:rsidRPr="00812C16">
        <w:rPr>
          <w:rFonts w:cs="Arial"/>
          <w:lang w:eastAsia="de-DE"/>
        </w:rPr>
        <w:t xml:space="preserve">auf die klinischen Ereignisse </w:t>
      </w:r>
      <w:r w:rsidR="009C200D" w:rsidRPr="00812C16">
        <w:rPr>
          <w:rFonts w:cs="Arial"/>
          <w:lang w:eastAsia="de-DE"/>
        </w:rPr>
        <w:t xml:space="preserve">bzw. Zensierungen </w:t>
      </w:r>
      <w:r w:rsidR="00DE3DEF" w:rsidRPr="00812C16">
        <w:rPr>
          <w:rFonts w:cs="Arial"/>
          <w:lang w:eastAsia="de-DE"/>
        </w:rPr>
        <w:t>im Beobachtungszeitraum</w:t>
      </w:r>
      <w:r w:rsidR="00F636BB" w:rsidRPr="00812C16">
        <w:rPr>
          <w:rFonts w:cs="Arial"/>
          <w:lang w:eastAsia="de-DE"/>
        </w:rPr>
        <w:t xml:space="preserve"> </w:t>
      </w:r>
      <w:r w:rsidR="00B57DDF" w:rsidRPr="00812C16">
        <w:rPr>
          <w:rFonts w:cs="Arial"/>
          <w:lang w:eastAsia="de-DE"/>
        </w:rPr>
        <w:t>sowohl</w:t>
      </w:r>
      <w:r w:rsidR="00F636BB" w:rsidRPr="00812C16">
        <w:rPr>
          <w:rFonts w:cs="Arial"/>
          <w:lang w:eastAsia="de-DE"/>
        </w:rPr>
        <w:t xml:space="preserve"> vom gesamten Patientenkollektiv als auch von den beiden Subgruppen mit HPV</w:t>
      </w:r>
      <w:r w:rsidR="00C90943" w:rsidRPr="00812C16">
        <w:rPr>
          <w:rFonts w:cs="Arial"/>
          <w:lang w:eastAsia="de-DE"/>
        </w:rPr>
        <w:t>16 DNA-</w:t>
      </w:r>
      <w:r w:rsidR="00B57DDF" w:rsidRPr="00812C16">
        <w:rPr>
          <w:rFonts w:cs="Arial"/>
          <w:lang w:eastAsia="de-DE"/>
        </w:rPr>
        <w:t>positiven</w:t>
      </w:r>
      <w:r w:rsidR="00F636BB" w:rsidRPr="00812C16">
        <w:rPr>
          <w:rFonts w:cs="Arial"/>
          <w:lang w:eastAsia="de-DE"/>
        </w:rPr>
        <w:t xml:space="preserve"> un</w:t>
      </w:r>
      <w:r w:rsidR="00CB1679" w:rsidRPr="00812C16">
        <w:rPr>
          <w:rFonts w:cs="Arial"/>
          <w:lang w:eastAsia="de-DE"/>
        </w:rPr>
        <w:t>d</w:t>
      </w:r>
      <w:r w:rsidR="00F636BB" w:rsidRPr="00812C16">
        <w:rPr>
          <w:rFonts w:cs="Arial"/>
          <w:lang w:eastAsia="de-DE"/>
        </w:rPr>
        <w:t xml:space="preserve"> negativen Tumoren</w:t>
      </w:r>
      <w:r w:rsidR="006451FD" w:rsidRPr="00812C16">
        <w:rPr>
          <w:rFonts w:cs="Arial"/>
          <w:lang w:eastAsia="de-DE"/>
        </w:rPr>
        <w:t>.</w:t>
      </w:r>
    </w:p>
    <w:p w14:paraId="6F83DCBF" w14:textId="1A70AE39" w:rsidR="00316BE4" w:rsidRPr="00812C16" w:rsidRDefault="00316BE4" w:rsidP="001F6054">
      <w:pPr>
        <w:pStyle w:val="Beschriftung"/>
        <w:keepNext/>
        <w:spacing w:after="120" w:line="240" w:lineRule="auto"/>
        <w:contextualSpacing/>
        <w:rPr>
          <w:b/>
          <w:bCs/>
          <w:i w:val="0"/>
          <w:iCs w:val="0"/>
          <w:color w:val="000000" w:themeColor="text1"/>
          <w:sz w:val="20"/>
          <w:szCs w:val="20"/>
        </w:rPr>
      </w:pPr>
      <w:bookmarkStart w:id="72" w:name="_Ref90825960"/>
      <w:bookmarkStart w:id="73" w:name="_Toc180788397"/>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7</w:t>
      </w:r>
      <w:r w:rsidR="00A126D9" w:rsidRPr="00812C16">
        <w:rPr>
          <w:b/>
          <w:bCs/>
          <w:i w:val="0"/>
          <w:iCs w:val="0"/>
          <w:color w:val="000000" w:themeColor="text1"/>
          <w:sz w:val="20"/>
          <w:szCs w:val="20"/>
        </w:rPr>
        <w:fldChar w:fldCharType="end"/>
      </w:r>
      <w:bookmarkEnd w:id="72"/>
      <w:r w:rsidRPr="00812C16">
        <w:rPr>
          <w:b/>
          <w:bCs/>
          <w:i w:val="0"/>
          <w:iCs w:val="0"/>
          <w:color w:val="000000" w:themeColor="text1"/>
          <w:sz w:val="20"/>
          <w:szCs w:val="20"/>
        </w:rPr>
        <w:t xml:space="preserve">: </w:t>
      </w:r>
      <w:r w:rsidR="00383A2A" w:rsidRPr="00812C16">
        <w:rPr>
          <w:b/>
          <w:bCs/>
          <w:i w:val="0"/>
          <w:iCs w:val="0"/>
          <w:color w:val="000000" w:themeColor="text1"/>
          <w:sz w:val="20"/>
          <w:szCs w:val="20"/>
        </w:rPr>
        <w:t xml:space="preserve">Anzahl der Tumoren mit positiver oder negativer CD44 Proteinexpression pro Ereignis bzw. Zensierung. </w:t>
      </w:r>
      <w:r w:rsidR="00E35393" w:rsidRPr="00812C16">
        <w:rPr>
          <w:i w:val="0"/>
          <w:iCs w:val="0"/>
          <w:color w:val="000000" w:themeColor="text1"/>
          <w:sz w:val="20"/>
          <w:szCs w:val="20"/>
        </w:rPr>
        <w:t>N=Anzahl der auswertbaren Fälle in der Kohorte</w:t>
      </w:r>
      <w:bookmarkEnd w:id="73"/>
    </w:p>
    <w:tbl>
      <w:tblPr>
        <w:tblW w:w="9072"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701"/>
        <w:gridCol w:w="1560"/>
        <w:gridCol w:w="1417"/>
        <w:gridCol w:w="1559"/>
        <w:gridCol w:w="1418"/>
        <w:gridCol w:w="1417"/>
      </w:tblGrid>
      <w:tr w:rsidR="00E10DBC" w:rsidRPr="00812C16" w14:paraId="77B0F3D6" w14:textId="77777777" w:rsidTr="00E10DBC">
        <w:trPr>
          <w:trHeight w:val="230"/>
          <w:tblHeader/>
        </w:trPr>
        <w:tc>
          <w:tcPr>
            <w:tcW w:w="1701"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B87915" w14:textId="77777777" w:rsidR="009401C2" w:rsidRPr="00812C16" w:rsidRDefault="009401C2" w:rsidP="00316BE4">
            <w:pPr>
              <w:spacing w:before="30" w:after="30" w:line="240" w:lineRule="auto"/>
              <w:jc w:val="center"/>
              <w:rPr>
                <w:rFonts w:cs="Arial"/>
                <w:b/>
                <w:bCs/>
                <w:color w:val="FFFFFF" w:themeColor="background1"/>
                <w:sz w:val="18"/>
                <w:szCs w:val="18"/>
                <w:lang w:eastAsia="de-DE"/>
              </w:rPr>
            </w:pPr>
          </w:p>
        </w:tc>
        <w:tc>
          <w:tcPr>
            <w:tcW w:w="1560"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09F179" w14:textId="77777777" w:rsidR="009401C2" w:rsidRPr="00812C16" w:rsidRDefault="0063114A" w:rsidP="00F964D0">
            <w:pPr>
              <w:tabs>
                <w:tab w:val="left" w:pos="1215"/>
              </w:tabs>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G</w:t>
            </w:r>
            <w:r w:rsidR="009401C2" w:rsidRPr="00812C16">
              <w:rPr>
                <w:rFonts w:cs="Arial"/>
                <w:b/>
                <w:bCs/>
                <w:color w:val="FFFFFF" w:themeColor="background1"/>
                <w:sz w:val="18"/>
                <w:szCs w:val="18"/>
                <w:lang w:eastAsia="de-DE"/>
              </w:rPr>
              <w:t>esamt</w:t>
            </w:r>
          </w:p>
        </w:tc>
        <w:tc>
          <w:tcPr>
            <w:tcW w:w="1417"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08817671"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Rezidiv</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69A98B77"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Fernmetastasen</w:t>
            </w:r>
            <w:r w:rsidR="00BB7511" w:rsidRPr="00812C16">
              <w:rPr>
                <w:rFonts w:cs="Arial"/>
                <w:b/>
                <w:bCs/>
                <w:color w:val="FFFFFF" w:themeColor="background1"/>
                <w:sz w:val="18"/>
                <w:szCs w:val="18"/>
                <w:lang w:eastAsia="de-DE"/>
              </w:rPr>
              <w:t xml:space="preserve"> </w:t>
            </w:r>
          </w:p>
        </w:tc>
        <w:tc>
          <w:tcPr>
            <w:tcW w:w="141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285839D6" w14:textId="77777777" w:rsidR="009401C2" w:rsidRPr="00812C16" w:rsidRDefault="009401C2"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Tod</w:t>
            </w:r>
            <w:r w:rsidR="00BB7511" w:rsidRPr="00812C16">
              <w:rPr>
                <w:rFonts w:cs="Arial"/>
                <w:b/>
                <w:bCs/>
                <w:color w:val="FFFFFF" w:themeColor="background1"/>
                <w:sz w:val="18"/>
                <w:szCs w:val="18"/>
                <w:lang w:eastAsia="de-DE"/>
              </w:rPr>
              <w:t xml:space="preserve"> </w:t>
            </w:r>
          </w:p>
        </w:tc>
        <w:tc>
          <w:tcPr>
            <w:tcW w:w="1417" w:type="dxa"/>
            <w:tcBorders>
              <w:top w:val="single" w:sz="4" w:space="0" w:color="000000" w:themeColor="text1"/>
              <w:bottom w:val="single" w:sz="4" w:space="0" w:color="000000" w:themeColor="text1"/>
              <w:right w:val="nil"/>
            </w:tcBorders>
            <w:shd w:val="clear" w:color="auto" w:fill="4472C4" w:themeFill="accent1"/>
            <w:vAlign w:val="center"/>
          </w:tcPr>
          <w:p w14:paraId="5BAF85E8" w14:textId="77777777" w:rsidR="009401C2" w:rsidRPr="00812C16" w:rsidRDefault="009401C2" w:rsidP="00E10DBC">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Zensiert</w:t>
            </w:r>
          </w:p>
        </w:tc>
      </w:tr>
      <w:tr w:rsidR="00E10DBC" w:rsidRPr="00812C16" w14:paraId="0D05ECC1"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A8761C9" w14:textId="77777777" w:rsidR="00FE7BB4" w:rsidRPr="00812C16" w:rsidRDefault="00FC58B3" w:rsidP="00D40CB7">
            <w:pPr>
              <w:spacing w:before="30" w:after="30" w:line="240" w:lineRule="auto"/>
              <w:jc w:val="left"/>
              <w:rPr>
                <w:rFonts w:cs="Arial"/>
                <w:b/>
                <w:bCs/>
                <w:color w:val="000000" w:themeColor="text1"/>
                <w:sz w:val="18"/>
                <w:szCs w:val="18"/>
                <w:lang w:eastAsia="de-DE"/>
              </w:rPr>
            </w:pPr>
            <w:r w:rsidRPr="00812C16">
              <w:rPr>
                <w:rFonts w:cs="Arial"/>
                <w:b/>
                <w:bCs/>
                <w:color w:val="000000" w:themeColor="text1"/>
                <w:sz w:val="18"/>
                <w:szCs w:val="18"/>
                <w:lang w:eastAsia="de-DE"/>
              </w:rPr>
              <w:t>Alle Patienten</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16BF3E67"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N=221</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1C9BBDA"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N=29</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3386A24"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N=42</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64CE003"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N=70</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5E3AB385"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N=80</w:t>
            </w:r>
          </w:p>
        </w:tc>
      </w:tr>
      <w:tr w:rsidR="0024223E" w:rsidRPr="00812C16" w14:paraId="03875451"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3758701F"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6D21E17" w14:textId="77777777" w:rsidR="009401C2" w:rsidRPr="00812C16" w:rsidRDefault="009401C2" w:rsidP="00C957B2">
            <w:pPr>
              <w:spacing w:before="30" w:after="30" w:line="240" w:lineRule="auto"/>
              <w:ind w:left="-82" w:right="-41"/>
              <w:jc w:val="right"/>
              <w:rPr>
                <w:rFonts w:cs="Arial"/>
                <w:sz w:val="18"/>
                <w:szCs w:val="18"/>
                <w:lang w:eastAsia="de-DE"/>
              </w:rPr>
            </w:pPr>
            <w:r w:rsidRPr="00812C16">
              <w:rPr>
                <w:rFonts w:cs="Arial"/>
                <w:sz w:val="18"/>
                <w:szCs w:val="18"/>
                <w:lang w:eastAsia="de-DE"/>
              </w:rPr>
              <w:t>151</w:t>
            </w:r>
            <w:r w:rsidR="00C957B2" w:rsidRPr="00812C16">
              <w:rPr>
                <w:rFonts w:cs="Arial"/>
                <w:sz w:val="18"/>
                <w:szCs w:val="18"/>
                <w:lang w:eastAsia="de-DE"/>
              </w:rPr>
              <w:t xml:space="preserve"> (68,3%)</w:t>
            </w:r>
          </w:p>
        </w:tc>
        <w:tc>
          <w:tcPr>
            <w:tcW w:w="1417" w:type="dxa"/>
            <w:tcBorders>
              <w:top w:val="single" w:sz="4" w:space="0" w:color="000000" w:themeColor="text1"/>
              <w:bottom w:val="nil"/>
              <w:right w:val="nil"/>
            </w:tcBorders>
            <w:tcMar>
              <w:top w:w="75" w:type="dxa"/>
              <w:left w:w="75" w:type="dxa"/>
              <w:bottom w:w="75" w:type="dxa"/>
              <w:right w:w="75" w:type="dxa"/>
            </w:tcMar>
          </w:tcPr>
          <w:p w14:paraId="55D94779" w14:textId="77777777" w:rsidR="009401C2" w:rsidRPr="00812C16" w:rsidRDefault="009401C2" w:rsidP="0024223E">
            <w:pPr>
              <w:spacing w:before="30" w:after="30" w:line="240" w:lineRule="auto"/>
              <w:jc w:val="right"/>
              <w:rPr>
                <w:rFonts w:cs="Arial"/>
                <w:sz w:val="18"/>
                <w:szCs w:val="18"/>
                <w:lang w:eastAsia="de-DE"/>
              </w:rPr>
            </w:pPr>
            <w:r w:rsidRPr="00812C16">
              <w:rPr>
                <w:rFonts w:cs="Arial"/>
                <w:sz w:val="18"/>
                <w:szCs w:val="18"/>
                <w:lang w:eastAsia="de-DE"/>
              </w:rPr>
              <w:t>28 (</w:t>
            </w:r>
            <w:r w:rsidR="005E29C3" w:rsidRPr="00812C16">
              <w:rPr>
                <w:rFonts w:cs="Arial"/>
                <w:sz w:val="18"/>
                <w:szCs w:val="18"/>
                <w:lang w:eastAsia="de-DE"/>
              </w:rPr>
              <w:t>96,6</w:t>
            </w:r>
            <w:r w:rsidRPr="00812C16">
              <w:rPr>
                <w:rFonts w:cs="Arial"/>
                <w:sz w:val="18"/>
                <w:szCs w:val="18"/>
                <w:lang w:eastAsia="de-DE"/>
              </w:rPr>
              <w:t>%)</w:t>
            </w:r>
          </w:p>
        </w:tc>
        <w:tc>
          <w:tcPr>
            <w:tcW w:w="1559" w:type="dxa"/>
            <w:tcBorders>
              <w:top w:val="single" w:sz="4" w:space="0" w:color="000000" w:themeColor="text1"/>
              <w:bottom w:val="nil"/>
              <w:right w:val="nil"/>
            </w:tcBorders>
            <w:tcMar>
              <w:top w:w="75" w:type="dxa"/>
              <w:left w:w="75" w:type="dxa"/>
              <w:bottom w:w="75" w:type="dxa"/>
              <w:right w:w="75" w:type="dxa"/>
            </w:tcMar>
          </w:tcPr>
          <w:p w14:paraId="0B97D51C"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34</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81,0</w:t>
            </w:r>
            <w:r w:rsidRPr="00812C16">
              <w:rPr>
                <w:rFonts w:cs="Arial"/>
                <w:sz w:val="18"/>
                <w:szCs w:val="18"/>
                <w:lang w:eastAsia="de-DE"/>
              </w:rPr>
              <w:t>%)</w:t>
            </w:r>
          </w:p>
        </w:tc>
        <w:tc>
          <w:tcPr>
            <w:tcW w:w="1418" w:type="dxa"/>
            <w:tcBorders>
              <w:top w:val="single" w:sz="4" w:space="0" w:color="000000" w:themeColor="text1"/>
              <w:bottom w:val="nil"/>
              <w:right w:val="nil"/>
            </w:tcBorders>
            <w:tcMar>
              <w:top w:w="75" w:type="dxa"/>
              <w:left w:w="75" w:type="dxa"/>
              <w:bottom w:w="75" w:type="dxa"/>
              <w:right w:w="75" w:type="dxa"/>
            </w:tcMar>
          </w:tcPr>
          <w:p w14:paraId="5AD75914"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56</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80,0</w:t>
            </w:r>
            <w:r w:rsidRPr="00812C16">
              <w:rPr>
                <w:rFonts w:cs="Arial"/>
                <w:sz w:val="18"/>
                <w:szCs w:val="18"/>
                <w:lang w:eastAsia="de-DE"/>
              </w:rPr>
              <w:t>%)</w:t>
            </w:r>
          </w:p>
        </w:tc>
        <w:tc>
          <w:tcPr>
            <w:tcW w:w="1417" w:type="dxa"/>
            <w:tcBorders>
              <w:top w:val="single" w:sz="4" w:space="0" w:color="000000" w:themeColor="text1"/>
              <w:bottom w:val="nil"/>
              <w:right w:val="nil"/>
            </w:tcBorders>
          </w:tcPr>
          <w:p w14:paraId="1281402A"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33</w:t>
            </w:r>
            <w:r w:rsidR="00DF1E74" w:rsidRPr="00812C16">
              <w:rPr>
                <w:rFonts w:cs="Arial"/>
                <w:sz w:val="18"/>
                <w:szCs w:val="18"/>
                <w:lang w:eastAsia="de-DE"/>
              </w:rPr>
              <w:t xml:space="preserve"> </w:t>
            </w:r>
            <w:r w:rsidR="0063114A" w:rsidRPr="00812C16">
              <w:rPr>
                <w:rFonts w:cs="Arial"/>
                <w:sz w:val="18"/>
                <w:szCs w:val="18"/>
                <w:lang w:eastAsia="de-DE"/>
              </w:rPr>
              <w:t>(41,3%)</w:t>
            </w:r>
          </w:p>
        </w:tc>
      </w:tr>
      <w:tr w:rsidR="005940FC" w:rsidRPr="00812C16" w14:paraId="55F40841" w14:textId="77777777" w:rsidTr="0024223E">
        <w:tc>
          <w:tcPr>
            <w:tcW w:w="1701" w:type="dxa"/>
            <w:tcBorders>
              <w:top w:val="nil"/>
              <w:bottom w:val="nil"/>
              <w:right w:val="nil"/>
            </w:tcBorders>
            <w:tcMar>
              <w:top w:w="75" w:type="dxa"/>
              <w:left w:w="75" w:type="dxa"/>
              <w:bottom w:w="75" w:type="dxa"/>
              <w:right w:w="75" w:type="dxa"/>
            </w:tcMar>
          </w:tcPr>
          <w:p w14:paraId="79BA5EB8"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7DD0BAF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44</w:t>
            </w:r>
            <w:r w:rsidR="00F964D0" w:rsidRPr="00812C16">
              <w:rPr>
                <w:rFonts w:cs="Arial"/>
                <w:sz w:val="18"/>
                <w:szCs w:val="18"/>
                <w:lang w:eastAsia="de-DE"/>
              </w:rPr>
              <w:t xml:space="preserve"> (19,9%)</w:t>
            </w:r>
          </w:p>
        </w:tc>
        <w:tc>
          <w:tcPr>
            <w:tcW w:w="1417" w:type="dxa"/>
            <w:tcBorders>
              <w:top w:val="nil"/>
              <w:bottom w:val="nil"/>
              <w:right w:val="nil"/>
            </w:tcBorders>
            <w:tcMar>
              <w:top w:w="75" w:type="dxa"/>
              <w:left w:w="75" w:type="dxa"/>
              <w:bottom w:w="75" w:type="dxa"/>
              <w:right w:w="75" w:type="dxa"/>
            </w:tcMar>
          </w:tcPr>
          <w:p w14:paraId="4BA28FB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3,4</w:t>
            </w:r>
            <w:r w:rsidRPr="00812C16">
              <w:rPr>
                <w:rFonts w:cs="Arial"/>
                <w:sz w:val="18"/>
                <w:szCs w:val="18"/>
                <w:lang w:eastAsia="de-DE"/>
              </w:rPr>
              <w:t>%)</w:t>
            </w:r>
          </w:p>
        </w:tc>
        <w:tc>
          <w:tcPr>
            <w:tcW w:w="1559" w:type="dxa"/>
            <w:tcBorders>
              <w:top w:val="nil"/>
              <w:bottom w:val="nil"/>
              <w:right w:val="nil"/>
            </w:tcBorders>
            <w:tcMar>
              <w:top w:w="75" w:type="dxa"/>
              <w:left w:w="75" w:type="dxa"/>
              <w:bottom w:w="75" w:type="dxa"/>
              <w:right w:w="75" w:type="dxa"/>
            </w:tcMar>
          </w:tcPr>
          <w:p w14:paraId="36715466"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11,9</w:t>
            </w:r>
            <w:r w:rsidRPr="00812C16">
              <w:rPr>
                <w:rFonts w:cs="Arial"/>
                <w:sz w:val="18"/>
                <w:szCs w:val="18"/>
                <w:lang w:eastAsia="de-DE"/>
              </w:rPr>
              <w:t>%)</w:t>
            </w:r>
          </w:p>
        </w:tc>
        <w:tc>
          <w:tcPr>
            <w:tcW w:w="1418" w:type="dxa"/>
            <w:tcBorders>
              <w:top w:val="nil"/>
              <w:bottom w:val="nil"/>
              <w:right w:val="nil"/>
            </w:tcBorders>
            <w:tcMar>
              <w:top w:w="75" w:type="dxa"/>
              <w:left w:w="75" w:type="dxa"/>
              <w:bottom w:w="75" w:type="dxa"/>
              <w:right w:w="75" w:type="dxa"/>
            </w:tcMar>
          </w:tcPr>
          <w:p w14:paraId="34BFA7D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10</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14,3</w:t>
            </w:r>
            <w:r w:rsidRPr="00812C16">
              <w:rPr>
                <w:rFonts w:cs="Arial"/>
                <w:sz w:val="18"/>
                <w:szCs w:val="18"/>
                <w:lang w:eastAsia="de-DE"/>
              </w:rPr>
              <w:t>%)</w:t>
            </w:r>
          </w:p>
        </w:tc>
        <w:tc>
          <w:tcPr>
            <w:tcW w:w="1417" w:type="dxa"/>
            <w:tcBorders>
              <w:top w:val="nil"/>
              <w:bottom w:val="nil"/>
              <w:right w:val="nil"/>
            </w:tcBorders>
          </w:tcPr>
          <w:p w14:paraId="3797CF2F"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28</w:t>
            </w:r>
            <w:r w:rsidR="00C957B2" w:rsidRPr="00812C16">
              <w:rPr>
                <w:rFonts w:cs="Arial"/>
                <w:sz w:val="18"/>
                <w:szCs w:val="18"/>
                <w:lang w:eastAsia="de-DE"/>
              </w:rPr>
              <w:t xml:space="preserve"> </w:t>
            </w:r>
            <w:r w:rsidR="0063114A" w:rsidRPr="00812C16">
              <w:rPr>
                <w:rFonts w:cs="Arial"/>
                <w:sz w:val="18"/>
                <w:szCs w:val="18"/>
                <w:lang w:eastAsia="de-DE"/>
              </w:rPr>
              <w:t>(35,0%)</w:t>
            </w:r>
          </w:p>
        </w:tc>
      </w:tr>
      <w:tr w:rsidR="0024223E" w:rsidRPr="00812C16" w14:paraId="618E0C8B"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0DED78B6" w14:textId="77777777" w:rsidR="00185BFC" w:rsidRPr="00812C16" w:rsidRDefault="00185BFC"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6A3CA273"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26</w:t>
            </w:r>
            <w:r w:rsidR="00F964D0" w:rsidRPr="00812C16">
              <w:rPr>
                <w:rFonts w:cs="Arial"/>
                <w:sz w:val="18"/>
                <w:szCs w:val="18"/>
                <w:lang w:eastAsia="de-DE"/>
              </w:rPr>
              <w:t xml:space="preserve"> (11,8%)</w:t>
            </w:r>
          </w:p>
        </w:tc>
        <w:tc>
          <w:tcPr>
            <w:tcW w:w="1417" w:type="dxa"/>
            <w:tcBorders>
              <w:top w:val="nil"/>
              <w:bottom w:val="single" w:sz="4" w:space="0" w:color="000000" w:themeColor="text1"/>
              <w:right w:val="nil"/>
            </w:tcBorders>
            <w:tcMar>
              <w:top w:w="75" w:type="dxa"/>
              <w:left w:w="75" w:type="dxa"/>
              <w:bottom w:w="75" w:type="dxa"/>
              <w:right w:w="75" w:type="dxa"/>
            </w:tcMar>
          </w:tcPr>
          <w:p w14:paraId="333108CB"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0</w:t>
            </w:r>
            <w:r w:rsidR="00DF1E74" w:rsidRPr="00812C16">
              <w:rPr>
                <w:rFonts w:cs="Arial"/>
                <w:sz w:val="18"/>
                <w:szCs w:val="18"/>
                <w:lang w:eastAsia="de-DE"/>
              </w:rPr>
              <w:t xml:space="preserve"> </w:t>
            </w:r>
            <w:r w:rsidR="005E29C3" w:rsidRPr="00812C16">
              <w:rPr>
                <w:rFonts w:cs="Arial"/>
                <w:sz w:val="18"/>
                <w:szCs w:val="18"/>
                <w:lang w:eastAsia="de-DE"/>
              </w:rPr>
              <w:t>(0,0%)</w:t>
            </w:r>
          </w:p>
        </w:tc>
        <w:tc>
          <w:tcPr>
            <w:tcW w:w="1559" w:type="dxa"/>
            <w:tcBorders>
              <w:top w:val="nil"/>
              <w:bottom w:val="single" w:sz="4" w:space="0" w:color="000000" w:themeColor="text1"/>
              <w:right w:val="nil"/>
            </w:tcBorders>
            <w:tcMar>
              <w:top w:w="75" w:type="dxa"/>
              <w:left w:w="75" w:type="dxa"/>
              <w:bottom w:w="75" w:type="dxa"/>
              <w:right w:w="75" w:type="dxa"/>
            </w:tcMar>
          </w:tcPr>
          <w:p w14:paraId="7B2B269D"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3</w:t>
            </w:r>
            <w:r w:rsidR="005E29C3" w:rsidRPr="00812C16">
              <w:rPr>
                <w:rFonts w:cs="Arial"/>
                <w:sz w:val="18"/>
                <w:szCs w:val="18"/>
                <w:lang w:eastAsia="de-DE"/>
              </w:rPr>
              <w:t xml:space="preserve"> (7,1%)</w:t>
            </w:r>
          </w:p>
        </w:tc>
        <w:tc>
          <w:tcPr>
            <w:tcW w:w="1418" w:type="dxa"/>
            <w:tcBorders>
              <w:top w:val="nil"/>
              <w:bottom w:val="single" w:sz="4" w:space="0" w:color="000000" w:themeColor="text1"/>
              <w:right w:val="nil"/>
            </w:tcBorders>
            <w:tcMar>
              <w:top w:w="75" w:type="dxa"/>
              <w:left w:w="75" w:type="dxa"/>
              <w:bottom w:w="75" w:type="dxa"/>
              <w:right w:w="75" w:type="dxa"/>
            </w:tcMar>
          </w:tcPr>
          <w:p w14:paraId="41755131"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4</w:t>
            </w:r>
            <w:r w:rsidR="00DF1E74" w:rsidRPr="00812C16">
              <w:rPr>
                <w:rFonts w:cs="Arial"/>
                <w:sz w:val="18"/>
                <w:szCs w:val="18"/>
                <w:lang w:eastAsia="de-DE"/>
              </w:rPr>
              <w:t xml:space="preserve"> </w:t>
            </w:r>
            <w:r w:rsidR="005E29C3" w:rsidRPr="00812C16">
              <w:rPr>
                <w:rFonts w:cs="Arial"/>
                <w:sz w:val="18"/>
                <w:szCs w:val="18"/>
                <w:lang w:eastAsia="de-DE"/>
              </w:rPr>
              <w:t>(</w:t>
            </w:r>
            <w:r w:rsidR="0063114A" w:rsidRPr="00812C16">
              <w:rPr>
                <w:rFonts w:cs="Arial"/>
                <w:sz w:val="18"/>
                <w:szCs w:val="18"/>
                <w:lang w:eastAsia="de-DE"/>
              </w:rPr>
              <w:t>5,7%)</w:t>
            </w:r>
          </w:p>
        </w:tc>
        <w:tc>
          <w:tcPr>
            <w:tcW w:w="1417" w:type="dxa"/>
            <w:tcBorders>
              <w:top w:val="nil"/>
              <w:bottom w:val="single" w:sz="4" w:space="0" w:color="000000" w:themeColor="text1"/>
              <w:right w:val="nil"/>
            </w:tcBorders>
          </w:tcPr>
          <w:p w14:paraId="4CB89DE4"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19</w:t>
            </w:r>
            <w:r w:rsidR="00316BE4" w:rsidRPr="00812C16">
              <w:rPr>
                <w:rFonts w:cs="Arial"/>
                <w:sz w:val="18"/>
                <w:szCs w:val="18"/>
                <w:lang w:eastAsia="de-DE"/>
              </w:rPr>
              <w:t xml:space="preserve"> (23,7%)</w:t>
            </w:r>
          </w:p>
        </w:tc>
      </w:tr>
      <w:tr w:rsidR="005940FC" w:rsidRPr="00812C16" w14:paraId="0363EFBE"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1840CBC"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t>HPV16 DNA-</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61E952C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N=143</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F1964E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N=27</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C40A5C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N=34</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72444B7"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N=57</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456D0BA1"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N=25</w:t>
            </w:r>
          </w:p>
        </w:tc>
      </w:tr>
      <w:tr w:rsidR="0024223E" w:rsidRPr="00812C16" w14:paraId="113E2E23"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2BF0EDBE"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4DD61D2"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116</w:t>
            </w:r>
            <w:r w:rsidR="00F964D0" w:rsidRPr="00812C16">
              <w:rPr>
                <w:rFonts w:cs="Arial"/>
                <w:sz w:val="18"/>
                <w:szCs w:val="18"/>
                <w:lang w:eastAsia="de-DE"/>
              </w:rPr>
              <w:t xml:space="preserve"> (81,1%)</w:t>
            </w:r>
          </w:p>
        </w:tc>
        <w:tc>
          <w:tcPr>
            <w:tcW w:w="1417" w:type="dxa"/>
            <w:tcBorders>
              <w:top w:val="single" w:sz="4" w:space="0" w:color="000000" w:themeColor="text1"/>
              <w:bottom w:val="nil"/>
              <w:right w:val="nil"/>
            </w:tcBorders>
            <w:tcMar>
              <w:top w:w="75" w:type="dxa"/>
              <w:left w:w="75" w:type="dxa"/>
              <w:bottom w:w="75" w:type="dxa"/>
              <w:right w:w="75" w:type="dxa"/>
            </w:tcMar>
          </w:tcPr>
          <w:p w14:paraId="4BFEA049"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27</w:t>
            </w:r>
            <w:r w:rsidR="00A805BA" w:rsidRPr="00812C16">
              <w:rPr>
                <w:rFonts w:cs="Arial"/>
                <w:sz w:val="18"/>
                <w:szCs w:val="18"/>
                <w:lang w:eastAsia="de-DE"/>
              </w:rPr>
              <w:t xml:space="preserve"> (100,0%)</w:t>
            </w:r>
          </w:p>
        </w:tc>
        <w:tc>
          <w:tcPr>
            <w:tcW w:w="1559" w:type="dxa"/>
            <w:tcBorders>
              <w:top w:val="single" w:sz="4" w:space="0" w:color="000000" w:themeColor="text1"/>
              <w:bottom w:val="nil"/>
              <w:right w:val="nil"/>
            </w:tcBorders>
            <w:tcMar>
              <w:top w:w="75" w:type="dxa"/>
              <w:left w:w="75" w:type="dxa"/>
              <w:bottom w:w="75" w:type="dxa"/>
              <w:right w:w="75" w:type="dxa"/>
            </w:tcMar>
          </w:tcPr>
          <w:p w14:paraId="0257F90C"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31</w:t>
            </w:r>
            <w:r w:rsidR="00A805BA" w:rsidRPr="00812C16">
              <w:rPr>
                <w:rFonts w:cs="Arial"/>
                <w:sz w:val="18"/>
                <w:szCs w:val="18"/>
                <w:lang w:eastAsia="de-DE"/>
              </w:rPr>
              <w:t xml:space="preserve"> (91,2%)</w:t>
            </w:r>
          </w:p>
        </w:tc>
        <w:tc>
          <w:tcPr>
            <w:tcW w:w="1418" w:type="dxa"/>
            <w:tcBorders>
              <w:top w:val="single" w:sz="4" w:space="0" w:color="000000" w:themeColor="text1"/>
              <w:bottom w:val="nil"/>
              <w:right w:val="nil"/>
            </w:tcBorders>
            <w:tcMar>
              <w:top w:w="75" w:type="dxa"/>
              <w:left w:w="75" w:type="dxa"/>
              <w:bottom w:w="75" w:type="dxa"/>
              <w:right w:w="75" w:type="dxa"/>
            </w:tcMar>
          </w:tcPr>
          <w:p w14:paraId="03FA03C0"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51</w:t>
            </w:r>
            <w:r w:rsidR="00A805BA" w:rsidRPr="00812C16">
              <w:rPr>
                <w:rFonts w:cs="Arial"/>
                <w:sz w:val="18"/>
                <w:szCs w:val="18"/>
                <w:lang w:eastAsia="de-DE"/>
              </w:rPr>
              <w:t xml:space="preserve"> (89,5%)</w:t>
            </w:r>
          </w:p>
        </w:tc>
        <w:tc>
          <w:tcPr>
            <w:tcW w:w="1417" w:type="dxa"/>
            <w:tcBorders>
              <w:top w:val="single" w:sz="4" w:space="0" w:color="000000" w:themeColor="text1"/>
              <w:bottom w:val="nil"/>
              <w:right w:val="nil"/>
            </w:tcBorders>
          </w:tcPr>
          <w:p w14:paraId="296E8DA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A805BA" w:rsidRPr="00812C16">
              <w:rPr>
                <w:rFonts w:cs="Arial"/>
                <w:sz w:val="18"/>
                <w:szCs w:val="18"/>
                <w:lang w:eastAsia="de-DE"/>
              </w:rPr>
              <w:t xml:space="preserve"> (</w:t>
            </w:r>
            <w:r w:rsidR="00E84D30" w:rsidRPr="00812C16">
              <w:rPr>
                <w:rFonts w:cs="Arial"/>
                <w:sz w:val="18"/>
                <w:szCs w:val="18"/>
                <w:lang w:eastAsia="de-DE"/>
              </w:rPr>
              <w:t>28,0%)</w:t>
            </w:r>
          </w:p>
        </w:tc>
      </w:tr>
      <w:tr w:rsidR="0024223E" w:rsidRPr="00812C16" w14:paraId="4F8DED8B" w14:textId="77777777" w:rsidTr="0024223E">
        <w:tc>
          <w:tcPr>
            <w:tcW w:w="1701" w:type="dxa"/>
            <w:tcBorders>
              <w:top w:val="nil"/>
              <w:bottom w:val="nil"/>
              <w:right w:val="nil"/>
            </w:tcBorders>
            <w:tcMar>
              <w:top w:w="75" w:type="dxa"/>
              <w:left w:w="75" w:type="dxa"/>
              <w:bottom w:w="75" w:type="dxa"/>
              <w:right w:w="75" w:type="dxa"/>
            </w:tcMar>
          </w:tcPr>
          <w:p w14:paraId="197CA875"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5E574105"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14</w:t>
            </w:r>
            <w:r w:rsidR="00F964D0" w:rsidRPr="00812C16">
              <w:rPr>
                <w:rFonts w:cs="Arial"/>
                <w:sz w:val="18"/>
                <w:szCs w:val="18"/>
                <w:lang w:eastAsia="de-DE"/>
              </w:rPr>
              <w:t xml:space="preserve"> (9,8%)</w:t>
            </w:r>
          </w:p>
        </w:tc>
        <w:tc>
          <w:tcPr>
            <w:tcW w:w="1417" w:type="dxa"/>
            <w:tcBorders>
              <w:top w:val="nil"/>
              <w:bottom w:val="nil"/>
              <w:right w:val="nil"/>
            </w:tcBorders>
            <w:tcMar>
              <w:top w:w="75" w:type="dxa"/>
              <w:left w:w="75" w:type="dxa"/>
              <w:bottom w:w="75" w:type="dxa"/>
              <w:right w:w="75" w:type="dxa"/>
            </w:tcMar>
          </w:tcPr>
          <w:p w14:paraId="54663AF6"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nil"/>
              <w:right w:val="nil"/>
            </w:tcBorders>
            <w:tcMar>
              <w:top w:w="75" w:type="dxa"/>
              <w:left w:w="75" w:type="dxa"/>
              <w:bottom w:w="75" w:type="dxa"/>
              <w:right w:w="75" w:type="dxa"/>
            </w:tcMar>
          </w:tcPr>
          <w:p w14:paraId="70F0E54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2</w:t>
            </w:r>
            <w:r w:rsidR="00A805BA" w:rsidRPr="00812C16">
              <w:rPr>
                <w:rFonts w:cs="Arial"/>
                <w:sz w:val="18"/>
                <w:szCs w:val="18"/>
                <w:lang w:eastAsia="de-DE"/>
              </w:rPr>
              <w:t xml:space="preserve"> (5,9%)</w:t>
            </w:r>
          </w:p>
        </w:tc>
        <w:tc>
          <w:tcPr>
            <w:tcW w:w="1418" w:type="dxa"/>
            <w:tcBorders>
              <w:top w:val="nil"/>
              <w:bottom w:val="nil"/>
              <w:right w:val="nil"/>
            </w:tcBorders>
            <w:tcMar>
              <w:top w:w="75" w:type="dxa"/>
              <w:left w:w="75" w:type="dxa"/>
              <w:bottom w:w="75" w:type="dxa"/>
              <w:right w:w="75" w:type="dxa"/>
            </w:tcMar>
          </w:tcPr>
          <w:p w14:paraId="6499B76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w:t>
            </w:r>
            <w:r w:rsidR="00A805BA" w:rsidRPr="00812C16">
              <w:rPr>
                <w:rFonts w:cs="Arial"/>
                <w:sz w:val="18"/>
                <w:szCs w:val="18"/>
                <w:lang w:eastAsia="de-DE"/>
              </w:rPr>
              <w:t xml:space="preserve"> (8.8%)</w:t>
            </w:r>
          </w:p>
        </w:tc>
        <w:tc>
          <w:tcPr>
            <w:tcW w:w="1417" w:type="dxa"/>
            <w:tcBorders>
              <w:top w:val="nil"/>
              <w:bottom w:val="nil"/>
              <w:right w:val="nil"/>
            </w:tcBorders>
          </w:tcPr>
          <w:p w14:paraId="781EC58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E84D30" w:rsidRPr="00812C16">
              <w:rPr>
                <w:rFonts w:cs="Arial"/>
                <w:sz w:val="18"/>
                <w:szCs w:val="18"/>
                <w:lang w:eastAsia="de-DE"/>
              </w:rPr>
              <w:t xml:space="preserve"> (28,0%)</w:t>
            </w:r>
          </w:p>
        </w:tc>
      </w:tr>
      <w:tr w:rsidR="006451FD" w:rsidRPr="00812C16" w14:paraId="1D6F67AE"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12DECB3C"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08277931"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13</w:t>
            </w:r>
            <w:r w:rsidR="00A805BA" w:rsidRPr="00812C16">
              <w:rPr>
                <w:rFonts w:cs="Arial"/>
                <w:sz w:val="18"/>
                <w:szCs w:val="18"/>
                <w:lang w:eastAsia="de-DE"/>
              </w:rPr>
              <w:t xml:space="preserve"> (9,1%)</w:t>
            </w:r>
          </w:p>
        </w:tc>
        <w:tc>
          <w:tcPr>
            <w:tcW w:w="1417" w:type="dxa"/>
            <w:tcBorders>
              <w:top w:val="nil"/>
              <w:bottom w:val="single" w:sz="4" w:space="0" w:color="000000" w:themeColor="text1"/>
              <w:right w:val="nil"/>
            </w:tcBorders>
            <w:tcMar>
              <w:top w:w="75" w:type="dxa"/>
              <w:left w:w="75" w:type="dxa"/>
              <w:bottom w:w="75" w:type="dxa"/>
              <w:right w:w="75" w:type="dxa"/>
            </w:tcMar>
          </w:tcPr>
          <w:p w14:paraId="6D610FB6"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3FA49AD3"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(2,9%)</w:t>
            </w:r>
          </w:p>
        </w:tc>
        <w:tc>
          <w:tcPr>
            <w:tcW w:w="1418" w:type="dxa"/>
            <w:tcBorders>
              <w:top w:val="nil"/>
              <w:bottom w:val="single" w:sz="4" w:space="0" w:color="000000" w:themeColor="text1"/>
              <w:right w:val="nil"/>
            </w:tcBorders>
            <w:tcMar>
              <w:top w:w="75" w:type="dxa"/>
              <w:left w:w="75" w:type="dxa"/>
              <w:bottom w:w="75" w:type="dxa"/>
              <w:right w:w="75" w:type="dxa"/>
            </w:tcMar>
          </w:tcPr>
          <w:p w14:paraId="28D46519" w14:textId="77777777" w:rsidR="00FE7BB4" w:rsidRPr="00812C16" w:rsidRDefault="00E35393"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(1,7%)</w:t>
            </w:r>
          </w:p>
        </w:tc>
        <w:tc>
          <w:tcPr>
            <w:tcW w:w="1417" w:type="dxa"/>
            <w:tcBorders>
              <w:top w:val="nil"/>
              <w:bottom w:val="single" w:sz="4" w:space="0" w:color="000000" w:themeColor="text1"/>
              <w:right w:val="nil"/>
            </w:tcBorders>
          </w:tcPr>
          <w:p w14:paraId="77373EC1"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11</w:t>
            </w:r>
            <w:r w:rsidR="00E84D30" w:rsidRPr="00812C16">
              <w:rPr>
                <w:rFonts w:cs="Arial"/>
                <w:sz w:val="18"/>
                <w:szCs w:val="18"/>
                <w:lang w:eastAsia="de-DE"/>
              </w:rPr>
              <w:t xml:space="preserve"> (4,0%)</w:t>
            </w:r>
          </w:p>
        </w:tc>
      </w:tr>
      <w:tr w:rsidR="0024223E" w:rsidRPr="00812C16" w14:paraId="258AB254" w14:textId="77777777" w:rsidTr="00E10DBC">
        <w:trPr>
          <w:trHeight w:val="25"/>
        </w:trPr>
        <w:tc>
          <w:tcPr>
            <w:tcW w:w="1701"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55E93189"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t>HPV16 DNA+</w:t>
            </w:r>
          </w:p>
        </w:tc>
        <w:tc>
          <w:tcPr>
            <w:tcW w:w="1560"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E1E3EDE"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N=72</w:t>
            </w:r>
          </w:p>
        </w:tc>
        <w:tc>
          <w:tcPr>
            <w:tcW w:w="1417"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95EAC48"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w:t>
            </w:r>
          </w:p>
        </w:tc>
        <w:tc>
          <w:tcPr>
            <w:tcW w:w="1559"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00413B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w:t>
            </w:r>
          </w:p>
        </w:tc>
        <w:tc>
          <w:tcPr>
            <w:tcW w:w="1418"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774E085" w14:textId="77777777" w:rsidR="0065291C" w:rsidRPr="00812C16" w:rsidRDefault="0065291C" w:rsidP="00C957B2">
            <w:pPr>
              <w:spacing w:before="30" w:after="30" w:line="240" w:lineRule="auto"/>
              <w:ind w:hanging="24"/>
              <w:jc w:val="right"/>
              <w:rPr>
                <w:rFonts w:cs="Arial"/>
                <w:sz w:val="18"/>
                <w:szCs w:val="18"/>
                <w:lang w:eastAsia="de-DE"/>
              </w:rPr>
            </w:pPr>
            <w:r w:rsidRPr="00812C16">
              <w:rPr>
                <w:rFonts w:cs="Arial"/>
                <w:sz w:val="18"/>
                <w:szCs w:val="18"/>
                <w:lang w:eastAsia="de-DE"/>
              </w:rPr>
              <w:t>N=11</w:t>
            </w:r>
          </w:p>
        </w:tc>
        <w:tc>
          <w:tcPr>
            <w:tcW w:w="1417" w:type="dxa"/>
            <w:tcBorders>
              <w:top w:val="nil"/>
              <w:bottom w:val="single" w:sz="4" w:space="0" w:color="000000" w:themeColor="text1"/>
              <w:right w:val="nil"/>
            </w:tcBorders>
            <w:shd w:val="clear" w:color="auto" w:fill="D9E2F3" w:themeFill="accent1" w:themeFillTint="33"/>
          </w:tcPr>
          <w:p w14:paraId="79D61904"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N=52</w:t>
            </w:r>
          </w:p>
        </w:tc>
      </w:tr>
      <w:tr w:rsidR="006451FD" w:rsidRPr="00812C16" w14:paraId="5436726B"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54E80E5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657BFB6C"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35</w:t>
            </w:r>
            <w:r w:rsidR="00B50AD1" w:rsidRPr="00812C16">
              <w:rPr>
                <w:rFonts w:cs="Arial"/>
                <w:sz w:val="18"/>
                <w:szCs w:val="18"/>
                <w:lang w:eastAsia="de-DE"/>
              </w:rPr>
              <w:t xml:space="preserve"> (48,6%)</w:t>
            </w:r>
          </w:p>
        </w:tc>
        <w:tc>
          <w:tcPr>
            <w:tcW w:w="1417" w:type="dxa"/>
            <w:tcBorders>
              <w:top w:val="single" w:sz="4" w:space="0" w:color="000000" w:themeColor="text1"/>
              <w:bottom w:val="nil"/>
              <w:right w:val="nil"/>
            </w:tcBorders>
            <w:tcMar>
              <w:top w:w="75" w:type="dxa"/>
              <w:left w:w="75" w:type="dxa"/>
              <w:bottom w:w="75" w:type="dxa"/>
              <w:right w:w="75" w:type="dxa"/>
            </w:tcMar>
          </w:tcPr>
          <w:p w14:paraId="60693ED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single" w:sz="4" w:space="0" w:color="000000" w:themeColor="text1"/>
              <w:bottom w:val="nil"/>
              <w:right w:val="nil"/>
            </w:tcBorders>
            <w:tcMar>
              <w:top w:w="75" w:type="dxa"/>
              <w:left w:w="75" w:type="dxa"/>
              <w:bottom w:w="75" w:type="dxa"/>
              <w:right w:w="75" w:type="dxa"/>
            </w:tcMar>
          </w:tcPr>
          <w:p w14:paraId="409BB6EF"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(42,9%)</w:t>
            </w:r>
          </w:p>
        </w:tc>
        <w:tc>
          <w:tcPr>
            <w:tcW w:w="1418" w:type="dxa"/>
            <w:tcBorders>
              <w:top w:val="single" w:sz="4" w:space="0" w:color="000000" w:themeColor="text1"/>
              <w:bottom w:val="nil"/>
              <w:right w:val="nil"/>
            </w:tcBorders>
            <w:tcMar>
              <w:top w:w="75" w:type="dxa"/>
              <w:left w:w="75" w:type="dxa"/>
              <w:bottom w:w="75" w:type="dxa"/>
              <w:right w:w="75" w:type="dxa"/>
            </w:tcMar>
          </w:tcPr>
          <w:p w14:paraId="30C5D4F4"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single" w:sz="4" w:space="0" w:color="000000" w:themeColor="text1"/>
              <w:bottom w:val="nil"/>
              <w:right w:val="nil"/>
            </w:tcBorders>
          </w:tcPr>
          <w:p w14:paraId="30875E39"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26</w:t>
            </w:r>
            <w:r w:rsidR="00B50AD1" w:rsidRPr="00812C16">
              <w:rPr>
                <w:rFonts w:cs="Arial"/>
                <w:sz w:val="18"/>
                <w:szCs w:val="18"/>
                <w:lang w:eastAsia="de-DE"/>
              </w:rPr>
              <w:t xml:space="preserve"> (50,0%)</w:t>
            </w:r>
          </w:p>
        </w:tc>
      </w:tr>
      <w:tr w:rsidR="0024223E" w:rsidRPr="00812C16" w14:paraId="5F733DA6" w14:textId="77777777" w:rsidTr="0024223E">
        <w:tc>
          <w:tcPr>
            <w:tcW w:w="1701" w:type="dxa"/>
            <w:tcBorders>
              <w:top w:val="nil"/>
              <w:bottom w:val="nil"/>
              <w:right w:val="nil"/>
            </w:tcBorders>
            <w:tcMar>
              <w:top w:w="75" w:type="dxa"/>
              <w:left w:w="75" w:type="dxa"/>
              <w:bottom w:w="75" w:type="dxa"/>
              <w:right w:w="75" w:type="dxa"/>
            </w:tcMar>
          </w:tcPr>
          <w:p w14:paraId="47D0582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lastRenderedPageBreak/>
              <w:t>CD44 -</w:t>
            </w:r>
          </w:p>
        </w:tc>
        <w:tc>
          <w:tcPr>
            <w:tcW w:w="1560" w:type="dxa"/>
            <w:tcBorders>
              <w:top w:val="nil"/>
              <w:bottom w:val="nil"/>
              <w:right w:val="nil"/>
            </w:tcBorders>
            <w:tcMar>
              <w:top w:w="75" w:type="dxa"/>
              <w:left w:w="75" w:type="dxa"/>
              <w:bottom w:w="75" w:type="dxa"/>
              <w:right w:w="75" w:type="dxa"/>
            </w:tcMar>
          </w:tcPr>
          <w:p w14:paraId="1ED3800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30</w:t>
            </w:r>
            <w:r w:rsidR="00B50AD1" w:rsidRPr="00812C16">
              <w:rPr>
                <w:rFonts w:cs="Arial"/>
                <w:sz w:val="18"/>
                <w:szCs w:val="18"/>
                <w:lang w:eastAsia="de-DE"/>
              </w:rPr>
              <w:t xml:space="preserve"> (41,7%)</w:t>
            </w:r>
          </w:p>
        </w:tc>
        <w:tc>
          <w:tcPr>
            <w:tcW w:w="1417" w:type="dxa"/>
            <w:tcBorders>
              <w:top w:val="nil"/>
              <w:bottom w:val="nil"/>
              <w:right w:val="nil"/>
            </w:tcBorders>
            <w:tcMar>
              <w:top w:w="75" w:type="dxa"/>
              <w:left w:w="75" w:type="dxa"/>
              <w:bottom w:w="75" w:type="dxa"/>
              <w:right w:w="75" w:type="dxa"/>
            </w:tcMar>
          </w:tcPr>
          <w:p w14:paraId="32E26F0B"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nil"/>
              <w:bottom w:val="nil"/>
              <w:right w:val="nil"/>
            </w:tcBorders>
            <w:tcMar>
              <w:top w:w="75" w:type="dxa"/>
              <w:left w:w="75" w:type="dxa"/>
              <w:bottom w:w="75" w:type="dxa"/>
              <w:right w:w="75" w:type="dxa"/>
            </w:tcMar>
          </w:tcPr>
          <w:p w14:paraId="33CADA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(43,9%)</w:t>
            </w:r>
          </w:p>
        </w:tc>
        <w:tc>
          <w:tcPr>
            <w:tcW w:w="1418" w:type="dxa"/>
            <w:tcBorders>
              <w:top w:val="nil"/>
              <w:bottom w:val="nil"/>
              <w:right w:val="nil"/>
            </w:tcBorders>
            <w:tcMar>
              <w:top w:w="75" w:type="dxa"/>
              <w:left w:w="75" w:type="dxa"/>
              <w:bottom w:w="75" w:type="dxa"/>
              <w:right w:w="75" w:type="dxa"/>
            </w:tcMar>
          </w:tcPr>
          <w:p w14:paraId="0820E0BE"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nil"/>
              <w:bottom w:val="nil"/>
              <w:right w:val="nil"/>
            </w:tcBorders>
          </w:tcPr>
          <w:p w14:paraId="705A9E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21</w:t>
            </w:r>
            <w:r w:rsidR="00B50AD1" w:rsidRPr="00812C16">
              <w:rPr>
                <w:rFonts w:cs="Arial"/>
                <w:sz w:val="18"/>
                <w:szCs w:val="18"/>
                <w:lang w:eastAsia="de-DE"/>
              </w:rPr>
              <w:t xml:space="preserve"> (40.4%)</w:t>
            </w:r>
          </w:p>
        </w:tc>
      </w:tr>
      <w:tr w:rsidR="006451FD" w:rsidRPr="00812C16" w14:paraId="41D67985"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6310FBB8"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1D95A9B2"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7</w:t>
            </w:r>
            <w:r w:rsidR="00B50AD1" w:rsidRPr="00812C16">
              <w:rPr>
                <w:rFonts w:cs="Arial"/>
                <w:sz w:val="18"/>
                <w:szCs w:val="18"/>
                <w:lang w:eastAsia="de-DE"/>
              </w:rPr>
              <w:t xml:space="preserve"> (9,7%)</w:t>
            </w:r>
          </w:p>
        </w:tc>
        <w:tc>
          <w:tcPr>
            <w:tcW w:w="1417" w:type="dxa"/>
            <w:tcBorders>
              <w:top w:val="nil"/>
              <w:bottom w:val="single" w:sz="4" w:space="0" w:color="000000" w:themeColor="text1"/>
              <w:right w:val="nil"/>
            </w:tcBorders>
            <w:tcMar>
              <w:top w:w="75" w:type="dxa"/>
              <w:left w:w="75" w:type="dxa"/>
              <w:bottom w:w="75" w:type="dxa"/>
              <w:right w:w="75" w:type="dxa"/>
            </w:tcMar>
          </w:tcPr>
          <w:p w14:paraId="119BE211"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0</w:t>
            </w:r>
            <w:r w:rsidR="00B50AD1"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243C55D5"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(14,2%)</w:t>
            </w:r>
          </w:p>
        </w:tc>
        <w:tc>
          <w:tcPr>
            <w:tcW w:w="1418" w:type="dxa"/>
            <w:tcBorders>
              <w:top w:val="nil"/>
              <w:bottom w:val="single" w:sz="4" w:space="0" w:color="000000" w:themeColor="text1"/>
              <w:right w:val="nil"/>
            </w:tcBorders>
            <w:tcMar>
              <w:top w:w="75" w:type="dxa"/>
              <w:left w:w="75" w:type="dxa"/>
              <w:bottom w:w="75" w:type="dxa"/>
              <w:right w:w="75" w:type="dxa"/>
            </w:tcMar>
          </w:tcPr>
          <w:p w14:paraId="39B593F0" w14:textId="77777777" w:rsidR="00BE248B" w:rsidRPr="00812C16" w:rsidRDefault="000E4D4C"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(9,1%)</w:t>
            </w:r>
          </w:p>
        </w:tc>
        <w:tc>
          <w:tcPr>
            <w:tcW w:w="1417" w:type="dxa"/>
            <w:tcBorders>
              <w:top w:val="nil"/>
              <w:bottom w:val="single" w:sz="4" w:space="0" w:color="000000" w:themeColor="text1"/>
              <w:right w:val="nil"/>
            </w:tcBorders>
          </w:tcPr>
          <w:p w14:paraId="05F92393"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(9.6%)</w:t>
            </w:r>
          </w:p>
        </w:tc>
      </w:tr>
    </w:tbl>
    <w:p w14:paraId="5C00C938" w14:textId="5E75D6E5" w:rsidR="00B501EB" w:rsidRPr="00812C16" w:rsidRDefault="005B691E" w:rsidP="00362B75">
      <w:pPr>
        <w:tabs>
          <w:tab w:val="left" w:pos="1560"/>
          <w:tab w:val="left" w:pos="1701"/>
          <w:tab w:val="left" w:pos="7230"/>
          <w:tab w:val="left" w:pos="7938"/>
        </w:tabs>
        <w:spacing w:before="360" w:after="360"/>
        <w:rPr>
          <w:rFonts w:cs="Arial"/>
        </w:rPr>
      </w:pPr>
      <w:r w:rsidRPr="00812C16">
        <w:rPr>
          <w:rFonts w:cs="Arial"/>
        </w:rPr>
        <w:t xml:space="preserve">Um herauszufinden, ob </w:t>
      </w:r>
      <w:r w:rsidR="006772C4" w:rsidRPr="00812C16">
        <w:rPr>
          <w:rFonts w:cs="Arial"/>
        </w:rPr>
        <w:t>das Vorhandensein einer CD44</w:t>
      </w:r>
      <w:r w:rsidR="00365664" w:rsidRPr="00812C16">
        <w:rPr>
          <w:rFonts w:cs="Arial"/>
        </w:rPr>
        <w:t>-</w:t>
      </w:r>
      <w:r w:rsidR="006772C4" w:rsidRPr="00812C16">
        <w:rPr>
          <w:rFonts w:cs="Arial"/>
        </w:rPr>
        <w:t>Proteinexpression im Tumorgewebe mit dem klinischen Outcome</w:t>
      </w:r>
      <w:r w:rsidR="003520CE" w:rsidRPr="00812C16">
        <w:rPr>
          <w:rFonts w:cs="Arial"/>
        </w:rPr>
        <w:t xml:space="preserve"> </w:t>
      </w:r>
      <w:r w:rsidR="009C200D" w:rsidRPr="00812C16">
        <w:rPr>
          <w:rFonts w:cs="Arial"/>
        </w:rPr>
        <w:t>korreliert,</w:t>
      </w:r>
      <w:r w:rsidR="006772C4" w:rsidRPr="00812C16">
        <w:rPr>
          <w:rFonts w:cs="Arial"/>
        </w:rPr>
        <w:t xml:space="preserve"> wurde</w:t>
      </w:r>
      <w:r w:rsidR="005A2900" w:rsidRPr="00812C16">
        <w:rPr>
          <w:rFonts w:cs="Arial"/>
        </w:rPr>
        <w:t>n</w:t>
      </w:r>
      <w:r w:rsidR="006772C4" w:rsidRPr="00812C16">
        <w:rPr>
          <w:rFonts w:cs="Arial"/>
        </w:rPr>
        <w:t xml:space="preserve"> in</w:t>
      </w:r>
      <w:r w:rsidR="00384FB4" w:rsidRPr="00812C16">
        <w:rPr>
          <w:rFonts w:cs="Arial"/>
        </w:rPr>
        <w:t xml:space="preserve"> </w:t>
      </w:r>
      <w:r w:rsidR="000C3CA0" w:rsidRPr="00812C16">
        <w:rPr>
          <w:rFonts w:cs="Arial"/>
        </w:rPr>
        <w:fldChar w:fldCharType="begin"/>
      </w:r>
      <w:r w:rsidR="000C3CA0" w:rsidRPr="00812C16">
        <w:rPr>
          <w:rFonts w:cs="Arial"/>
        </w:rPr>
        <w:instrText xml:space="preserve"> REF _Ref90890577 \h  \* MERGEFORMAT </w:instrText>
      </w:r>
      <w:r w:rsidR="000C3CA0" w:rsidRPr="00812C16">
        <w:rPr>
          <w:rFonts w:cs="Arial"/>
        </w:rPr>
      </w:r>
      <w:r w:rsidR="000C3CA0"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0C3CA0" w:rsidRPr="00812C16">
        <w:rPr>
          <w:rFonts w:cs="Arial"/>
        </w:rPr>
        <w:fldChar w:fldCharType="end"/>
      </w:r>
      <w:r w:rsidR="000C3CA0" w:rsidRPr="00812C16">
        <w:rPr>
          <w:rFonts w:cs="Arial"/>
        </w:rPr>
        <w:t xml:space="preserve"> </w:t>
      </w:r>
      <w:r w:rsidR="005A2900" w:rsidRPr="00812C16">
        <w:rPr>
          <w:rFonts w:cs="Arial"/>
        </w:rPr>
        <w:t xml:space="preserve">die </w:t>
      </w:r>
      <w:r w:rsidR="001A6798" w:rsidRPr="00812C16">
        <w:rPr>
          <w:rFonts w:cs="Arial"/>
        </w:rPr>
        <w:t>Ereigniskurven</w:t>
      </w:r>
      <w:r w:rsidR="005A2900" w:rsidRPr="00812C16">
        <w:rPr>
          <w:rFonts w:cs="Arial"/>
        </w:rPr>
        <w:t xml:space="preserve"> der CD44</w:t>
      </w:r>
      <w:r w:rsidR="00CB1679" w:rsidRPr="00812C16">
        <w:rPr>
          <w:rFonts w:cs="Arial"/>
        </w:rPr>
        <w:t>-positiven</w:t>
      </w:r>
      <w:r w:rsidR="005A2900" w:rsidRPr="00812C16">
        <w:rPr>
          <w:rFonts w:cs="Arial"/>
        </w:rPr>
        <w:t xml:space="preserve"> und </w:t>
      </w:r>
      <w:r w:rsidR="00CB1679" w:rsidRPr="00812C16">
        <w:rPr>
          <w:rFonts w:cs="Arial"/>
        </w:rPr>
        <w:t>-</w:t>
      </w:r>
      <w:r w:rsidR="005A2900" w:rsidRPr="00812C16">
        <w:rPr>
          <w:rFonts w:cs="Arial"/>
        </w:rPr>
        <w:t xml:space="preserve">negativen </w:t>
      </w:r>
      <w:r w:rsidR="00CB1679" w:rsidRPr="00812C16">
        <w:rPr>
          <w:rFonts w:cs="Arial"/>
        </w:rPr>
        <w:t xml:space="preserve">Patientenkollektive für die loko-regionäre Tumorkontrolle skizziert. </w:t>
      </w:r>
      <w:r w:rsidR="003A08D0" w:rsidRPr="00812C16">
        <w:rPr>
          <w:rFonts w:cs="Arial"/>
        </w:rPr>
        <w:t xml:space="preserve">Die </w:t>
      </w:r>
      <w:r w:rsidR="001A6798" w:rsidRPr="00812C16">
        <w:rPr>
          <w:rFonts w:cs="Arial"/>
        </w:rPr>
        <w:t>entsprechenden Überlebenskurven</w:t>
      </w:r>
      <w:r w:rsidR="003A08D0" w:rsidRPr="00812C16">
        <w:rPr>
          <w:rFonts w:cs="Arial"/>
        </w:rPr>
        <w:t xml:space="preserve"> für die sekundären Endpunkte sind in </w:t>
      </w:r>
      <w:r w:rsidR="001A6798" w:rsidRPr="00812C16">
        <w:rPr>
          <w:rFonts w:cs="Arial"/>
        </w:rPr>
        <w:fldChar w:fldCharType="begin"/>
      </w:r>
      <w:r w:rsidR="001A6798" w:rsidRPr="00812C16">
        <w:rPr>
          <w:rFonts w:cs="Arial"/>
        </w:rPr>
        <w:instrText xml:space="preserve"> REF _Ref91624246 \h  \* MERGEFORMAT </w:instrText>
      </w:r>
      <w:r w:rsidR="001A6798" w:rsidRPr="00812C16">
        <w:rPr>
          <w:rFonts w:cs="Arial"/>
        </w:rPr>
      </w:r>
      <w:r w:rsidR="001A6798"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1A6798" w:rsidRPr="00812C16">
        <w:rPr>
          <w:rFonts w:cs="Arial"/>
        </w:rPr>
        <w:fldChar w:fldCharType="end"/>
      </w:r>
      <w:r w:rsidR="001A6798" w:rsidRPr="00812C16">
        <w:rPr>
          <w:rFonts w:cs="Arial"/>
        </w:rPr>
        <w:t xml:space="preserve"> dargestellt</w:t>
      </w:r>
      <w:r w:rsidR="003A08D0" w:rsidRPr="00812C16">
        <w:rPr>
          <w:rFonts w:cs="Arial"/>
        </w:rPr>
        <w:t xml:space="preserve">. Mit Hilfe des Log-Rank Test wurde anschließend jeweils </w:t>
      </w:r>
      <w:r w:rsidR="001A6798" w:rsidRPr="00812C16">
        <w:rPr>
          <w:rFonts w:cs="Arial"/>
        </w:rPr>
        <w:t xml:space="preserve">überprüft, ob zwischen den CD44+ und CD44- </w:t>
      </w:r>
      <w:r w:rsidR="005940FC" w:rsidRPr="00812C16">
        <w:rPr>
          <w:rFonts w:cs="Arial"/>
        </w:rPr>
        <w:t>Ereignis</w:t>
      </w:r>
      <w:r w:rsidR="001A6798" w:rsidRPr="00812C16">
        <w:rPr>
          <w:rFonts w:cs="Arial"/>
        </w:rPr>
        <w:t>kurven ein signifikanter Unterscheid auf einem Signifikanzniveau von 5% besteht.</w:t>
      </w:r>
      <w:r w:rsidR="005940FC" w:rsidRPr="00812C16">
        <w:rPr>
          <w:rFonts w:cs="Arial"/>
        </w:rPr>
        <w:t xml:space="preserve"> </w:t>
      </w:r>
      <w:r w:rsidR="00C16ADE" w:rsidRPr="00812C16">
        <w:rPr>
          <w:rFonts w:cs="Arial"/>
          <w:lang w:eastAsia="de-DE"/>
        </w:rPr>
        <w:t xml:space="preserve">Die </w:t>
      </w:r>
      <w:r w:rsidR="00384FB4" w:rsidRPr="00812C16">
        <w:rPr>
          <w:rFonts w:cs="Arial"/>
          <w:lang w:eastAsia="de-DE"/>
        </w:rPr>
        <w:t>univariaten Analyse</w:t>
      </w:r>
      <w:r w:rsidR="00C16ADE" w:rsidRPr="00812C16">
        <w:rPr>
          <w:rFonts w:cs="Arial"/>
          <w:lang w:eastAsia="de-DE"/>
        </w:rPr>
        <w:t>n</w:t>
      </w:r>
      <w:r w:rsidR="00384FB4" w:rsidRPr="00812C16">
        <w:rPr>
          <w:rFonts w:cs="Arial"/>
          <w:lang w:eastAsia="de-DE"/>
        </w:rPr>
        <w:t xml:space="preserve"> </w:t>
      </w:r>
      <w:r w:rsidR="00384FB4" w:rsidRPr="00812C16">
        <w:rPr>
          <w:rFonts w:cs="Arial"/>
        </w:rPr>
        <w:t xml:space="preserve">zeigen eine signifikante Assoziation der CD44-Proteinexpression mit der </w:t>
      </w:r>
      <w:r w:rsidR="006A1067" w:rsidRPr="00812C16">
        <w:rPr>
          <w:rFonts w:cs="Arial"/>
        </w:rPr>
        <w:t>l</w:t>
      </w:r>
      <w:r w:rsidR="00384FB4" w:rsidRPr="00812C16">
        <w:rPr>
          <w:rFonts w:cs="Arial"/>
        </w:rPr>
        <w:t>oko-regionären Tumorkontrolle (</w:t>
      </w:r>
      <w:r w:rsidR="00481C8C" w:rsidRPr="00812C16">
        <w:rPr>
          <w:rFonts w:cs="Arial"/>
        </w:rPr>
        <w:t xml:space="preserve">HR </w:t>
      </w:r>
      <w:r w:rsidR="00245798" w:rsidRPr="00812C16">
        <w:rPr>
          <w:rFonts w:cs="Arial"/>
        </w:rPr>
        <w:t xml:space="preserve">9,09, </w:t>
      </w:r>
      <w:r w:rsidR="00384FB4" w:rsidRPr="00812C16">
        <w:rPr>
          <w:rFonts w:cs="Arial"/>
        </w:rPr>
        <w:t>p = 0,008; siehe</w:t>
      </w:r>
      <w:r w:rsidR="00882767" w:rsidRPr="00812C16">
        <w:rPr>
          <w:rFonts w:cs="Arial"/>
        </w:rPr>
        <w:t xml:space="preserve"> </w:t>
      </w:r>
      <w:r w:rsidR="00882767" w:rsidRPr="00812C16">
        <w:rPr>
          <w:rFonts w:cs="Arial"/>
        </w:rPr>
        <w:fldChar w:fldCharType="begin"/>
      </w:r>
      <w:r w:rsidR="00882767" w:rsidRPr="00812C16">
        <w:rPr>
          <w:rFonts w:cs="Arial"/>
        </w:rPr>
        <w:instrText xml:space="preserve"> REF _Ref90890577 \h  \* MERGEFORMAT </w:instrText>
      </w:r>
      <w:r w:rsidR="00882767" w:rsidRPr="00812C16">
        <w:rPr>
          <w:rFonts w:cs="Arial"/>
        </w:rPr>
      </w:r>
      <w:r w:rsidR="00882767"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882767" w:rsidRPr="00812C16">
        <w:rPr>
          <w:rFonts w:cs="Arial"/>
        </w:rPr>
        <w:fldChar w:fldCharType="end"/>
      </w:r>
      <w:r w:rsidR="006A1067" w:rsidRPr="00812C16">
        <w:rPr>
          <w:rFonts w:cs="Arial"/>
        </w:rPr>
        <w:t xml:space="preserve">) </w:t>
      </w:r>
      <w:r w:rsidR="00384FB4" w:rsidRPr="00812C16">
        <w:rPr>
          <w:rFonts w:cs="Arial"/>
        </w:rPr>
        <w:t xml:space="preserve">aber nicht mit den </w:t>
      </w:r>
      <w:r w:rsidR="002B5580" w:rsidRPr="00812C16">
        <w:rPr>
          <w:rFonts w:cs="Arial"/>
        </w:rPr>
        <w:t>sekundären</w:t>
      </w:r>
      <w:r w:rsidR="00384FB4" w:rsidRPr="00812C16">
        <w:rPr>
          <w:rFonts w:cs="Arial"/>
        </w:rPr>
        <w:t xml:space="preserve"> Endpunkten </w:t>
      </w:r>
      <w:r w:rsidR="00870573" w:rsidRPr="00812C16">
        <w:rPr>
          <w:rFonts w:cs="Arial"/>
        </w:rPr>
        <w:t>F</w:t>
      </w:r>
      <w:r w:rsidR="00384FB4" w:rsidRPr="00812C16">
        <w:rPr>
          <w:rFonts w:cs="Arial"/>
        </w:rPr>
        <w:t>ernmetasten</w:t>
      </w:r>
      <w:r w:rsidR="00870573" w:rsidRPr="00812C16">
        <w:rPr>
          <w:rFonts w:cs="Arial"/>
        </w:rPr>
        <w:t>-</w:t>
      </w:r>
      <w:r w:rsidR="00384FB4" w:rsidRPr="00812C16">
        <w:rPr>
          <w:rFonts w:cs="Arial"/>
        </w:rPr>
        <w:t xml:space="preserve">freies </w:t>
      </w:r>
      <w:r w:rsidR="002B5580" w:rsidRPr="00812C16">
        <w:rPr>
          <w:rFonts w:cs="Arial"/>
        </w:rPr>
        <w:t>Überleben</w:t>
      </w:r>
      <w:r w:rsidR="00384FB4" w:rsidRPr="00812C16">
        <w:rPr>
          <w:rFonts w:cs="Arial"/>
        </w:rPr>
        <w:t xml:space="preserve"> (</w:t>
      </w:r>
      <w:r w:rsidR="00245798" w:rsidRPr="00812C16">
        <w:rPr>
          <w:rFonts w:cs="Arial"/>
        </w:rPr>
        <w:t xml:space="preserve">HR 2,29, </w:t>
      </w:r>
      <w:r w:rsidR="00384FB4" w:rsidRPr="00812C16">
        <w:rPr>
          <w:rFonts w:cs="Arial"/>
        </w:rPr>
        <w:t>p = 0,075) oder Gesamtüberleben (</w:t>
      </w:r>
      <w:r w:rsidR="00245798" w:rsidRPr="00812C16">
        <w:rPr>
          <w:rFonts w:cs="Arial"/>
        </w:rPr>
        <w:t xml:space="preserve">HR 1,78, </w:t>
      </w:r>
      <w:r w:rsidR="00384FB4" w:rsidRPr="00812C16">
        <w:rPr>
          <w:rFonts w:cs="Arial"/>
        </w:rPr>
        <w:t>p = 0,089).</w:t>
      </w:r>
      <w:r w:rsidR="00CF0682" w:rsidRPr="00812C16">
        <w:rPr>
          <w:rFonts w:cs="Arial"/>
        </w:rPr>
        <w:t xml:space="preserve"> </w:t>
      </w:r>
      <w:r w:rsidR="00063FF5" w:rsidRPr="00812C16">
        <w:rPr>
          <w:rFonts w:cs="Arial"/>
        </w:rPr>
        <w:t xml:space="preserve">Die </w:t>
      </w:r>
      <w:r w:rsidR="00605BF2" w:rsidRPr="00812C16">
        <w:rPr>
          <w:rFonts w:cs="Arial"/>
        </w:rPr>
        <w:t xml:space="preserve">dazugehörigen </w:t>
      </w:r>
      <w:r w:rsidR="00063FF5" w:rsidRPr="00812C16">
        <w:rPr>
          <w:rFonts w:cs="Arial"/>
        </w:rPr>
        <w:t xml:space="preserve">Kaplan-Meier Ereigniskurven für die sekundären Endpunkte </w:t>
      </w:r>
      <w:r w:rsidR="007D5F5C" w:rsidRPr="00812C16">
        <w:rPr>
          <w:rFonts w:cs="Arial"/>
        </w:rPr>
        <w:t>F</w:t>
      </w:r>
      <w:r w:rsidR="00063FF5" w:rsidRPr="00812C16">
        <w:rPr>
          <w:rFonts w:cs="Arial"/>
        </w:rPr>
        <w:t>ernmetastasen</w:t>
      </w:r>
      <w:r w:rsidR="007D5F5C" w:rsidRPr="00812C16">
        <w:rPr>
          <w:rFonts w:cs="Arial"/>
        </w:rPr>
        <w:t>-</w:t>
      </w:r>
      <w:r w:rsidR="00063FF5" w:rsidRPr="00812C16">
        <w:rPr>
          <w:rFonts w:cs="Arial"/>
        </w:rPr>
        <w:t>freies Überleben und Gesamtüberleben sind</w:t>
      </w:r>
      <w:r w:rsidR="007D5F5C" w:rsidRPr="00812C16">
        <w:rPr>
          <w:rFonts w:cs="Arial"/>
        </w:rPr>
        <w:t xml:space="preserve"> weiter unten</w:t>
      </w:r>
      <w:r w:rsidR="00063FF5" w:rsidRPr="00812C16">
        <w:rPr>
          <w:rFonts w:cs="Arial"/>
        </w:rPr>
        <w:t xml:space="preserve"> in </w:t>
      </w:r>
      <w:r w:rsidR="007D5F5C" w:rsidRPr="00812C16">
        <w:rPr>
          <w:rFonts w:cs="Arial"/>
        </w:rPr>
        <w:fldChar w:fldCharType="begin"/>
      </w:r>
      <w:r w:rsidR="007D5F5C" w:rsidRPr="00812C16">
        <w:rPr>
          <w:rFonts w:cs="Arial"/>
        </w:rPr>
        <w:instrText xml:space="preserve"> REF _Ref91092650 \h  \* MERGEFORMAT </w:instrText>
      </w:r>
      <w:r w:rsidR="007D5F5C" w:rsidRPr="00812C16">
        <w:rPr>
          <w:rFonts w:cs="Arial"/>
        </w:rPr>
      </w:r>
      <w:r w:rsidR="007D5F5C"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7D5F5C" w:rsidRPr="00812C16">
        <w:rPr>
          <w:rFonts w:cs="Arial"/>
        </w:rPr>
        <w:fldChar w:fldCharType="end"/>
      </w:r>
      <w:r w:rsidR="007D5F5C" w:rsidRPr="00812C16">
        <w:rPr>
          <w:rFonts w:cs="Arial"/>
        </w:rPr>
        <w:t xml:space="preserve"> </w:t>
      </w:r>
      <w:r w:rsidR="00063FF5" w:rsidRPr="00812C16">
        <w:rPr>
          <w:rFonts w:cs="Arial"/>
        </w:rPr>
        <w:t xml:space="preserve">dargestellt. </w:t>
      </w:r>
    </w:p>
    <w:p w14:paraId="25344462" w14:textId="77777777" w:rsidR="00B501EB" w:rsidRPr="00812C16" w:rsidRDefault="00B71E93" w:rsidP="00333B57">
      <w:pPr>
        <w:tabs>
          <w:tab w:val="left" w:pos="1985"/>
          <w:tab w:val="left" w:pos="7655"/>
          <w:tab w:val="left" w:pos="7797"/>
        </w:tabs>
        <w:spacing w:before="360" w:after="0"/>
        <w:ind w:left="993"/>
        <w:rPr>
          <w:rFonts w:cs="Arial"/>
        </w:rPr>
      </w:pPr>
      <w:r w:rsidRPr="00812C16">
        <w:rPr>
          <w:rFonts w:cs="Arial"/>
          <w:noProof/>
          <w:lang w:eastAsia="de-DE"/>
        </w:rPr>
        <w:drawing>
          <wp:inline distT="0" distB="0" distL="0" distR="0" wp14:anchorId="4A0AD973" wp14:editId="1D44DF9B">
            <wp:extent cx="4406900" cy="3315970"/>
            <wp:effectExtent l="0" t="0" r="0" b="0"/>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5">
                      <a:extLst>
                        <a:ext uri="{28A0092B-C50C-407E-A947-70E740481C1C}">
                          <a14:useLocalDpi xmlns:a14="http://schemas.microsoft.com/office/drawing/2010/main" val="0"/>
                        </a:ext>
                      </a:extLst>
                    </a:blip>
                    <a:srcRect l="1331" r="29929" b="20436"/>
                    <a:stretch>
                      <a:fillRect/>
                    </a:stretch>
                  </pic:blipFill>
                  <pic:spPr bwMode="auto">
                    <a:xfrm>
                      <a:off x="0" y="0"/>
                      <a:ext cx="4406900" cy="3315970"/>
                    </a:xfrm>
                    <a:prstGeom prst="rect">
                      <a:avLst/>
                    </a:prstGeom>
                    <a:noFill/>
                    <a:ln>
                      <a:noFill/>
                    </a:ln>
                  </pic:spPr>
                </pic:pic>
              </a:graphicData>
            </a:graphic>
          </wp:inline>
        </w:drawing>
      </w:r>
    </w:p>
    <w:p w14:paraId="613031AD" w14:textId="3ECECE11" w:rsidR="00B501EB" w:rsidRPr="00812C16" w:rsidRDefault="00B501EB" w:rsidP="00B501EB">
      <w:pPr>
        <w:pStyle w:val="Beschriftung"/>
        <w:spacing w:after="360" w:line="240" w:lineRule="auto"/>
        <w:rPr>
          <w:i w:val="0"/>
          <w:iCs w:val="0"/>
          <w:color w:val="000000" w:themeColor="text1"/>
          <w:sz w:val="20"/>
          <w:szCs w:val="20"/>
        </w:rPr>
      </w:pPr>
      <w:bookmarkStart w:id="74" w:name="_Ref90890577"/>
      <w:bookmarkStart w:id="75" w:name="_Ref90890573"/>
      <w:bookmarkStart w:id="76" w:name="_Toc180788384"/>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bookmarkEnd w:id="74"/>
      <w:r w:rsidRPr="00812C16">
        <w:rPr>
          <w:b/>
          <w:bCs/>
          <w:i w:val="0"/>
          <w:iCs w:val="0"/>
          <w:color w:val="000000" w:themeColor="text1"/>
          <w:sz w:val="20"/>
          <w:szCs w:val="20"/>
        </w:rPr>
        <w:t xml:space="preserve">: Kaplan-Meier Analyse zum Einfluss der CD44 Proteinexpression auf die loko-regionäre Tumorkontrolle aller Patienten. </w:t>
      </w:r>
      <w:r w:rsidRPr="00812C16">
        <w:rPr>
          <w:i w:val="0"/>
          <w:iCs w:val="0"/>
          <w:color w:val="000000" w:themeColor="text1"/>
          <w:sz w:val="20"/>
          <w:szCs w:val="20"/>
        </w:rPr>
        <w:t>Patienten mit CD44 positiven Kopf-Hals-</w:t>
      </w:r>
      <w:r w:rsidRPr="00812C16">
        <w:rPr>
          <w:i w:val="0"/>
          <w:iCs w:val="0"/>
          <w:color w:val="000000" w:themeColor="text1"/>
          <w:sz w:val="20"/>
          <w:szCs w:val="20"/>
        </w:rPr>
        <w:lastRenderedPageBreak/>
        <w:t>Plattenepithelkarzinomen haben eine signifikant schlechtere loko-regionäre Tumorkontrolle als Patienten mit CD44 negativen Tumoren (p=0,008)</w:t>
      </w:r>
      <w:bookmarkEnd w:id="75"/>
      <w:bookmarkEnd w:id="76"/>
    </w:p>
    <w:p w14:paraId="10EE9E08" w14:textId="01B39EDD" w:rsidR="002903EB" w:rsidRPr="00812C16" w:rsidRDefault="00605BF2" w:rsidP="00EF3572">
      <w:pPr>
        <w:spacing w:before="360" w:after="360"/>
        <w:rPr>
          <w:rFonts w:cs="Arial"/>
          <w:lang w:eastAsia="de-DE"/>
        </w:rPr>
      </w:pPr>
      <w:r w:rsidRPr="00812C16">
        <w:rPr>
          <w:rFonts w:cs="Arial"/>
          <w:lang w:eastAsia="de-DE"/>
        </w:rPr>
        <w:t xml:space="preserve">Ähnliche Effekte für die loko-regionäre Kontrolle wurden in der Untergruppe der HPV16 DNA-negativen </w:t>
      </w:r>
      <w:r w:rsidR="003116DA" w:rsidRPr="00812C16">
        <w:rPr>
          <w:rFonts w:cs="Arial"/>
        </w:rPr>
        <w:t>Kopf-Hals-Plattenepithelkarzinomen</w:t>
      </w:r>
      <w:r w:rsidRPr="00812C16">
        <w:rPr>
          <w:rFonts w:cs="Arial"/>
          <w:lang w:eastAsia="de-DE"/>
        </w:rPr>
        <w:t xml:space="preserve"> beobachtet</w:t>
      </w:r>
      <w:r w:rsidR="003116DA" w:rsidRPr="00812C16">
        <w:rPr>
          <w:rFonts w:cs="Arial"/>
          <w:lang w:eastAsia="de-DE"/>
        </w:rPr>
        <w:t xml:space="preserve">. Hier zeigten </w:t>
      </w:r>
      <w:r w:rsidR="003116DA" w:rsidRPr="00812C16">
        <w:rPr>
          <w:rFonts w:cs="Arial"/>
        </w:rPr>
        <w:t xml:space="preserve">univariate Analysen einen statistischen Trend für eine Korrelation von CD44 mit der loko-regionären Tumorkontrolle (p = 0,05; </w:t>
      </w:r>
      <w:r w:rsidR="003116DA" w:rsidRPr="00812C16">
        <w:rPr>
          <w:rFonts w:cs="Arial"/>
        </w:rPr>
        <w:fldChar w:fldCharType="begin"/>
      </w:r>
      <w:r w:rsidR="003116DA" w:rsidRPr="00812C16">
        <w:rPr>
          <w:rFonts w:cs="Arial"/>
        </w:rPr>
        <w:instrText xml:space="preserve"> REF _Ref91007954 \h  \* MERGEFORMAT </w:instrText>
      </w:r>
      <w:r w:rsidR="003116DA" w:rsidRPr="00812C16">
        <w:rPr>
          <w:rFonts w:cs="Arial"/>
        </w:rPr>
      </w:r>
      <w:r w:rsidR="003116DA" w:rsidRPr="00812C16">
        <w:rPr>
          <w:rFonts w:cs="Arial"/>
        </w:rPr>
        <w:fldChar w:fldCharType="separate"/>
      </w:r>
      <w:r w:rsidR="00F67803" w:rsidRPr="00F67803">
        <w:t xml:space="preserve">Abbildung </w:t>
      </w:r>
      <w:r w:rsidR="00F67803" w:rsidRPr="00F67803">
        <w:rPr>
          <w:noProof/>
        </w:rPr>
        <w:t>4</w:t>
      </w:r>
      <w:r w:rsidR="00F67803" w:rsidRPr="00F67803">
        <w:rPr>
          <w:noProof/>
        </w:rPr>
        <w:noBreakHyphen/>
        <w:t>5</w:t>
      </w:r>
      <w:r w:rsidR="003116DA" w:rsidRPr="00812C16">
        <w:rPr>
          <w:rFonts w:cs="Arial"/>
        </w:rPr>
        <w:fldChar w:fldCharType="end"/>
      </w:r>
      <w:r w:rsidR="003116DA" w:rsidRPr="00812C16">
        <w:rPr>
          <w:rFonts w:cs="Arial"/>
        </w:rPr>
        <w:t xml:space="preserve">). </w:t>
      </w:r>
    </w:p>
    <w:p w14:paraId="2D3146C4" w14:textId="77777777" w:rsidR="0036057F" w:rsidRPr="00812C16" w:rsidRDefault="00B71E93" w:rsidP="00333B57">
      <w:pPr>
        <w:keepNext/>
        <w:tabs>
          <w:tab w:val="left" w:pos="1985"/>
          <w:tab w:val="left" w:pos="6946"/>
          <w:tab w:val="left" w:pos="7371"/>
          <w:tab w:val="left" w:pos="7655"/>
          <w:tab w:val="left" w:pos="7938"/>
        </w:tabs>
        <w:spacing w:before="360" w:after="0"/>
        <w:ind w:left="993"/>
        <w:jc w:val="left"/>
      </w:pPr>
      <w:r w:rsidRPr="00812C16">
        <w:rPr>
          <w:rFonts w:cs="Arial"/>
          <w:noProof/>
          <w:lang w:eastAsia="de-DE"/>
        </w:rPr>
        <w:drawing>
          <wp:inline distT="0" distB="0" distL="0" distR="0" wp14:anchorId="7642F414" wp14:editId="019A9B01">
            <wp:extent cx="4462145" cy="3315970"/>
            <wp:effectExtent l="0" t="0" r="0" b="0"/>
            <wp:docPr id="12"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6">
                      <a:extLst>
                        <a:ext uri="{28A0092B-C50C-407E-A947-70E740481C1C}">
                          <a14:useLocalDpi xmlns:a14="http://schemas.microsoft.com/office/drawing/2010/main" val="0"/>
                        </a:ext>
                      </a:extLst>
                    </a:blip>
                    <a:srcRect l="919" r="29623" b="20436"/>
                    <a:stretch>
                      <a:fillRect/>
                    </a:stretch>
                  </pic:blipFill>
                  <pic:spPr bwMode="auto">
                    <a:xfrm>
                      <a:off x="0" y="0"/>
                      <a:ext cx="4462145" cy="3315970"/>
                    </a:xfrm>
                    <a:prstGeom prst="rect">
                      <a:avLst/>
                    </a:prstGeom>
                    <a:noFill/>
                    <a:ln>
                      <a:noFill/>
                    </a:ln>
                  </pic:spPr>
                </pic:pic>
              </a:graphicData>
            </a:graphic>
          </wp:inline>
        </w:drawing>
      </w:r>
    </w:p>
    <w:p w14:paraId="567486F9" w14:textId="112BE221" w:rsidR="0036057F" w:rsidRPr="00812C16" w:rsidRDefault="0036057F" w:rsidP="00960B48">
      <w:pPr>
        <w:pStyle w:val="Beschriftung"/>
        <w:spacing w:after="360" w:line="240" w:lineRule="auto"/>
        <w:rPr>
          <w:rFonts w:cs="Arial"/>
          <w:i w:val="0"/>
          <w:iCs w:val="0"/>
          <w:color w:val="auto"/>
          <w:sz w:val="20"/>
          <w:szCs w:val="20"/>
        </w:rPr>
      </w:pPr>
      <w:bookmarkStart w:id="77" w:name="_Ref91007954"/>
      <w:bookmarkStart w:id="78" w:name="_Toc180788385"/>
      <w:r w:rsidRPr="00812C16">
        <w:rPr>
          <w:b/>
          <w:bCs/>
          <w:i w:val="0"/>
          <w:iCs w:val="0"/>
          <w:color w:val="auto"/>
          <w:sz w:val="20"/>
          <w:szCs w:val="20"/>
        </w:rPr>
        <w:t xml:space="preserve">Abbildung </w:t>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STYLEREF 1 \s </w:instrText>
      </w:r>
      <w:r w:rsidR="00BF08D6" w:rsidRPr="00812C16">
        <w:rPr>
          <w:b/>
          <w:bCs/>
          <w:i w:val="0"/>
          <w:iCs w:val="0"/>
          <w:color w:val="auto"/>
          <w:sz w:val="20"/>
          <w:szCs w:val="20"/>
        </w:rPr>
        <w:fldChar w:fldCharType="separate"/>
      </w:r>
      <w:r w:rsidR="00F67803">
        <w:rPr>
          <w:b/>
          <w:bCs/>
          <w:i w:val="0"/>
          <w:iCs w:val="0"/>
          <w:noProof/>
          <w:color w:val="auto"/>
          <w:sz w:val="20"/>
          <w:szCs w:val="20"/>
        </w:rPr>
        <w:t>4</w:t>
      </w:r>
      <w:r w:rsidR="00BF08D6" w:rsidRPr="00812C16">
        <w:rPr>
          <w:b/>
          <w:bCs/>
          <w:i w:val="0"/>
          <w:iCs w:val="0"/>
          <w:color w:val="auto"/>
          <w:sz w:val="20"/>
          <w:szCs w:val="20"/>
        </w:rPr>
        <w:fldChar w:fldCharType="end"/>
      </w:r>
      <w:r w:rsidR="00BF08D6" w:rsidRPr="00812C16">
        <w:rPr>
          <w:b/>
          <w:bCs/>
          <w:i w:val="0"/>
          <w:iCs w:val="0"/>
          <w:color w:val="auto"/>
          <w:sz w:val="20"/>
          <w:szCs w:val="20"/>
        </w:rPr>
        <w:noBreakHyphen/>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SEQ Abbildung \* ARABIC \s 1 </w:instrText>
      </w:r>
      <w:r w:rsidR="00BF08D6" w:rsidRPr="00812C16">
        <w:rPr>
          <w:b/>
          <w:bCs/>
          <w:i w:val="0"/>
          <w:iCs w:val="0"/>
          <w:color w:val="auto"/>
          <w:sz w:val="20"/>
          <w:szCs w:val="20"/>
        </w:rPr>
        <w:fldChar w:fldCharType="separate"/>
      </w:r>
      <w:r w:rsidR="00F67803">
        <w:rPr>
          <w:b/>
          <w:bCs/>
          <w:i w:val="0"/>
          <w:iCs w:val="0"/>
          <w:noProof/>
          <w:color w:val="auto"/>
          <w:sz w:val="20"/>
          <w:szCs w:val="20"/>
        </w:rPr>
        <w:t>5</w:t>
      </w:r>
      <w:r w:rsidR="00BF08D6" w:rsidRPr="00812C16">
        <w:rPr>
          <w:b/>
          <w:bCs/>
          <w:i w:val="0"/>
          <w:iCs w:val="0"/>
          <w:color w:val="auto"/>
          <w:sz w:val="20"/>
          <w:szCs w:val="20"/>
        </w:rPr>
        <w:fldChar w:fldCharType="end"/>
      </w:r>
      <w:bookmarkEnd w:id="77"/>
      <w:r w:rsidRPr="00812C16">
        <w:rPr>
          <w:b/>
          <w:bCs/>
          <w:i w:val="0"/>
          <w:iCs w:val="0"/>
          <w:color w:val="auto"/>
          <w:sz w:val="20"/>
          <w:szCs w:val="20"/>
        </w:rPr>
        <w:t>: Kaplan-Meier Analyse zum Einfluss der CD44 Proteinexpression auf die loko-regionäre Tumorkontrolle von Patienten mit HPV16 DNA-negativen Tumoren.</w:t>
      </w:r>
      <w:r w:rsidR="00960B48" w:rsidRPr="00812C16">
        <w:rPr>
          <w:b/>
          <w:bCs/>
          <w:i w:val="0"/>
          <w:iCs w:val="0"/>
          <w:color w:val="auto"/>
          <w:sz w:val="20"/>
          <w:szCs w:val="20"/>
        </w:rPr>
        <w:t xml:space="preserve"> </w:t>
      </w:r>
      <w:r w:rsidR="00BF23BF" w:rsidRPr="00812C16">
        <w:rPr>
          <w:i w:val="0"/>
          <w:iCs w:val="0"/>
          <w:color w:val="auto"/>
          <w:sz w:val="20"/>
          <w:szCs w:val="20"/>
        </w:rPr>
        <w:t xml:space="preserve">Patienten der Subgruppe mit HPV16 </w:t>
      </w:r>
      <w:r w:rsidR="00E967BC" w:rsidRPr="00812C16">
        <w:rPr>
          <w:i w:val="0"/>
          <w:iCs w:val="0"/>
          <w:color w:val="auto"/>
          <w:sz w:val="20"/>
          <w:szCs w:val="20"/>
        </w:rPr>
        <w:t>DNA-</w:t>
      </w:r>
      <w:r w:rsidR="00BF23BF" w:rsidRPr="00812C16">
        <w:rPr>
          <w:i w:val="0"/>
          <w:iCs w:val="0"/>
          <w:color w:val="auto"/>
          <w:sz w:val="20"/>
          <w:szCs w:val="20"/>
        </w:rPr>
        <w:t>negativen und CD44 negativen Kopf-Hals-Plattenepithelkarzinomen zeigen einen statistischen Trend für eine bessere loko-regionäre Tumorkontrolle im Vergleich zu Patienten mit HPV16 DNA negativen und CD</w:t>
      </w:r>
      <w:r w:rsidR="00960B48" w:rsidRPr="00812C16">
        <w:rPr>
          <w:i w:val="0"/>
          <w:iCs w:val="0"/>
          <w:color w:val="auto"/>
          <w:sz w:val="20"/>
          <w:szCs w:val="20"/>
        </w:rPr>
        <w:t>44-positiven Tumoren (p=0,05).</w:t>
      </w:r>
      <w:bookmarkEnd w:id="78"/>
    </w:p>
    <w:p w14:paraId="4F6ADA05" w14:textId="580673C5" w:rsidR="003479B2" w:rsidRPr="00812C16" w:rsidRDefault="003116DA" w:rsidP="003479B2">
      <w:pPr>
        <w:spacing w:before="360" w:after="360"/>
        <w:rPr>
          <w:rFonts w:cs="Arial"/>
        </w:rPr>
      </w:pPr>
      <w:r w:rsidRPr="00812C16">
        <w:rPr>
          <w:rFonts w:cs="Arial"/>
        </w:rPr>
        <w:t xml:space="preserve">Ähnlich wie bei dem gesamten Patientenkollektiv, hatte CD44 jedoch keinen Einfluss auf die sekundären Endpunkte von Patienten der Subgruppe mit HPV16 DNA-negativen Tumoren. </w:t>
      </w:r>
      <w:r w:rsidR="000D743D" w:rsidRPr="00812C16">
        <w:rPr>
          <w:rFonts w:cs="Arial"/>
        </w:rPr>
        <w:fldChar w:fldCharType="begin"/>
      </w:r>
      <w:r w:rsidR="000D743D" w:rsidRPr="00812C16">
        <w:rPr>
          <w:rFonts w:cs="Arial"/>
        </w:rPr>
        <w:instrText xml:space="preserve"> REF _Ref91092650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0D743D" w:rsidRPr="00812C16">
        <w:rPr>
          <w:rFonts w:cs="Arial"/>
        </w:rPr>
        <w:fldChar w:fldCharType="end"/>
      </w:r>
      <w:r w:rsidR="000D743D" w:rsidRPr="00812C16">
        <w:rPr>
          <w:rFonts w:cs="Arial"/>
        </w:rPr>
        <w:t xml:space="preserve"> zeigt die </w:t>
      </w:r>
      <w:r w:rsidRPr="00812C16">
        <w:rPr>
          <w:rFonts w:cs="Arial"/>
        </w:rPr>
        <w:t>dazugehörigen Überlebensfunktion</w:t>
      </w:r>
      <w:r w:rsidR="00DC3C95" w:rsidRPr="00812C16">
        <w:rPr>
          <w:rFonts w:cs="Arial"/>
        </w:rPr>
        <w:t xml:space="preserve"> dieser Subgruppe</w:t>
      </w:r>
      <w:r w:rsidR="000D743D" w:rsidRPr="00812C16">
        <w:rPr>
          <w:rFonts w:cs="Arial"/>
        </w:rPr>
        <w:t xml:space="preserve">. </w:t>
      </w:r>
      <w:r w:rsidR="003479B2" w:rsidRPr="00812C16">
        <w:rPr>
          <w:rFonts w:cs="Arial"/>
        </w:rPr>
        <w:t>Alle Ergebnisse der univariaten Analyse (Log-Rank Test) zum Einfluss von CD44 auf die loko-regionäre Kontrolle, Fernmetastasen-freies Überleben und Gesamtüberleben der gesamten Patientenkohorte sowie der Subgruppe der HPV16 D</w:t>
      </w:r>
      <w:r w:rsidR="00767E11" w:rsidRPr="00812C16">
        <w:rPr>
          <w:rFonts w:cs="Arial"/>
        </w:rPr>
        <w:t>NA</w:t>
      </w:r>
      <w:r w:rsidR="003479B2" w:rsidRPr="00812C16">
        <w:rPr>
          <w:rFonts w:cs="Arial"/>
        </w:rPr>
        <w:t xml:space="preserve">-negativen Kohorte sind in </w:t>
      </w:r>
      <w:r w:rsidR="000D743D" w:rsidRPr="00812C16">
        <w:rPr>
          <w:rFonts w:cs="Arial"/>
        </w:rPr>
        <w:fldChar w:fldCharType="begin"/>
      </w:r>
      <w:r w:rsidR="000D743D" w:rsidRPr="00812C16">
        <w:rPr>
          <w:rFonts w:cs="Arial"/>
        </w:rPr>
        <w:instrText xml:space="preserve"> REF _Ref91322653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8</w:t>
      </w:r>
      <w:r w:rsidR="000D743D" w:rsidRPr="00812C16">
        <w:rPr>
          <w:rFonts w:cs="Arial"/>
        </w:rPr>
        <w:fldChar w:fldCharType="end"/>
      </w:r>
      <w:r w:rsidR="000D743D" w:rsidRPr="00812C16">
        <w:rPr>
          <w:rFonts w:cs="Arial"/>
        </w:rPr>
        <w:t xml:space="preserve"> </w:t>
      </w:r>
      <w:r w:rsidR="003479B2" w:rsidRPr="00812C16">
        <w:rPr>
          <w:rFonts w:cs="Arial"/>
        </w:rPr>
        <w:t xml:space="preserve"> </w:t>
      </w:r>
      <w:r w:rsidR="00DC3C95" w:rsidRPr="00812C16">
        <w:rPr>
          <w:rFonts w:cs="Arial"/>
        </w:rPr>
        <w:t xml:space="preserve">nochmal </w:t>
      </w:r>
      <w:r w:rsidR="003479B2" w:rsidRPr="00812C16">
        <w:rPr>
          <w:rFonts w:cs="Arial"/>
        </w:rPr>
        <w:t xml:space="preserve">zusammengefasst. </w:t>
      </w:r>
    </w:p>
    <w:p w14:paraId="513ACA4E" w14:textId="427C5AE2" w:rsidR="003479B2" w:rsidRPr="00812C16" w:rsidRDefault="003479B2" w:rsidP="00B76E7A">
      <w:pPr>
        <w:pStyle w:val="Beschriftung"/>
        <w:keepNext/>
        <w:tabs>
          <w:tab w:val="left" w:pos="2552"/>
          <w:tab w:val="left" w:pos="2977"/>
          <w:tab w:val="left" w:pos="3402"/>
          <w:tab w:val="left" w:pos="3828"/>
          <w:tab w:val="left" w:pos="4111"/>
          <w:tab w:val="left" w:pos="4395"/>
          <w:tab w:val="left" w:pos="5529"/>
          <w:tab w:val="left" w:pos="6237"/>
          <w:tab w:val="left" w:pos="6379"/>
          <w:tab w:val="left" w:pos="7513"/>
          <w:tab w:val="left" w:pos="7797"/>
          <w:tab w:val="left" w:pos="8080"/>
          <w:tab w:val="left" w:pos="8364"/>
        </w:tabs>
        <w:spacing w:after="120" w:line="240" w:lineRule="auto"/>
        <w:rPr>
          <w:color w:val="000000" w:themeColor="text1"/>
        </w:rPr>
      </w:pPr>
      <w:bookmarkStart w:id="79" w:name="_Ref91322653"/>
      <w:bookmarkStart w:id="80" w:name="_Toc180788398"/>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8</w:t>
      </w:r>
      <w:r w:rsidR="00A126D9" w:rsidRPr="00812C16">
        <w:rPr>
          <w:b/>
          <w:bCs/>
          <w:i w:val="0"/>
          <w:iCs w:val="0"/>
          <w:color w:val="000000" w:themeColor="text1"/>
          <w:sz w:val="20"/>
          <w:szCs w:val="20"/>
        </w:rPr>
        <w:fldChar w:fldCharType="end"/>
      </w:r>
      <w:bookmarkEnd w:id="79"/>
      <w:r w:rsidRPr="00812C16">
        <w:rPr>
          <w:b/>
          <w:bCs/>
          <w:i w:val="0"/>
          <w:iCs w:val="0"/>
          <w:color w:val="000000" w:themeColor="text1"/>
          <w:sz w:val="20"/>
          <w:szCs w:val="20"/>
        </w:rPr>
        <w:t xml:space="preserve">: Univariate Analysen zum Einfluss von CD44 als Tumorstammzellmarker auf die loko-regionären Kontrolle, Fernmetastasen-freies Überleben und Gesamtüberleben.  </w:t>
      </w:r>
      <w:r w:rsidRPr="00812C16">
        <w:rPr>
          <w:i w:val="0"/>
          <w:iCs w:val="0"/>
          <w:color w:val="000000" w:themeColor="text1"/>
          <w:sz w:val="20"/>
          <w:szCs w:val="20"/>
        </w:rPr>
        <w:t xml:space="preserve">HR = </w:t>
      </w:r>
      <w:r w:rsidR="00922319" w:rsidRPr="00812C16">
        <w:rPr>
          <w:i w:val="0"/>
          <w:iCs w:val="0"/>
          <w:color w:val="000000" w:themeColor="text1"/>
          <w:sz w:val="20"/>
          <w:szCs w:val="20"/>
        </w:rPr>
        <w:t>Hazard</w:t>
      </w:r>
      <w:r w:rsidRPr="00812C16">
        <w:rPr>
          <w:i w:val="0"/>
          <w:iCs w:val="0"/>
          <w:color w:val="000000" w:themeColor="text1"/>
          <w:sz w:val="20"/>
          <w:szCs w:val="20"/>
        </w:rPr>
        <w:t xml:space="preserve"> </w:t>
      </w:r>
      <w:r w:rsidR="00922319" w:rsidRPr="00812C16">
        <w:rPr>
          <w:i w:val="0"/>
          <w:iCs w:val="0"/>
          <w:color w:val="000000" w:themeColor="text1"/>
          <w:sz w:val="20"/>
          <w:szCs w:val="20"/>
        </w:rPr>
        <w:t>Ratio</w:t>
      </w:r>
      <w:r w:rsidRPr="00812C16">
        <w:rPr>
          <w:i w:val="0"/>
          <w:iCs w:val="0"/>
          <w:color w:val="000000" w:themeColor="text1"/>
          <w:sz w:val="20"/>
          <w:szCs w:val="20"/>
        </w:rPr>
        <w:t>; 95% KI = 95% -Konfidenzintervall</w:t>
      </w:r>
      <w:bookmarkEnd w:id="80"/>
      <w:r w:rsidRPr="00812C16">
        <w:rPr>
          <w:b/>
          <w:bCs/>
          <w:i w:val="0"/>
          <w:iCs w:val="0"/>
          <w:color w:val="000000" w:themeColor="text1"/>
          <w:sz w:val="20"/>
          <w:szCs w:val="20"/>
        </w:rPr>
        <w:t xml:space="preserve"> </w:t>
      </w:r>
    </w:p>
    <w:tbl>
      <w:tblPr>
        <w:tblW w:w="9072" w:type="dxa"/>
        <w:tblLayout w:type="fixed"/>
        <w:tblCellMar>
          <w:left w:w="0" w:type="dxa"/>
          <w:right w:w="0" w:type="dxa"/>
        </w:tblCellMar>
        <w:tblLook w:val="04A0" w:firstRow="1" w:lastRow="0" w:firstColumn="1" w:lastColumn="0" w:noHBand="0" w:noVBand="1"/>
      </w:tblPr>
      <w:tblGrid>
        <w:gridCol w:w="569"/>
        <w:gridCol w:w="991"/>
        <w:gridCol w:w="1701"/>
        <w:gridCol w:w="852"/>
        <w:gridCol w:w="1700"/>
        <w:gridCol w:w="850"/>
        <w:gridCol w:w="1704"/>
        <w:gridCol w:w="705"/>
      </w:tblGrid>
      <w:tr w:rsidR="00E10DBC" w:rsidRPr="00812C16" w14:paraId="3B5EEAF6" w14:textId="77777777" w:rsidTr="005B22BE">
        <w:trPr>
          <w:trHeight w:val="20"/>
          <w:tblHeader/>
        </w:trPr>
        <w:tc>
          <w:tcPr>
            <w:tcW w:w="1560" w:type="dxa"/>
            <w:gridSpan w:val="2"/>
            <w:tcBorders>
              <w:top w:val="single" w:sz="4" w:space="0" w:color="000000" w:themeColor="text1"/>
            </w:tcBorders>
            <w:tcMar>
              <w:top w:w="75" w:type="dxa"/>
              <w:left w:w="75" w:type="dxa"/>
              <w:bottom w:w="75" w:type="dxa"/>
              <w:right w:w="75" w:type="dxa"/>
            </w:tcMar>
            <w:vAlign w:val="center"/>
          </w:tcPr>
          <w:p w14:paraId="57700008"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Kohorte</w:t>
            </w:r>
          </w:p>
        </w:tc>
        <w:tc>
          <w:tcPr>
            <w:tcW w:w="2553" w:type="dxa"/>
            <w:gridSpan w:val="2"/>
            <w:tcBorders>
              <w:top w:val="single" w:sz="4" w:space="0" w:color="000000" w:themeColor="text1"/>
            </w:tcBorders>
            <w:tcMar>
              <w:top w:w="75" w:type="dxa"/>
              <w:left w:w="75" w:type="dxa"/>
              <w:bottom w:w="75" w:type="dxa"/>
              <w:right w:w="75" w:type="dxa"/>
            </w:tcMar>
            <w:vAlign w:val="center"/>
          </w:tcPr>
          <w:p w14:paraId="7EBE09BF"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Loko-regionäre Kontrolle</w:t>
            </w:r>
          </w:p>
        </w:tc>
        <w:tc>
          <w:tcPr>
            <w:tcW w:w="2550" w:type="dxa"/>
            <w:gridSpan w:val="2"/>
            <w:tcBorders>
              <w:top w:val="single" w:sz="4" w:space="0" w:color="000000" w:themeColor="text1"/>
            </w:tcBorders>
            <w:tcMar>
              <w:top w:w="75" w:type="dxa"/>
              <w:left w:w="75" w:type="dxa"/>
              <w:bottom w:w="75" w:type="dxa"/>
              <w:right w:w="75" w:type="dxa"/>
            </w:tcMar>
            <w:vAlign w:val="center"/>
          </w:tcPr>
          <w:p w14:paraId="5B88D23B"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Fernmetastasen-freies Überleben</w:t>
            </w:r>
          </w:p>
        </w:tc>
        <w:tc>
          <w:tcPr>
            <w:tcW w:w="2409" w:type="dxa"/>
            <w:gridSpan w:val="2"/>
            <w:tcBorders>
              <w:top w:val="single" w:sz="4" w:space="0" w:color="000000" w:themeColor="text1"/>
            </w:tcBorders>
            <w:vAlign w:val="center"/>
          </w:tcPr>
          <w:p w14:paraId="2AF6065D"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Gesamtüberleben</w:t>
            </w:r>
          </w:p>
        </w:tc>
      </w:tr>
      <w:tr w:rsidR="00E10DBC" w:rsidRPr="00812C16" w14:paraId="5E4A4174" w14:textId="77777777" w:rsidTr="005B22BE">
        <w:trPr>
          <w:trHeight w:val="13"/>
        </w:trPr>
        <w:tc>
          <w:tcPr>
            <w:tcW w:w="569" w:type="dxa"/>
            <w:tcBorders>
              <w:bottom w:val="single" w:sz="4" w:space="0" w:color="000000" w:themeColor="text1"/>
            </w:tcBorders>
            <w:tcMar>
              <w:top w:w="75" w:type="dxa"/>
              <w:left w:w="75" w:type="dxa"/>
              <w:bottom w:w="75" w:type="dxa"/>
              <w:right w:w="75" w:type="dxa"/>
            </w:tcMar>
          </w:tcPr>
          <w:p w14:paraId="4368BCA7" w14:textId="77777777" w:rsidR="003479B2" w:rsidRPr="00812C16" w:rsidRDefault="003479B2" w:rsidP="006678A2">
            <w:pPr>
              <w:spacing w:after="0" w:line="240" w:lineRule="auto"/>
              <w:jc w:val="center"/>
              <w:rPr>
                <w:rFonts w:cs="Arial"/>
                <w:sz w:val="18"/>
                <w:szCs w:val="18"/>
                <w:lang w:eastAsia="de-DE"/>
              </w:rPr>
            </w:pPr>
          </w:p>
        </w:tc>
        <w:tc>
          <w:tcPr>
            <w:tcW w:w="991" w:type="dxa"/>
            <w:tcBorders>
              <w:bottom w:val="single" w:sz="4" w:space="0" w:color="000000" w:themeColor="text1"/>
            </w:tcBorders>
          </w:tcPr>
          <w:p w14:paraId="241A31FB" w14:textId="77777777" w:rsidR="003479B2" w:rsidRPr="00812C16" w:rsidRDefault="003479B2" w:rsidP="006678A2">
            <w:pPr>
              <w:spacing w:after="0" w:line="240" w:lineRule="auto"/>
              <w:jc w:val="center"/>
              <w:rPr>
                <w:rFonts w:cs="Arial"/>
                <w:sz w:val="18"/>
                <w:szCs w:val="18"/>
                <w:lang w:eastAsia="de-DE"/>
              </w:rPr>
            </w:pPr>
          </w:p>
        </w:tc>
        <w:tc>
          <w:tcPr>
            <w:tcW w:w="1701" w:type="dxa"/>
            <w:tcBorders>
              <w:bottom w:val="single" w:sz="4" w:space="0" w:color="000000" w:themeColor="text1"/>
            </w:tcBorders>
            <w:tcMar>
              <w:top w:w="75" w:type="dxa"/>
              <w:left w:w="75" w:type="dxa"/>
              <w:bottom w:w="75" w:type="dxa"/>
              <w:right w:w="75" w:type="dxa"/>
            </w:tcMar>
          </w:tcPr>
          <w:p w14:paraId="1BFC1F76"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2" w:type="dxa"/>
            <w:tcBorders>
              <w:bottom w:val="single" w:sz="4" w:space="0" w:color="000000" w:themeColor="text1"/>
            </w:tcBorders>
            <w:tcMar>
              <w:top w:w="75" w:type="dxa"/>
              <w:left w:w="75" w:type="dxa"/>
              <w:bottom w:w="75" w:type="dxa"/>
              <w:right w:w="75" w:type="dxa"/>
            </w:tcMar>
          </w:tcPr>
          <w:p w14:paraId="324FAAF7"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0" w:type="dxa"/>
            <w:tcBorders>
              <w:bottom w:val="single" w:sz="4" w:space="0" w:color="000000" w:themeColor="text1"/>
            </w:tcBorders>
            <w:tcMar>
              <w:top w:w="75" w:type="dxa"/>
              <w:left w:w="75" w:type="dxa"/>
              <w:bottom w:w="75" w:type="dxa"/>
              <w:right w:w="75" w:type="dxa"/>
            </w:tcMar>
          </w:tcPr>
          <w:p w14:paraId="355E88F1"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0" w:type="dxa"/>
            <w:tcBorders>
              <w:bottom w:val="single" w:sz="4" w:space="0" w:color="000000" w:themeColor="text1"/>
            </w:tcBorders>
            <w:tcMar>
              <w:top w:w="75" w:type="dxa"/>
              <w:left w:w="75" w:type="dxa"/>
              <w:bottom w:w="75" w:type="dxa"/>
              <w:right w:w="75" w:type="dxa"/>
            </w:tcMar>
          </w:tcPr>
          <w:p w14:paraId="06B85CC5"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4" w:type="dxa"/>
            <w:tcBorders>
              <w:bottom w:val="single" w:sz="4" w:space="0" w:color="000000" w:themeColor="text1"/>
            </w:tcBorders>
          </w:tcPr>
          <w:p w14:paraId="69CBB586" w14:textId="77777777" w:rsidR="003479B2" w:rsidRPr="00812C16" w:rsidRDefault="003479B2" w:rsidP="006678A2">
            <w:pPr>
              <w:spacing w:after="0" w:line="240" w:lineRule="auto"/>
              <w:ind w:right="139"/>
              <w:jc w:val="center"/>
              <w:rPr>
                <w:rFonts w:cs="Arial"/>
                <w:sz w:val="18"/>
                <w:szCs w:val="18"/>
                <w:lang w:eastAsia="de-DE"/>
              </w:rPr>
            </w:pPr>
            <w:r w:rsidRPr="00812C16">
              <w:rPr>
                <w:rFonts w:cs="Arial"/>
                <w:sz w:val="18"/>
                <w:szCs w:val="18"/>
                <w:lang w:eastAsia="de-DE"/>
              </w:rPr>
              <w:t>HR (95% KI)</w:t>
            </w:r>
          </w:p>
        </w:tc>
        <w:tc>
          <w:tcPr>
            <w:tcW w:w="705" w:type="dxa"/>
            <w:tcBorders>
              <w:bottom w:val="single" w:sz="4" w:space="0" w:color="000000" w:themeColor="text1"/>
            </w:tcBorders>
          </w:tcPr>
          <w:p w14:paraId="46FFCC37" w14:textId="77777777" w:rsidR="003479B2" w:rsidRPr="00812C16" w:rsidRDefault="003479B2" w:rsidP="006678A2">
            <w:pPr>
              <w:spacing w:after="0" w:line="240" w:lineRule="auto"/>
              <w:ind w:left="-258" w:firstLine="283"/>
              <w:jc w:val="center"/>
              <w:rPr>
                <w:rFonts w:cs="Arial"/>
                <w:sz w:val="18"/>
                <w:szCs w:val="18"/>
                <w:lang w:eastAsia="de-DE"/>
              </w:rPr>
            </w:pPr>
            <w:r w:rsidRPr="00812C16">
              <w:rPr>
                <w:rFonts w:cs="Arial"/>
                <w:sz w:val="18"/>
                <w:szCs w:val="18"/>
                <w:lang w:eastAsia="de-DE"/>
              </w:rPr>
              <w:t>p-Wert</w:t>
            </w:r>
          </w:p>
        </w:tc>
      </w:tr>
      <w:tr w:rsidR="00E10DBC" w:rsidRPr="00812C16" w14:paraId="1A7BEADA" w14:textId="77777777" w:rsidTr="005B22BE">
        <w:trPr>
          <w:cantSplit/>
          <w:trHeight w:val="69"/>
        </w:trPr>
        <w:tc>
          <w:tcPr>
            <w:tcW w:w="1560" w:type="dxa"/>
            <w:gridSpan w:val="2"/>
            <w:tcBorders>
              <w:top w:val="single" w:sz="4" w:space="0" w:color="000000" w:themeColor="text1"/>
              <w:bottom w:val="single" w:sz="4" w:space="0" w:color="D0CECE" w:themeColor="background2" w:themeShade="E6"/>
            </w:tcBorders>
            <w:tcMar>
              <w:top w:w="75" w:type="dxa"/>
              <w:left w:w="75" w:type="dxa"/>
              <w:bottom w:w="75" w:type="dxa"/>
              <w:right w:w="75" w:type="dxa"/>
            </w:tcMar>
          </w:tcPr>
          <w:p w14:paraId="61BDF96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Alle Patienten</w:t>
            </w:r>
          </w:p>
        </w:tc>
        <w:tc>
          <w:tcPr>
            <w:tcW w:w="1701"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50168EDB"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9,09 (1,24-66,8)</w:t>
            </w:r>
          </w:p>
        </w:tc>
        <w:tc>
          <w:tcPr>
            <w:tcW w:w="852"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0C73539C"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0,008</w:t>
            </w:r>
          </w:p>
        </w:tc>
        <w:tc>
          <w:tcPr>
            <w:tcW w:w="170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3F5B384D"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2,29 (0,90-5,86)</w:t>
            </w:r>
          </w:p>
        </w:tc>
        <w:tc>
          <w:tcPr>
            <w:tcW w:w="85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298BB765"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0,075</w:t>
            </w:r>
          </w:p>
        </w:tc>
        <w:tc>
          <w:tcPr>
            <w:tcW w:w="1704" w:type="dxa"/>
            <w:tcBorders>
              <w:top w:val="single" w:sz="4" w:space="0" w:color="000000" w:themeColor="text1"/>
              <w:bottom w:val="single" w:sz="4" w:space="0" w:color="D0CECE" w:themeColor="background2" w:themeShade="E6"/>
            </w:tcBorders>
            <w:vAlign w:val="center"/>
          </w:tcPr>
          <w:p w14:paraId="700753DD" w14:textId="77777777" w:rsidR="003479B2" w:rsidRPr="00812C16" w:rsidRDefault="003479B2" w:rsidP="005B22BE">
            <w:pPr>
              <w:spacing w:before="30" w:after="30" w:line="240" w:lineRule="auto"/>
              <w:ind w:left="19"/>
              <w:jc w:val="center"/>
              <w:rPr>
                <w:rFonts w:cs="Arial"/>
                <w:color w:val="000000" w:themeColor="text1"/>
                <w:sz w:val="18"/>
                <w:szCs w:val="18"/>
                <w:lang w:eastAsia="de-DE"/>
              </w:rPr>
            </w:pPr>
            <w:r w:rsidRPr="00812C16">
              <w:rPr>
                <w:rFonts w:cs="Arial"/>
                <w:color w:val="000000" w:themeColor="text1"/>
                <w:sz w:val="18"/>
                <w:szCs w:val="18"/>
                <w:lang w:eastAsia="de-DE"/>
              </w:rPr>
              <w:t>1,78 (0,91-3,50)</w:t>
            </w:r>
          </w:p>
        </w:tc>
        <w:tc>
          <w:tcPr>
            <w:tcW w:w="705" w:type="dxa"/>
            <w:tcBorders>
              <w:top w:val="single" w:sz="4" w:space="0" w:color="000000" w:themeColor="text1"/>
              <w:bottom w:val="single" w:sz="4" w:space="0" w:color="D0CECE" w:themeColor="background2" w:themeShade="E6"/>
            </w:tcBorders>
            <w:vAlign w:val="center"/>
          </w:tcPr>
          <w:p w14:paraId="64292BA3" w14:textId="77777777" w:rsidR="003479B2" w:rsidRPr="00812C16" w:rsidRDefault="003479B2" w:rsidP="006678A2">
            <w:pPr>
              <w:spacing w:before="30" w:after="30" w:line="240" w:lineRule="auto"/>
              <w:ind w:left="3"/>
              <w:jc w:val="center"/>
              <w:rPr>
                <w:rFonts w:cs="Arial"/>
                <w:color w:val="000000" w:themeColor="text1"/>
                <w:sz w:val="18"/>
                <w:szCs w:val="18"/>
                <w:lang w:eastAsia="de-DE"/>
              </w:rPr>
            </w:pPr>
            <w:r w:rsidRPr="00812C16">
              <w:rPr>
                <w:rFonts w:cs="Arial"/>
                <w:color w:val="000000" w:themeColor="text1"/>
                <w:sz w:val="18"/>
                <w:szCs w:val="18"/>
                <w:lang w:eastAsia="de-DE"/>
              </w:rPr>
              <w:t>0,089</w:t>
            </w:r>
          </w:p>
        </w:tc>
      </w:tr>
      <w:tr w:rsidR="005B22BE" w:rsidRPr="00812C16" w14:paraId="6429B64A" w14:textId="77777777" w:rsidTr="005B22BE">
        <w:trPr>
          <w:cantSplit/>
          <w:trHeight w:val="37"/>
        </w:trPr>
        <w:tc>
          <w:tcPr>
            <w:tcW w:w="1560" w:type="dxa"/>
            <w:gridSpan w:val="2"/>
            <w:tcBorders>
              <w:top w:val="single" w:sz="4" w:space="0" w:color="D0CECE" w:themeColor="background2" w:themeShade="E6"/>
              <w:bottom w:val="single" w:sz="4" w:space="0" w:color="000000" w:themeColor="text1"/>
            </w:tcBorders>
            <w:tcMar>
              <w:top w:w="75" w:type="dxa"/>
              <w:left w:w="75" w:type="dxa"/>
              <w:bottom w:w="75" w:type="dxa"/>
              <w:right w:w="75" w:type="dxa"/>
            </w:tcMar>
          </w:tcPr>
          <w:p w14:paraId="1EED707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 xml:space="preserve">HPV16 </w:t>
            </w:r>
            <w:r w:rsidR="005B22BE" w:rsidRPr="00812C16">
              <w:rPr>
                <w:rFonts w:cs="Arial"/>
                <w:color w:val="000000" w:themeColor="text1"/>
                <w:sz w:val="18"/>
                <w:szCs w:val="18"/>
                <w:lang w:eastAsia="de-DE"/>
              </w:rPr>
              <w:t>DNA neg</w:t>
            </w:r>
          </w:p>
        </w:tc>
        <w:tc>
          <w:tcPr>
            <w:tcW w:w="1701"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1600FCDF"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5,21 (0,69-39,45)</w:t>
            </w:r>
          </w:p>
        </w:tc>
        <w:tc>
          <w:tcPr>
            <w:tcW w:w="852"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3EF1B6DA"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0,053</w:t>
            </w:r>
          </w:p>
        </w:tc>
        <w:tc>
          <w:tcPr>
            <w:tcW w:w="170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5A0099BE"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1,49 (0,56-3,99)</w:t>
            </w:r>
          </w:p>
        </w:tc>
        <w:tc>
          <w:tcPr>
            <w:tcW w:w="85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6416F1FA"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0,421</w:t>
            </w:r>
          </w:p>
        </w:tc>
        <w:tc>
          <w:tcPr>
            <w:tcW w:w="1704" w:type="dxa"/>
            <w:tcBorders>
              <w:top w:val="single" w:sz="4" w:space="0" w:color="D0CECE" w:themeColor="background2" w:themeShade="E6"/>
              <w:bottom w:val="single" w:sz="4" w:space="0" w:color="000000" w:themeColor="text1"/>
            </w:tcBorders>
            <w:vAlign w:val="center"/>
          </w:tcPr>
          <w:p w14:paraId="5F4DE97F" w14:textId="77777777" w:rsidR="003479B2" w:rsidRPr="00812C16" w:rsidRDefault="003479B2" w:rsidP="005B22BE">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1,16 (0,57-2,34)</w:t>
            </w:r>
          </w:p>
        </w:tc>
        <w:tc>
          <w:tcPr>
            <w:tcW w:w="705" w:type="dxa"/>
            <w:tcBorders>
              <w:top w:val="single" w:sz="4" w:space="0" w:color="D0CECE" w:themeColor="background2" w:themeShade="E6"/>
              <w:bottom w:val="single" w:sz="4" w:space="0" w:color="000000" w:themeColor="text1"/>
            </w:tcBorders>
            <w:vAlign w:val="center"/>
          </w:tcPr>
          <w:p w14:paraId="4B0399A2" w14:textId="77777777" w:rsidR="003479B2" w:rsidRPr="00812C16" w:rsidRDefault="003479B2" w:rsidP="006678A2">
            <w:pPr>
              <w:spacing w:before="30" w:after="30" w:line="240" w:lineRule="auto"/>
              <w:ind w:left="10"/>
              <w:jc w:val="center"/>
              <w:rPr>
                <w:rFonts w:cs="Arial"/>
                <w:color w:val="000000" w:themeColor="text1"/>
                <w:sz w:val="18"/>
                <w:szCs w:val="18"/>
                <w:lang w:eastAsia="de-DE"/>
              </w:rPr>
            </w:pPr>
            <w:r w:rsidRPr="00812C16">
              <w:rPr>
                <w:rFonts w:cs="Arial"/>
                <w:color w:val="000000" w:themeColor="text1"/>
                <w:sz w:val="18"/>
                <w:szCs w:val="18"/>
                <w:lang w:eastAsia="de-DE"/>
              </w:rPr>
              <w:t>0,680</w:t>
            </w:r>
          </w:p>
        </w:tc>
      </w:tr>
    </w:tbl>
    <w:tbl>
      <w:tblPr>
        <w:tblStyle w:val="Tabellenraster"/>
        <w:tblpPr w:leftFromText="141" w:rightFromText="141" w:vertAnchor="text" w:horzAnchor="margin" w:tblpY="-357"/>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826"/>
      </w:tblGrid>
      <w:tr w:rsidR="003479B2" w:rsidRPr="00812C16" w14:paraId="083591AF" w14:textId="77777777" w:rsidTr="003479B2">
        <w:tc>
          <w:tcPr>
            <w:tcW w:w="4530" w:type="dxa"/>
          </w:tcPr>
          <w:p w14:paraId="2F4317F0" w14:textId="77777777" w:rsidR="003479B2" w:rsidRPr="00812C16" w:rsidRDefault="003479B2" w:rsidP="003479B2">
            <w:pPr>
              <w:tabs>
                <w:tab w:val="left" w:pos="4820"/>
              </w:tabs>
              <w:ind w:right="-2"/>
              <w:jc w:val="center"/>
              <w:rPr>
                <w:rFonts w:cs="Arial"/>
                <w:b/>
                <w:bCs/>
                <w:sz w:val="20"/>
                <w:szCs w:val="20"/>
                <w:lang w:eastAsia="de-DE"/>
              </w:rPr>
            </w:pPr>
            <w:r w:rsidRPr="00812C16">
              <w:rPr>
                <w:rFonts w:cs="Arial"/>
                <w:b/>
                <w:bCs/>
                <w:sz w:val="20"/>
                <w:szCs w:val="20"/>
                <w:lang w:eastAsia="de-DE"/>
              </w:rPr>
              <w:t>Alle Patienten</w:t>
            </w:r>
          </w:p>
        </w:tc>
        <w:tc>
          <w:tcPr>
            <w:tcW w:w="4826" w:type="dxa"/>
          </w:tcPr>
          <w:p w14:paraId="3BFA30F9" w14:textId="77777777" w:rsidR="00402210" w:rsidRPr="00812C16" w:rsidRDefault="003479B2" w:rsidP="00402210">
            <w:pPr>
              <w:tabs>
                <w:tab w:val="left" w:pos="4820"/>
              </w:tabs>
              <w:ind w:right="-2"/>
              <w:jc w:val="center"/>
              <w:rPr>
                <w:rFonts w:cs="Arial"/>
                <w:b/>
                <w:bCs/>
                <w:sz w:val="20"/>
                <w:szCs w:val="20"/>
                <w:lang w:eastAsia="de-DE"/>
              </w:rPr>
            </w:pPr>
            <w:r w:rsidRPr="00812C16">
              <w:rPr>
                <w:rFonts w:cs="Arial"/>
                <w:b/>
                <w:bCs/>
                <w:sz w:val="20"/>
                <w:szCs w:val="20"/>
                <w:lang w:eastAsia="de-DE"/>
              </w:rPr>
              <w:t xml:space="preserve">        Patienten mit HPV16 DNA-negativen                           </w:t>
            </w:r>
            <w:r w:rsidRPr="00812C16">
              <w:rPr>
                <w:rFonts w:cs="Arial"/>
                <w:b/>
                <w:bCs/>
                <w:color w:val="FFFFFF" w:themeColor="background1"/>
                <w:sz w:val="20"/>
                <w:szCs w:val="20"/>
                <w:lang w:eastAsia="de-DE"/>
              </w:rPr>
              <w:t>jjjjjjjjj</w:t>
            </w:r>
            <w:r w:rsidRPr="00812C16">
              <w:rPr>
                <w:rFonts w:cs="Arial"/>
                <w:b/>
                <w:bCs/>
                <w:sz w:val="20"/>
                <w:szCs w:val="20"/>
                <w:lang w:eastAsia="de-DE"/>
              </w:rPr>
              <w:t>Tumoren</w:t>
            </w:r>
          </w:p>
        </w:tc>
      </w:tr>
      <w:tr w:rsidR="003479B2" w:rsidRPr="00812C16" w14:paraId="212097C5" w14:textId="77777777" w:rsidTr="003479B2">
        <w:tc>
          <w:tcPr>
            <w:tcW w:w="4530" w:type="dxa"/>
          </w:tcPr>
          <w:p w14:paraId="0A229628" w14:textId="77777777" w:rsidR="003479B2" w:rsidRPr="00812C16" w:rsidRDefault="003479B2" w:rsidP="003479B2">
            <w:pPr>
              <w:tabs>
                <w:tab w:val="left" w:pos="4820"/>
              </w:tabs>
              <w:ind w:right="-2"/>
              <w:jc w:val="center"/>
              <w:rPr>
                <w:rFonts w:cs="Arial"/>
                <w:b/>
                <w:bCs/>
                <w:sz w:val="20"/>
                <w:szCs w:val="20"/>
                <w:lang w:eastAsia="de-DE"/>
              </w:rPr>
            </w:pPr>
          </w:p>
        </w:tc>
        <w:tc>
          <w:tcPr>
            <w:tcW w:w="4826" w:type="dxa"/>
          </w:tcPr>
          <w:p w14:paraId="6BE73D1E" w14:textId="77777777" w:rsidR="003479B2" w:rsidRPr="00812C16" w:rsidRDefault="003479B2" w:rsidP="003479B2">
            <w:pPr>
              <w:tabs>
                <w:tab w:val="left" w:pos="4820"/>
              </w:tabs>
              <w:ind w:right="-2"/>
              <w:jc w:val="center"/>
              <w:rPr>
                <w:rFonts w:cs="Arial"/>
                <w:b/>
                <w:bCs/>
                <w:sz w:val="20"/>
                <w:szCs w:val="20"/>
                <w:lang w:eastAsia="de-DE"/>
              </w:rPr>
            </w:pPr>
          </w:p>
        </w:tc>
      </w:tr>
    </w:tbl>
    <w:p w14:paraId="7A6B1B62"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5648" behindDoc="1" locked="0" layoutInCell="1" allowOverlap="1" wp14:anchorId="23393308" wp14:editId="64678030">
            <wp:simplePos x="0" y="0"/>
            <wp:positionH relativeFrom="column">
              <wp:posOffset>3128645</wp:posOffset>
            </wp:positionH>
            <wp:positionV relativeFrom="page">
              <wp:posOffset>1276985</wp:posOffset>
            </wp:positionV>
            <wp:extent cx="2795905" cy="2188845"/>
            <wp:effectExtent l="0" t="0" r="0" b="0"/>
            <wp:wrapNone/>
            <wp:docPr id="2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27">
                      <a:extLst>
                        <a:ext uri="{28A0092B-C50C-407E-A947-70E740481C1C}">
                          <a14:useLocalDpi xmlns:a14="http://schemas.microsoft.com/office/drawing/2010/main" val="0"/>
                        </a:ext>
                      </a:extLst>
                    </a:blip>
                    <a:srcRect l="1245" t="2" r="35625" b="20586"/>
                    <a:stretch>
                      <a:fillRect/>
                    </a:stretch>
                  </pic:blipFill>
                  <pic:spPr bwMode="auto">
                    <a:xfrm>
                      <a:off x="0" y="0"/>
                      <a:ext cx="2795905"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1552" behindDoc="1" locked="0" layoutInCell="1" allowOverlap="1" wp14:anchorId="71ADA550" wp14:editId="2DABD790">
            <wp:simplePos x="0" y="0"/>
            <wp:positionH relativeFrom="column">
              <wp:posOffset>79375</wp:posOffset>
            </wp:positionH>
            <wp:positionV relativeFrom="page">
              <wp:posOffset>1361440</wp:posOffset>
            </wp:positionV>
            <wp:extent cx="2917190" cy="2195830"/>
            <wp:effectExtent l="0" t="0" r="0" b="0"/>
            <wp:wrapNone/>
            <wp:docPr id="19"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28">
                      <a:extLst>
                        <a:ext uri="{28A0092B-C50C-407E-A947-70E740481C1C}">
                          <a14:useLocalDpi xmlns:a14="http://schemas.microsoft.com/office/drawing/2010/main" val="0"/>
                        </a:ext>
                      </a:extLst>
                    </a:blip>
                    <a:srcRect l="1332" t="-34" r="29932" b="20761"/>
                    <a:stretch>
                      <a:fillRect/>
                    </a:stretch>
                  </pic:blipFill>
                  <pic:spPr bwMode="auto">
                    <a:xfrm>
                      <a:off x="0" y="0"/>
                      <a:ext cx="2917190" cy="219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66EFE" w14:textId="77777777" w:rsidR="003479B2" w:rsidRPr="00812C16" w:rsidRDefault="003479B2" w:rsidP="00FF3474">
      <w:pPr>
        <w:spacing w:before="360" w:after="360"/>
        <w:rPr>
          <w:rFonts w:cs="Arial"/>
        </w:rPr>
      </w:pPr>
    </w:p>
    <w:p w14:paraId="63DCF1CB" w14:textId="77777777" w:rsidR="003479B2" w:rsidRPr="00812C16" w:rsidRDefault="003479B2" w:rsidP="00FF3474">
      <w:pPr>
        <w:spacing w:before="360" w:after="360"/>
        <w:rPr>
          <w:rFonts w:cs="Arial"/>
        </w:rPr>
      </w:pPr>
    </w:p>
    <w:p w14:paraId="2E34EBC3" w14:textId="77777777" w:rsidR="003479B2" w:rsidRPr="00812C16" w:rsidRDefault="003479B2" w:rsidP="00FF3474">
      <w:pPr>
        <w:spacing w:before="360" w:after="360"/>
        <w:rPr>
          <w:rFonts w:cs="Arial"/>
        </w:rPr>
      </w:pPr>
    </w:p>
    <w:p w14:paraId="3F456AB6"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6672" behindDoc="1" locked="0" layoutInCell="1" allowOverlap="1" wp14:anchorId="34797F90" wp14:editId="341F7F65">
            <wp:simplePos x="0" y="0"/>
            <wp:positionH relativeFrom="column">
              <wp:posOffset>3128645</wp:posOffset>
            </wp:positionH>
            <wp:positionV relativeFrom="page">
              <wp:posOffset>3863975</wp:posOffset>
            </wp:positionV>
            <wp:extent cx="2795905" cy="2208530"/>
            <wp:effectExtent l="0" t="0" r="0" b="0"/>
            <wp:wrapNone/>
            <wp:docPr id="18"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29">
                      <a:extLst>
                        <a:ext uri="{28A0092B-C50C-407E-A947-70E740481C1C}">
                          <a14:useLocalDpi xmlns:a14="http://schemas.microsoft.com/office/drawing/2010/main" val="0"/>
                        </a:ext>
                      </a:extLst>
                    </a:blip>
                    <a:srcRect l="2007" t="-2" r="30116" b="21004"/>
                    <a:stretch>
                      <a:fillRect/>
                    </a:stretch>
                  </pic:blipFill>
                  <pic:spPr bwMode="auto">
                    <a:xfrm>
                      <a:off x="0" y="0"/>
                      <a:ext cx="2795905"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3600" behindDoc="1" locked="0" layoutInCell="1" allowOverlap="1" wp14:anchorId="3767157E" wp14:editId="08B04769">
            <wp:simplePos x="0" y="0"/>
            <wp:positionH relativeFrom="column">
              <wp:posOffset>77470</wp:posOffset>
            </wp:positionH>
            <wp:positionV relativeFrom="page">
              <wp:posOffset>3856355</wp:posOffset>
            </wp:positionV>
            <wp:extent cx="3023870" cy="2338070"/>
            <wp:effectExtent l="0" t="0" r="0" b="0"/>
            <wp:wrapNone/>
            <wp:docPr id="17"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30">
                      <a:extLst>
                        <a:ext uri="{28A0092B-C50C-407E-A947-70E740481C1C}">
                          <a14:useLocalDpi xmlns:a14="http://schemas.microsoft.com/office/drawing/2010/main" val="0"/>
                        </a:ext>
                      </a:extLst>
                    </a:blip>
                    <a:srcRect l="-1756" t="-2850" r="30443" b="18355"/>
                    <a:stretch>
                      <a:fillRect/>
                    </a:stretch>
                  </pic:blipFill>
                  <pic:spPr bwMode="auto">
                    <a:xfrm>
                      <a:off x="0" y="0"/>
                      <a:ext cx="302387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B9DE8" w14:textId="77777777" w:rsidR="003479B2" w:rsidRPr="00812C16" w:rsidRDefault="003479B2" w:rsidP="00FF3474">
      <w:pPr>
        <w:spacing w:before="360" w:after="360"/>
        <w:rPr>
          <w:rFonts w:cs="Arial"/>
        </w:rPr>
      </w:pPr>
    </w:p>
    <w:p w14:paraId="6F85CCA8" w14:textId="77777777" w:rsidR="003479B2" w:rsidRPr="00812C16" w:rsidRDefault="003479B2" w:rsidP="00FF3474">
      <w:pPr>
        <w:spacing w:before="360" w:after="360"/>
        <w:rPr>
          <w:rFonts w:cs="Arial"/>
        </w:rPr>
      </w:pPr>
    </w:p>
    <w:p w14:paraId="7B094123" w14:textId="77777777" w:rsidR="003479B2" w:rsidRPr="00812C16" w:rsidRDefault="003479B2" w:rsidP="00FF3474">
      <w:pPr>
        <w:spacing w:before="360" w:after="360"/>
        <w:rPr>
          <w:rFonts w:cs="Arial"/>
        </w:rPr>
      </w:pPr>
    </w:p>
    <w:p w14:paraId="2D14E283" w14:textId="77777777" w:rsidR="003479B2" w:rsidRPr="00812C16" w:rsidRDefault="003479B2" w:rsidP="00FF3474">
      <w:pPr>
        <w:spacing w:before="360" w:after="360"/>
        <w:rPr>
          <w:rFonts w:cs="Arial"/>
        </w:rPr>
      </w:pPr>
    </w:p>
    <w:p w14:paraId="15428CBD" w14:textId="77777777" w:rsidR="00066AE4" w:rsidRPr="00812C16" w:rsidRDefault="00066AE4" w:rsidP="00066AE4">
      <w:pPr>
        <w:tabs>
          <w:tab w:val="left" w:pos="4820"/>
          <w:tab w:val="left" w:pos="5103"/>
        </w:tabs>
        <w:ind w:right="-2"/>
        <w:rPr>
          <w:rFonts w:cs="Arial"/>
          <w:lang w:eastAsia="de-DE"/>
        </w:rPr>
      </w:pPr>
    </w:p>
    <w:p w14:paraId="351DFDA3" w14:textId="7798C50A" w:rsidR="000E413B" w:rsidRPr="00812C16" w:rsidRDefault="000E413B" w:rsidP="000E413B">
      <w:pPr>
        <w:pStyle w:val="Beschriftung"/>
        <w:spacing w:before="120" w:after="360" w:line="240" w:lineRule="auto"/>
        <w:rPr>
          <w:rFonts w:cs="Arial"/>
          <w:b/>
          <w:bCs/>
          <w:i w:val="0"/>
          <w:iCs w:val="0"/>
          <w:color w:val="000000" w:themeColor="text1"/>
          <w:sz w:val="20"/>
          <w:szCs w:val="20"/>
          <w:lang w:eastAsia="de-DE"/>
        </w:rPr>
      </w:pPr>
      <w:bookmarkStart w:id="81" w:name="_Ref91092650"/>
      <w:bookmarkStart w:id="82" w:name="_Ref91624246"/>
      <w:bookmarkStart w:id="83" w:name="_Toc18078838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6</w:t>
      </w:r>
      <w:r w:rsidR="00BF08D6" w:rsidRPr="00812C16">
        <w:rPr>
          <w:b/>
          <w:bCs/>
          <w:i w:val="0"/>
          <w:iCs w:val="0"/>
          <w:color w:val="000000" w:themeColor="text1"/>
          <w:sz w:val="20"/>
          <w:szCs w:val="20"/>
        </w:rPr>
        <w:fldChar w:fldCharType="end"/>
      </w:r>
      <w:bookmarkEnd w:id="81"/>
      <w:bookmarkEnd w:id="82"/>
      <w:r w:rsidRPr="00812C16">
        <w:rPr>
          <w:b/>
          <w:bCs/>
          <w:i w:val="0"/>
          <w:iCs w:val="0"/>
          <w:color w:val="000000" w:themeColor="text1"/>
          <w:sz w:val="20"/>
          <w:szCs w:val="20"/>
        </w:rPr>
        <w:t>: Kaplan-Meier Schätzungen der sekundären Endpunkte von CD44-Protein (bewertet durch IHC) allen Patienten oder (C, E, G, I) Patienten mit HPV16 DNA-negativem HNSCC.</w:t>
      </w:r>
      <w:r w:rsidRPr="00812C16">
        <w:rPr>
          <w:i w:val="0"/>
          <w:iCs w:val="0"/>
          <w:color w:val="000000" w:themeColor="text1"/>
          <w:sz w:val="20"/>
          <w:szCs w:val="20"/>
        </w:rPr>
        <w:t xml:space="preserve"> Patienten mit geringer oder keiner CSC-Markerexpression zeigten eine bessere loko</w:t>
      </w:r>
      <w:r w:rsidR="00922319" w:rsidRPr="00812C16">
        <w:rPr>
          <w:i w:val="0"/>
          <w:iCs w:val="0"/>
          <w:color w:val="000000" w:themeColor="text1"/>
          <w:sz w:val="20"/>
          <w:szCs w:val="20"/>
        </w:rPr>
        <w:t>-</w:t>
      </w:r>
      <w:r w:rsidRPr="00812C16">
        <w:rPr>
          <w:i w:val="0"/>
          <w:iCs w:val="0"/>
          <w:color w:val="000000" w:themeColor="text1"/>
          <w:sz w:val="20"/>
          <w:szCs w:val="20"/>
        </w:rPr>
        <w:t>regionale Tumorkontrolle im Vergleich zu Patienten mit stärkerer CSC-Markerexpression.</w:t>
      </w:r>
      <w:bookmarkEnd w:id="83"/>
    </w:p>
    <w:p w14:paraId="5A981AEC" w14:textId="77777777" w:rsidR="0037468D" w:rsidRPr="00812C16" w:rsidRDefault="00B71E93" w:rsidP="00402210">
      <w:pPr>
        <w:spacing w:after="0"/>
        <w:jc w:val="center"/>
        <w:rPr>
          <w:rFonts w:cs="Arial"/>
        </w:rPr>
      </w:pPr>
      <w:r w:rsidRPr="00812C16">
        <w:rPr>
          <w:rFonts w:cs="Arial"/>
          <w:b/>
          <w:noProof/>
        </w:rPr>
        <w:lastRenderedPageBreak/>
        <w:drawing>
          <wp:inline distT="0" distB="0" distL="0" distR="0" wp14:anchorId="6DB0494E" wp14:editId="1EF91E17">
            <wp:extent cx="5078730" cy="2434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730" cy="2434590"/>
                    </a:xfrm>
                    <a:prstGeom prst="rect">
                      <a:avLst/>
                    </a:prstGeom>
                    <a:noFill/>
                    <a:ln>
                      <a:noFill/>
                    </a:ln>
                  </pic:spPr>
                </pic:pic>
              </a:graphicData>
            </a:graphic>
          </wp:inline>
        </w:drawing>
      </w:r>
    </w:p>
    <w:p w14:paraId="184DBF3B" w14:textId="77777777" w:rsidR="00767E11" w:rsidRPr="00812C16" w:rsidRDefault="00767E11">
      <w:pPr>
        <w:spacing w:after="0"/>
        <w:jc w:val="left"/>
        <w:rPr>
          <w:rFonts w:cs="Arial"/>
        </w:rPr>
      </w:pPr>
      <w:r w:rsidRPr="00812C16">
        <w:rPr>
          <w:rFonts w:cs="Arial"/>
        </w:rPr>
        <w:br w:type="page"/>
      </w:r>
    </w:p>
    <w:p w14:paraId="79ADF8B2" w14:textId="77777777" w:rsidR="00330A47" w:rsidRPr="00812C16" w:rsidRDefault="000E413B" w:rsidP="000E1E65">
      <w:pPr>
        <w:shd w:val="clear" w:color="auto" w:fill="FFFF00"/>
        <w:rPr>
          <w:rFonts w:cs="Arial"/>
          <w:lang w:eastAsia="de-DE"/>
        </w:rPr>
      </w:pPr>
      <w:r w:rsidRPr="00812C16">
        <w:rPr>
          <w:rFonts w:cs="Arial"/>
          <w:lang w:eastAsia="de-DE"/>
        </w:rPr>
        <w:lastRenderedPageBreak/>
        <w:t xml:space="preserve">In univariate Analysen wurden das Patientenkollektiv stratifiziert  in CD44 positive und negative und die Überlebensdaten der beider Gruppen mit Hilfe des Kaplane-Meier Verfahrens untersucht. Die geschätzten Überlebenszeiten beide Gruppen wurden m.H. des Log-rank Test miteinander verglichen.  Die Untersuchung ergab eine ein signifikant besseres klinisches outcome einen hochsignifikanten Überlebensvorteil für Patienten mit p16INK4A- positiven Karzinomen (p &lt; 0,001) (Abb.16A) </w:t>
      </w:r>
    </w:p>
    <w:p w14:paraId="222AC2B2" w14:textId="77777777" w:rsidR="00330A47" w:rsidRPr="00812C16" w:rsidRDefault="00330A47" w:rsidP="00481C8C">
      <w:pPr>
        <w:spacing w:before="360" w:after="360"/>
        <w:contextualSpacing/>
        <w:rPr>
          <w:rFonts w:cs="Arial"/>
        </w:rPr>
      </w:pPr>
    </w:p>
    <w:p w14:paraId="5D7BEE38" w14:textId="77777777" w:rsidR="00330A47" w:rsidRPr="00812C16" w:rsidRDefault="00330A47" w:rsidP="00481C8C">
      <w:pPr>
        <w:spacing w:before="360" w:after="360"/>
        <w:contextualSpacing/>
        <w:rPr>
          <w:rFonts w:cs="Arial"/>
        </w:rPr>
      </w:pPr>
    </w:p>
    <w:p w14:paraId="766EC616" w14:textId="77777777" w:rsidR="00330A47" w:rsidRPr="00812C16" w:rsidRDefault="00330A47" w:rsidP="00481C8C">
      <w:pPr>
        <w:spacing w:before="360" w:after="360"/>
        <w:contextualSpacing/>
        <w:rPr>
          <w:rFonts w:cs="Arial"/>
        </w:rPr>
      </w:pPr>
    </w:p>
    <w:p w14:paraId="12B241D7" w14:textId="77777777" w:rsidR="00330A47" w:rsidRPr="00812C16" w:rsidRDefault="00330A47" w:rsidP="00481C8C">
      <w:pPr>
        <w:spacing w:before="360" w:after="360"/>
        <w:contextualSpacing/>
        <w:rPr>
          <w:rFonts w:cs="Arial"/>
        </w:rPr>
      </w:pPr>
    </w:p>
    <w:p w14:paraId="5B9494B8" w14:textId="77777777" w:rsidR="00481C8C" w:rsidRPr="00812C16" w:rsidRDefault="00481C8C">
      <w:pPr>
        <w:spacing w:after="0"/>
        <w:jc w:val="left"/>
        <w:rPr>
          <w:rFonts w:cs="Arial"/>
          <w:lang w:eastAsia="de-DE"/>
        </w:rPr>
      </w:pPr>
    </w:p>
    <w:p w14:paraId="6E1A38D9" w14:textId="77777777" w:rsidR="002D2423" w:rsidRPr="00812C16" w:rsidRDefault="00A44292" w:rsidP="000E413B">
      <w:pPr>
        <w:spacing w:after="0"/>
        <w:jc w:val="left"/>
        <w:rPr>
          <w:rFonts w:cs="Arial"/>
          <w:lang w:eastAsia="de-DE"/>
        </w:rPr>
      </w:pPr>
      <w:r w:rsidRPr="00812C16">
        <w:rPr>
          <w:rFonts w:cs="Arial"/>
          <w:lang w:eastAsia="de-DE"/>
        </w:rPr>
        <w:br w:type="page"/>
      </w:r>
    </w:p>
    <w:p w14:paraId="7F03CD25" w14:textId="77777777" w:rsidR="00D2406A" w:rsidRPr="00812C16" w:rsidRDefault="0030348F" w:rsidP="005547D3">
      <w:pPr>
        <w:pStyle w:val="berschrift3"/>
      </w:pPr>
      <w:bookmarkStart w:id="84" w:name="_Toc158006541"/>
      <w:r w:rsidRPr="00812C16">
        <w:lastRenderedPageBreak/>
        <w:t xml:space="preserve">Univariate Analysen zur </w:t>
      </w:r>
      <w:r w:rsidR="00506755" w:rsidRPr="00812C16">
        <w:t>Identifizierung</w:t>
      </w:r>
      <w:r w:rsidRPr="00812C16">
        <w:t xml:space="preserve"> weitere </w:t>
      </w:r>
      <w:r w:rsidR="00506755" w:rsidRPr="00812C16">
        <w:t>prognostische Parameter</w:t>
      </w:r>
      <w:bookmarkEnd w:id="84"/>
      <w:r w:rsidR="00506755" w:rsidRPr="00812C16">
        <w:t xml:space="preserve"> </w:t>
      </w:r>
    </w:p>
    <w:p w14:paraId="4FE20F6F" w14:textId="60B1420F" w:rsidR="000E5E8B" w:rsidRPr="00812C16" w:rsidRDefault="008B785E" w:rsidP="008B785E">
      <w:pPr>
        <w:spacing w:after="360"/>
        <w:rPr>
          <w:rFonts w:cs="Arial"/>
        </w:rPr>
      </w:pPr>
      <w:r w:rsidRPr="00812C16">
        <w:rPr>
          <w:lang w:eastAsia="de-DE"/>
        </w:rPr>
        <w:t>Zur</w:t>
      </w:r>
      <w:r w:rsidR="000E5E8B" w:rsidRPr="00812C16">
        <w:rPr>
          <w:lang w:eastAsia="de-DE"/>
        </w:rPr>
        <w:t xml:space="preserve"> </w:t>
      </w:r>
      <w:r w:rsidR="0019262D" w:rsidRPr="00812C16">
        <w:rPr>
          <w:lang w:eastAsia="de-DE"/>
        </w:rPr>
        <w:t>Identifizierung</w:t>
      </w:r>
      <w:r w:rsidR="000E5E8B" w:rsidRPr="00812C16">
        <w:rPr>
          <w:lang w:eastAsia="de-DE"/>
        </w:rPr>
        <w:t xml:space="preserve"> </w:t>
      </w:r>
      <w:r w:rsidR="00581878" w:rsidRPr="00812C16">
        <w:rPr>
          <w:lang w:eastAsia="de-DE"/>
        </w:rPr>
        <w:t>potenzielle</w:t>
      </w:r>
      <w:r w:rsidRPr="00812C16">
        <w:rPr>
          <w:lang w:eastAsia="de-DE"/>
        </w:rPr>
        <w:t xml:space="preserve"> Prognosefaktoren</w:t>
      </w:r>
      <w:r w:rsidR="000E5E8B" w:rsidRPr="00812C16">
        <w:rPr>
          <w:lang w:eastAsia="de-DE"/>
        </w:rPr>
        <w:t xml:space="preserve"> </w:t>
      </w:r>
      <w:r w:rsidRPr="00812C16">
        <w:rPr>
          <w:lang w:eastAsia="de-DE"/>
        </w:rPr>
        <w:t xml:space="preserve">für </w:t>
      </w:r>
      <w:r w:rsidR="000E5E8B" w:rsidRPr="00812C16">
        <w:rPr>
          <w:lang w:eastAsia="de-DE"/>
        </w:rPr>
        <w:t>Patienten mit lokal fortgeschritten Kopf-Hals</w:t>
      </w:r>
      <w:r w:rsidR="0019262D" w:rsidRPr="00812C16">
        <w:rPr>
          <w:lang w:eastAsia="de-DE"/>
        </w:rPr>
        <w:t xml:space="preserve">-Plattenepithelkarzinomen </w:t>
      </w:r>
      <w:r w:rsidR="000E5E8B" w:rsidRPr="00812C16">
        <w:rPr>
          <w:lang w:eastAsia="de-DE"/>
        </w:rPr>
        <w:t xml:space="preserve">nach postoperativer Radiochemotherapie wurden </w:t>
      </w:r>
      <w:r w:rsidRPr="00812C16">
        <w:rPr>
          <w:lang w:eastAsia="de-DE"/>
        </w:rPr>
        <w:t xml:space="preserve">im Rahmen </w:t>
      </w:r>
      <w:r w:rsidR="000E5E8B" w:rsidRPr="00812C16">
        <w:rPr>
          <w:lang w:eastAsia="de-DE"/>
        </w:rPr>
        <w:t>uni</w:t>
      </w:r>
      <w:r w:rsidRPr="00812C16">
        <w:rPr>
          <w:lang w:eastAsia="de-DE"/>
        </w:rPr>
        <w:t>variater</w:t>
      </w:r>
      <w:r w:rsidR="000E5E8B" w:rsidRPr="00812C16">
        <w:rPr>
          <w:lang w:eastAsia="de-DE"/>
        </w:rPr>
        <w:t xml:space="preserve"> A</w:t>
      </w:r>
      <w:r w:rsidRPr="00812C16">
        <w:rPr>
          <w:lang w:eastAsia="de-DE"/>
        </w:rPr>
        <w:t>nalysen verschiedene klinisc</w:t>
      </w:r>
      <w:r w:rsidR="000E1E65" w:rsidRPr="00812C16">
        <w:rPr>
          <w:lang w:eastAsia="de-DE"/>
        </w:rPr>
        <w:t xml:space="preserve">h-pathologische </w:t>
      </w:r>
      <w:r w:rsidRPr="00812C16">
        <w:rPr>
          <w:lang w:eastAsia="de-DE"/>
        </w:rPr>
        <w:t>Parameter</w:t>
      </w:r>
      <w:r w:rsidR="000E5E8B" w:rsidRPr="00812C16">
        <w:rPr>
          <w:lang w:eastAsia="de-DE"/>
        </w:rPr>
        <w:t xml:space="preserve"> </w:t>
      </w:r>
      <w:r w:rsidRPr="00812C16">
        <w:rPr>
          <w:lang w:eastAsia="de-DE"/>
        </w:rPr>
        <w:t xml:space="preserve">mit dem klinischen Outcome korreliert. </w:t>
      </w:r>
      <w:r w:rsidR="000E5E8B" w:rsidRPr="00812C16">
        <w:rPr>
          <w:lang w:eastAsia="de-DE"/>
        </w:rPr>
        <w:t xml:space="preserve">Die Ergebnisse sind in </w:t>
      </w:r>
      <w:r w:rsidR="006E0F59" w:rsidRPr="00812C16">
        <w:rPr>
          <w:lang w:eastAsia="de-DE"/>
        </w:rPr>
        <w:fldChar w:fldCharType="begin"/>
      </w:r>
      <w:r w:rsidR="006E0F59" w:rsidRPr="00812C16">
        <w:rPr>
          <w:lang w:eastAsia="de-DE"/>
        </w:rPr>
        <w:instrText xml:space="preserve"> REF _Ref91322692 \h  \* MERGEFORMAT </w:instrText>
      </w:r>
      <w:r w:rsidR="006E0F59" w:rsidRPr="00812C16">
        <w:rPr>
          <w:lang w:eastAsia="de-DE"/>
        </w:rPr>
      </w:r>
      <w:r w:rsidR="006E0F59" w:rsidRPr="00812C16">
        <w:rPr>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9</w:t>
      </w:r>
      <w:r w:rsidR="006E0F59" w:rsidRPr="00812C16">
        <w:rPr>
          <w:lang w:eastAsia="de-DE"/>
        </w:rPr>
        <w:fldChar w:fldCharType="end"/>
      </w:r>
      <w:r w:rsidR="000E5E8B" w:rsidRPr="00812C16">
        <w:rPr>
          <w:lang w:eastAsia="de-DE"/>
        </w:rPr>
        <w:t xml:space="preserve"> zusammengefasst. </w:t>
      </w:r>
    </w:p>
    <w:p w14:paraId="2E76ED11" w14:textId="78DAD8AF" w:rsidR="00781D2C" w:rsidRPr="00812C16" w:rsidRDefault="00894022" w:rsidP="00F65CBF">
      <w:pPr>
        <w:pStyle w:val="Beschriftung"/>
        <w:spacing w:after="120" w:line="240" w:lineRule="auto"/>
        <w:rPr>
          <w:i w:val="0"/>
          <w:iCs w:val="0"/>
          <w:color w:val="000000" w:themeColor="text1"/>
          <w:sz w:val="20"/>
          <w:szCs w:val="20"/>
          <w:lang w:eastAsia="de-DE"/>
        </w:rPr>
      </w:pPr>
      <w:bookmarkStart w:id="85" w:name="_Ref91322692"/>
      <w:bookmarkStart w:id="86" w:name="_Toc180788399"/>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9</w:t>
      </w:r>
      <w:r w:rsidR="00A126D9" w:rsidRPr="00812C16">
        <w:rPr>
          <w:b/>
          <w:bCs/>
          <w:i w:val="0"/>
          <w:iCs w:val="0"/>
          <w:color w:val="000000" w:themeColor="text1"/>
          <w:sz w:val="20"/>
          <w:szCs w:val="20"/>
        </w:rPr>
        <w:fldChar w:fldCharType="end"/>
      </w:r>
      <w:bookmarkEnd w:id="85"/>
      <w:r w:rsidRPr="00812C16">
        <w:rPr>
          <w:b/>
          <w:bCs/>
          <w:i w:val="0"/>
          <w:iCs w:val="0"/>
          <w:color w:val="000000" w:themeColor="text1"/>
          <w:sz w:val="20"/>
          <w:szCs w:val="20"/>
        </w:rPr>
        <w:t xml:space="preserve">: Univariate Analyse </w:t>
      </w:r>
      <w:r w:rsidR="00F65CBF" w:rsidRPr="00812C16">
        <w:rPr>
          <w:b/>
          <w:bCs/>
          <w:i w:val="0"/>
          <w:iCs w:val="0"/>
          <w:color w:val="000000" w:themeColor="text1"/>
          <w:sz w:val="20"/>
          <w:szCs w:val="20"/>
        </w:rPr>
        <w:t>potenzieller</w:t>
      </w:r>
      <w:r w:rsidRPr="00812C16">
        <w:rPr>
          <w:b/>
          <w:bCs/>
          <w:i w:val="0"/>
          <w:iCs w:val="0"/>
          <w:color w:val="000000" w:themeColor="text1"/>
          <w:sz w:val="20"/>
          <w:szCs w:val="20"/>
        </w:rPr>
        <w:t xml:space="preserve"> prognostische Parameter für die loko-regionäre Tumorkontrolle, Fernmetastasen-freies Überleben und Gesamtüberleben</w:t>
      </w:r>
      <w:r w:rsidR="00F65CBF" w:rsidRPr="00812C16">
        <w:rPr>
          <w:b/>
          <w:bCs/>
          <w:i w:val="0"/>
          <w:iCs w:val="0"/>
          <w:color w:val="000000" w:themeColor="text1"/>
          <w:sz w:val="20"/>
          <w:szCs w:val="20"/>
        </w:rPr>
        <w:t xml:space="preserve">. </w:t>
      </w:r>
      <w:r w:rsidR="00F65CBF" w:rsidRPr="00812C16">
        <w:rPr>
          <w:i w:val="0"/>
          <w:iCs w:val="0"/>
          <w:color w:val="000000" w:themeColor="text1"/>
          <w:sz w:val="20"/>
          <w:szCs w:val="20"/>
        </w:rPr>
        <w:t xml:space="preserve">HR = </w:t>
      </w:r>
      <w:r w:rsidR="00704ECF" w:rsidRPr="00812C16">
        <w:rPr>
          <w:i w:val="0"/>
          <w:iCs w:val="0"/>
          <w:color w:val="000000" w:themeColor="text1"/>
          <w:sz w:val="20"/>
          <w:szCs w:val="20"/>
        </w:rPr>
        <w:t>H</w:t>
      </w:r>
      <w:r w:rsidR="00F65CBF" w:rsidRPr="00812C16">
        <w:rPr>
          <w:i w:val="0"/>
          <w:iCs w:val="0"/>
          <w:color w:val="000000" w:themeColor="text1"/>
          <w:sz w:val="20"/>
          <w:szCs w:val="20"/>
        </w:rPr>
        <w:t xml:space="preserve">azard </w:t>
      </w:r>
      <w:r w:rsidR="00704ECF" w:rsidRPr="00812C16">
        <w:rPr>
          <w:i w:val="0"/>
          <w:iCs w:val="0"/>
          <w:color w:val="000000" w:themeColor="text1"/>
          <w:sz w:val="20"/>
          <w:szCs w:val="20"/>
        </w:rPr>
        <w:t>R</w:t>
      </w:r>
      <w:r w:rsidR="00F65CBF" w:rsidRPr="00812C16">
        <w:rPr>
          <w:i w:val="0"/>
          <w:iCs w:val="0"/>
          <w:color w:val="000000" w:themeColor="text1"/>
          <w:sz w:val="20"/>
          <w:szCs w:val="20"/>
        </w:rPr>
        <w:t>atio; 95% KI = 95% Konfidenzintervall</w:t>
      </w:r>
      <w:bookmarkEnd w:id="86"/>
      <w:r w:rsidR="00F65CBF" w:rsidRPr="00812C16">
        <w:rPr>
          <w:i w:val="0"/>
          <w:iCs w:val="0"/>
          <w:color w:val="000000" w:themeColor="text1"/>
          <w:sz w:val="20"/>
          <w:szCs w:val="20"/>
        </w:rPr>
        <w:t xml:space="preserve">  </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0"/>
      </w:tblGrid>
      <w:tr w:rsidR="00F3332F" w:rsidRPr="00812C16" w14:paraId="0676E583" w14:textId="77777777" w:rsidTr="00F3332F">
        <w:tc>
          <w:tcPr>
            <w:tcW w:w="1696" w:type="dxa"/>
            <w:tcBorders>
              <w:top w:val="single" w:sz="4" w:space="0" w:color="000000" w:themeColor="text1"/>
            </w:tcBorders>
          </w:tcPr>
          <w:p w14:paraId="2371738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526AC1E9"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649DF1B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1" w:type="dxa"/>
            <w:gridSpan w:val="2"/>
            <w:tcBorders>
              <w:top w:val="single" w:sz="4" w:space="0" w:color="000000" w:themeColor="text1"/>
            </w:tcBorders>
          </w:tcPr>
          <w:p w14:paraId="1A4FE7A8"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Gesamtüberleben</w:t>
            </w:r>
          </w:p>
        </w:tc>
      </w:tr>
      <w:tr w:rsidR="00F3332F" w:rsidRPr="00812C16" w14:paraId="4534C466" w14:textId="77777777" w:rsidTr="00F3332F">
        <w:tc>
          <w:tcPr>
            <w:tcW w:w="1696" w:type="dxa"/>
            <w:tcBorders>
              <w:bottom w:val="single" w:sz="4" w:space="0" w:color="000000" w:themeColor="text1"/>
            </w:tcBorders>
          </w:tcPr>
          <w:p w14:paraId="1A4F7F06" w14:textId="77777777" w:rsidR="00F3332F" w:rsidRPr="00812C16" w:rsidRDefault="00F3332F" w:rsidP="00F3332F">
            <w:pPr>
              <w:spacing w:beforeLines="30" w:before="72" w:afterLines="30" w:after="72"/>
              <w:rPr>
                <w:rFonts w:cs="Arial"/>
                <w:sz w:val="18"/>
                <w:szCs w:val="18"/>
              </w:rPr>
            </w:pPr>
          </w:p>
        </w:tc>
        <w:tc>
          <w:tcPr>
            <w:tcW w:w="1560" w:type="dxa"/>
            <w:tcBorders>
              <w:bottom w:val="single" w:sz="4" w:space="0" w:color="000000" w:themeColor="text1"/>
            </w:tcBorders>
          </w:tcPr>
          <w:p w14:paraId="76C8D80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12137B8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1075AEF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DC564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68B7676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5F07B19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r>
      <w:tr w:rsidR="00F3332F" w:rsidRPr="00812C16" w14:paraId="47A50C44" w14:textId="77777777" w:rsidTr="00F3332F">
        <w:tc>
          <w:tcPr>
            <w:tcW w:w="1696" w:type="dxa"/>
            <w:tcBorders>
              <w:top w:val="single" w:sz="4" w:space="0" w:color="000000" w:themeColor="text1"/>
            </w:tcBorders>
          </w:tcPr>
          <w:p w14:paraId="145F4F07"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Tumorlokalisation</w:t>
            </w:r>
          </w:p>
        </w:tc>
        <w:tc>
          <w:tcPr>
            <w:tcW w:w="1560" w:type="dxa"/>
            <w:tcBorders>
              <w:top w:val="single" w:sz="4" w:space="0" w:color="000000" w:themeColor="text1"/>
            </w:tcBorders>
          </w:tcPr>
          <w:p w14:paraId="27678E72"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AD06928"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000000" w:themeColor="text1"/>
            </w:tcBorders>
          </w:tcPr>
          <w:p w14:paraId="385EF0C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000000" w:themeColor="text1"/>
            </w:tcBorders>
          </w:tcPr>
          <w:p w14:paraId="2D480CE9" w14:textId="77777777" w:rsidR="00F3332F" w:rsidRPr="00812C16" w:rsidRDefault="00F3332F" w:rsidP="00F3332F">
            <w:pPr>
              <w:spacing w:beforeLines="30" w:before="72" w:afterLines="30" w:after="72"/>
              <w:jc w:val="center"/>
              <w:rPr>
                <w:rFonts w:cs="Arial"/>
                <w:b/>
                <w:bCs/>
                <w:sz w:val="18"/>
                <w:szCs w:val="18"/>
              </w:rPr>
            </w:pPr>
          </w:p>
        </w:tc>
        <w:tc>
          <w:tcPr>
            <w:tcW w:w="1701" w:type="dxa"/>
            <w:tcBorders>
              <w:top w:val="single" w:sz="4" w:space="0" w:color="000000" w:themeColor="text1"/>
            </w:tcBorders>
          </w:tcPr>
          <w:p w14:paraId="402421D5"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532C464" w14:textId="77777777" w:rsidR="00F3332F" w:rsidRPr="00812C16" w:rsidRDefault="00F3332F" w:rsidP="00F3332F">
            <w:pPr>
              <w:spacing w:beforeLines="30" w:before="72" w:afterLines="30" w:after="72"/>
              <w:jc w:val="center"/>
              <w:rPr>
                <w:rFonts w:cs="Arial"/>
                <w:sz w:val="18"/>
                <w:szCs w:val="18"/>
              </w:rPr>
            </w:pPr>
          </w:p>
        </w:tc>
      </w:tr>
      <w:tr w:rsidR="00F3332F" w:rsidRPr="00812C16" w14:paraId="28D2E403" w14:textId="77777777" w:rsidTr="00F3332F">
        <w:tc>
          <w:tcPr>
            <w:tcW w:w="1696" w:type="dxa"/>
          </w:tcPr>
          <w:p w14:paraId="21D461AD"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Mundhöhle*</w:t>
            </w:r>
          </w:p>
        </w:tc>
        <w:tc>
          <w:tcPr>
            <w:tcW w:w="1560" w:type="dxa"/>
          </w:tcPr>
          <w:p w14:paraId="6BB3DC9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3,86 (1,85-8,04)</w:t>
            </w:r>
          </w:p>
        </w:tc>
        <w:tc>
          <w:tcPr>
            <w:tcW w:w="850" w:type="dxa"/>
          </w:tcPr>
          <w:p w14:paraId="6E21CC1D"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559" w:type="dxa"/>
          </w:tcPr>
          <w:p w14:paraId="21A0772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2,58 (1,39-4,76)</w:t>
            </w:r>
          </w:p>
        </w:tc>
        <w:tc>
          <w:tcPr>
            <w:tcW w:w="851" w:type="dxa"/>
          </w:tcPr>
          <w:p w14:paraId="24074445"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c>
          <w:tcPr>
            <w:tcW w:w="1701" w:type="dxa"/>
          </w:tcPr>
          <w:p w14:paraId="45D2DAA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2,59 (1,60-4,19)</w:t>
            </w:r>
          </w:p>
        </w:tc>
        <w:tc>
          <w:tcPr>
            <w:tcW w:w="850" w:type="dxa"/>
          </w:tcPr>
          <w:p w14:paraId="451A9BAC"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r>
      <w:tr w:rsidR="00F3332F" w:rsidRPr="00812C16" w14:paraId="76B0C439" w14:textId="77777777" w:rsidTr="00F3332F">
        <w:tc>
          <w:tcPr>
            <w:tcW w:w="1696" w:type="dxa"/>
          </w:tcPr>
          <w:p w14:paraId="3D82085A"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Oropharynx*</w:t>
            </w:r>
          </w:p>
        </w:tc>
        <w:tc>
          <w:tcPr>
            <w:tcW w:w="1560" w:type="dxa"/>
          </w:tcPr>
          <w:p w14:paraId="4087468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0,38 (0,18-0,82)</w:t>
            </w:r>
          </w:p>
        </w:tc>
        <w:tc>
          <w:tcPr>
            <w:tcW w:w="850" w:type="dxa"/>
          </w:tcPr>
          <w:p w14:paraId="20AA719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b/>
                <w:bCs/>
                <w:sz w:val="18"/>
                <w:szCs w:val="18"/>
              </w:rPr>
              <w:t>0,01</w:t>
            </w:r>
          </w:p>
        </w:tc>
        <w:tc>
          <w:tcPr>
            <w:tcW w:w="1559" w:type="dxa"/>
          </w:tcPr>
          <w:p w14:paraId="45D50D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0,30 (0,16-0,58)</w:t>
            </w:r>
          </w:p>
        </w:tc>
        <w:tc>
          <w:tcPr>
            <w:tcW w:w="851" w:type="dxa"/>
          </w:tcPr>
          <w:p w14:paraId="197D01F9"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701" w:type="dxa"/>
          </w:tcPr>
          <w:p w14:paraId="6BC1800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0,58 (0,36-0,93)</w:t>
            </w:r>
          </w:p>
        </w:tc>
        <w:tc>
          <w:tcPr>
            <w:tcW w:w="850" w:type="dxa"/>
          </w:tcPr>
          <w:p w14:paraId="79596CD3" w14:textId="77777777" w:rsidR="00F3332F" w:rsidRPr="00812C16" w:rsidRDefault="00F3332F" w:rsidP="00F3332F">
            <w:pPr>
              <w:spacing w:beforeLines="30" w:before="72" w:afterLines="30" w:after="72"/>
              <w:ind w:left="-113" w:right="-193"/>
              <w:jc w:val="center"/>
              <w:rPr>
                <w:rFonts w:cs="Arial"/>
                <w:b/>
                <w:bCs/>
                <w:sz w:val="18"/>
                <w:szCs w:val="18"/>
              </w:rPr>
            </w:pPr>
            <w:r w:rsidRPr="00812C16">
              <w:rPr>
                <w:rFonts w:cs="Arial"/>
                <w:b/>
                <w:bCs/>
                <w:sz w:val="18"/>
                <w:szCs w:val="18"/>
              </w:rPr>
              <w:t>0,01</w:t>
            </w:r>
          </w:p>
        </w:tc>
      </w:tr>
      <w:tr w:rsidR="00F3332F" w:rsidRPr="00812C16" w14:paraId="3803C932" w14:textId="77777777" w:rsidTr="00F3332F">
        <w:tc>
          <w:tcPr>
            <w:tcW w:w="1696" w:type="dxa"/>
            <w:tcBorders>
              <w:bottom w:val="single" w:sz="4" w:space="0" w:color="D0CECE" w:themeColor="background2" w:themeShade="E6"/>
            </w:tcBorders>
          </w:tcPr>
          <w:p w14:paraId="7664BC5C"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Hypopharynx*</w:t>
            </w:r>
          </w:p>
        </w:tc>
        <w:tc>
          <w:tcPr>
            <w:tcW w:w="1560" w:type="dxa"/>
            <w:tcBorders>
              <w:bottom w:val="single" w:sz="4" w:space="0" w:color="D0CECE" w:themeColor="background2" w:themeShade="E6"/>
            </w:tcBorders>
          </w:tcPr>
          <w:p w14:paraId="119B06CB"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0,57 (0,17-1,90)</w:t>
            </w:r>
          </w:p>
        </w:tc>
        <w:tc>
          <w:tcPr>
            <w:tcW w:w="850" w:type="dxa"/>
            <w:tcBorders>
              <w:bottom w:val="single" w:sz="4" w:space="0" w:color="D0CECE" w:themeColor="background2" w:themeShade="E6"/>
            </w:tcBorders>
          </w:tcPr>
          <w:p w14:paraId="0360467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sz w:val="18"/>
                <w:szCs w:val="18"/>
              </w:rPr>
              <w:t>0,36</w:t>
            </w:r>
          </w:p>
        </w:tc>
        <w:tc>
          <w:tcPr>
            <w:tcW w:w="1559" w:type="dxa"/>
            <w:tcBorders>
              <w:bottom w:val="single" w:sz="4" w:space="0" w:color="D0CECE" w:themeColor="background2" w:themeShade="E6"/>
            </w:tcBorders>
          </w:tcPr>
          <w:p w14:paraId="1F7CA105"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1,75 (0,86-3,55)</w:t>
            </w:r>
          </w:p>
        </w:tc>
        <w:tc>
          <w:tcPr>
            <w:tcW w:w="851" w:type="dxa"/>
            <w:tcBorders>
              <w:bottom w:val="single" w:sz="4" w:space="0" w:color="D0CECE" w:themeColor="background2" w:themeShade="E6"/>
            </w:tcBorders>
          </w:tcPr>
          <w:p w14:paraId="0B3A0979"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0,12</w:t>
            </w:r>
          </w:p>
        </w:tc>
        <w:tc>
          <w:tcPr>
            <w:tcW w:w="1701" w:type="dxa"/>
            <w:tcBorders>
              <w:bottom w:val="single" w:sz="4" w:space="0" w:color="D0CECE" w:themeColor="background2" w:themeShade="E6"/>
            </w:tcBorders>
          </w:tcPr>
          <w:p w14:paraId="4C8A137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0,60 (0,29-1,26)</w:t>
            </w:r>
          </w:p>
        </w:tc>
        <w:tc>
          <w:tcPr>
            <w:tcW w:w="850" w:type="dxa"/>
            <w:tcBorders>
              <w:bottom w:val="single" w:sz="4" w:space="0" w:color="D0CECE" w:themeColor="background2" w:themeShade="E6"/>
            </w:tcBorders>
          </w:tcPr>
          <w:p w14:paraId="68199205" w14:textId="77777777" w:rsidR="00F3332F" w:rsidRPr="00812C16" w:rsidRDefault="00F3332F" w:rsidP="00F3332F">
            <w:pPr>
              <w:spacing w:beforeLines="30" w:before="72" w:afterLines="30" w:after="72"/>
              <w:ind w:left="-193" w:right="-252"/>
              <w:jc w:val="center"/>
              <w:rPr>
                <w:rFonts w:cs="Arial"/>
                <w:sz w:val="18"/>
                <w:szCs w:val="18"/>
              </w:rPr>
            </w:pPr>
            <w:r w:rsidRPr="00812C16">
              <w:rPr>
                <w:rFonts w:cs="Arial"/>
                <w:sz w:val="18"/>
                <w:szCs w:val="18"/>
              </w:rPr>
              <w:t>0,21</w:t>
            </w:r>
          </w:p>
        </w:tc>
      </w:tr>
      <w:tr w:rsidR="00F3332F" w:rsidRPr="00812C16" w14:paraId="25A5E989" w14:textId="77777777" w:rsidTr="00F3332F">
        <w:tc>
          <w:tcPr>
            <w:tcW w:w="1696" w:type="dxa"/>
            <w:tcBorders>
              <w:top w:val="single" w:sz="4" w:space="0" w:color="D0CECE" w:themeColor="background2" w:themeShade="E6"/>
            </w:tcBorders>
          </w:tcPr>
          <w:p w14:paraId="044A54EA"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Geschlecht</w:t>
            </w:r>
          </w:p>
        </w:tc>
        <w:tc>
          <w:tcPr>
            <w:tcW w:w="1560" w:type="dxa"/>
            <w:tcBorders>
              <w:top w:val="single" w:sz="4" w:space="0" w:color="D0CECE" w:themeColor="background2" w:themeShade="E6"/>
            </w:tcBorders>
          </w:tcPr>
          <w:p w14:paraId="32A84F01"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7DEBA377"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53EAFEB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D0CECE" w:themeColor="background2" w:themeShade="E6"/>
            </w:tcBorders>
          </w:tcPr>
          <w:p w14:paraId="793AC7A9" w14:textId="77777777" w:rsidR="00F3332F" w:rsidRPr="00812C16" w:rsidRDefault="00F3332F" w:rsidP="00F3332F">
            <w:pPr>
              <w:spacing w:beforeLines="30" w:before="72" w:afterLines="30" w:after="72"/>
              <w:jc w:val="center"/>
              <w:rPr>
                <w:rFonts w:cs="Arial"/>
                <w:sz w:val="18"/>
                <w:szCs w:val="18"/>
              </w:rPr>
            </w:pPr>
          </w:p>
        </w:tc>
        <w:tc>
          <w:tcPr>
            <w:tcW w:w="1701" w:type="dxa"/>
            <w:tcBorders>
              <w:top w:val="single" w:sz="4" w:space="0" w:color="D0CECE" w:themeColor="background2" w:themeShade="E6"/>
            </w:tcBorders>
          </w:tcPr>
          <w:p w14:paraId="5F0A9109"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336ADCD0" w14:textId="77777777" w:rsidR="00F3332F" w:rsidRPr="00812C16" w:rsidRDefault="00F3332F" w:rsidP="00F3332F">
            <w:pPr>
              <w:spacing w:beforeLines="30" w:before="72" w:afterLines="30" w:after="72"/>
              <w:jc w:val="center"/>
              <w:rPr>
                <w:rFonts w:cs="Arial"/>
                <w:sz w:val="18"/>
                <w:szCs w:val="18"/>
              </w:rPr>
            </w:pPr>
          </w:p>
        </w:tc>
      </w:tr>
      <w:tr w:rsidR="00F3332F" w:rsidRPr="00812C16" w14:paraId="7511A751" w14:textId="77777777" w:rsidTr="00F3332F">
        <w:tc>
          <w:tcPr>
            <w:tcW w:w="1696" w:type="dxa"/>
            <w:tcBorders>
              <w:bottom w:val="single" w:sz="4" w:space="0" w:color="D0CECE" w:themeColor="background2" w:themeShade="E6"/>
            </w:tcBorders>
          </w:tcPr>
          <w:p w14:paraId="68FCFBAB"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Mann vs. Frau</w:t>
            </w:r>
          </w:p>
        </w:tc>
        <w:tc>
          <w:tcPr>
            <w:tcW w:w="1560" w:type="dxa"/>
            <w:tcBorders>
              <w:bottom w:val="single" w:sz="4" w:space="0" w:color="D0CECE" w:themeColor="background2" w:themeShade="E6"/>
            </w:tcBorders>
          </w:tcPr>
          <w:p w14:paraId="4C4FB33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1,79 (0,79-4,05)</w:t>
            </w:r>
          </w:p>
        </w:tc>
        <w:tc>
          <w:tcPr>
            <w:tcW w:w="850" w:type="dxa"/>
            <w:tcBorders>
              <w:bottom w:val="single" w:sz="4" w:space="0" w:color="D0CECE" w:themeColor="background2" w:themeShade="E6"/>
            </w:tcBorders>
          </w:tcPr>
          <w:p w14:paraId="289B8553"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0,16</w:t>
            </w:r>
          </w:p>
        </w:tc>
        <w:tc>
          <w:tcPr>
            <w:tcW w:w="1559" w:type="dxa"/>
            <w:tcBorders>
              <w:bottom w:val="single" w:sz="4" w:space="0" w:color="D0CECE" w:themeColor="background2" w:themeShade="E6"/>
            </w:tcBorders>
          </w:tcPr>
          <w:p w14:paraId="71567F0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0,59 (0,23-1,50)</w:t>
            </w:r>
          </w:p>
        </w:tc>
        <w:tc>
          <w:tcPr>
            <w:tcW w:w="851" w:type="dxa"/>
            <w:tcBorders>
              <w:bottom w:val="single" w:sz="4" w:space="0" w:color="D0CECE" w:themeColor="background2" w:themeShade="E6"/>
            </w:tcBorders>
          </w:tcPr>
          <w:p w14:paraId="1E54A43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0,27</w:t>
            </w:r>
          </w:p>
        </w:tc>
        <w:tc>
          <w:tcPr>
            <w:tcW w:w="1701" w:type="dxa"/>
            <w:tcBorders>
              <w:bottom w:val="single" w:sz="4" w:space="0" w:color="D0CECE" w:themeColor="background2" w:themeShade="E6"/>
            </w:tcBorders>
          </w:tcPr>
          <w:p w14:paraId="302B7B2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1,24 (0,70-2,20)</w:t>
            </w:r>
          </w:p>
        </w:tc>
        <w:tc>
          <w:tcPr>
            <w:tcW w:w="850" w:type="dxa"/>
            <w:tcBorders>
              <w:bottom w:val="single" w:sz="4" w:space="0" w:color="D0CECE" w:themeColor="background2" w:themeShade="E6"/>
            </w:tcBorders>
          </w:tcPr>
          <w:p w14:paraId="0F20B6C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0,45</w:t>
            </w:r>
          </w:p>
        </w:tc>
      </w:tr>
      <w:tr w:rsidR="00F3332F" w:rsidRPr="00812C16" w14:paraId="04A83F83" w14:textId="77777777" w:rsidTr="00F3332F">
        <w:tc>
          <w:tcPr>
            <w:tcW w:w="1696" w:type="dxa"/>
            <w:tcBorders>
              <w:top w:val="single" w:sz="4" w:space="0" w:color="D0CECE" w:themeColor="background2" w:themeShade="E6"/>
            </w:tcBorders>
          </w:tcPr>
          <w:p w14:paraId="414CCE41"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UICC-Status</w:t>
            </w:r>
          </w:p>
        </w:tc>
        <w:tc>
          <w:tcPr>
            <w:tcW w:w="1560" w:type="dxa"/>
            <w:tcBorders>
              <w:top w:val="single" w:sz="4" w:space="0" w:color="D0CECE" w:themeColor="background2" w:themeShade="E6"/>
            </w:tcBorders>
          </w:tcPr>
          <w:p w14:paraId="3A9168F5"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77745492"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44DD4F83"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D0CECE" w:themeColor="background2" w:themeShade="E6"/>
            </w:tcBorders>
          </w:tcPr>
          <w:p w14:paraId="794032C6"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D0CECE" w:themeColor="background2" w:themeShade="E6"/>
            </w:tcBorders>
          </w:tcPr>
          <w:p w14:paraId="2EE8BC22"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318634E7" w14:textId="77777777" w:rsidR="00F3332F" w:rsidRPr="00812C16" w:rsidRDefault="00F3332F" w:rsidP="00F3332F">
            <w:pPr>
              <w:spacing w:beforeLines="30" w:before="72" w:afterLines="30" w:after="72"/>
              <w:jc w:val="center"/>
              <w:rPr>
                <w:rFonts w:cs="Arial"/>
                <w:sz w:val="18"/>
                <w:szCs w:val="18"/>
              </w:rPr>
            </w:pPr>
          </w:p>
        </w:tc>
      </w:tr>
      <w:tr w:rsidR="00F3332F" w:rsidRPr="00812C16" w14:paraId="5B42298A" w14:textId="77777777" w:rsidTr="00F3332F">
        <w:tc>
          <w:tcPr>
            <w:tcW w:w="1696" w:type="dxa"/>
          </w:tcPr>
          <w:p w14:paraId="459943E7"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w:t>
            </w:r>
          </w:p>
        </w:tc>
        <w:tc>
          <w:tcPr>
            <w:tcW w:w="1560" w:type="dxa"/>
          </w:tcPr>
          <w:p w14:paraId="23CEE16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0,96 (0,13-7,04)</w:t>
            </w:r>
          </w:p>
        </w:tc>
        <w:tc>
          <w:tcPr>
            <w:tcW w:w="850" w:type="dxa"/>
          </w:tcPr>
          <w:p w14:paraId="52AA79F2" w14:textId="77777777" w:rsidR="00F3332F" w:rsidRPr="00812C16" w:rsidRDefault="00F3332F" w:rsidP="00F3332F">
            <w:pPr>
              <w:tabs>
                <w:tab w:val="left" w:pos="315"/>
              </w:tabs>
              <w:spacing w:beforeLines="30" w:before="72" w:afterLines="30" w:after="72"/>
              <w:ind w:left="-110" w:right="-193"/>
              <w:jc w:val="center"/>
              <w:rPr>
                <w:rFonts w:cs="Arial"/>
                <w:sz w:val="18"/>
                <w:szCs w:val="18"/>
              </w:rPr>
            </w:pPr>
            <w:r w:rsidRPr="00812C16">
              <w:rPr>
                <w:rFonts w:cs="Arial"/>
                <w:sz w:val="18"/>
                <w:szCs w:val="18"/>
              </w:rPr>
              <w:t>0,97</w:t>
            </w:r>
          </w:p>
        </w:tc>
        <w:tc>
          <w:tcPr>
            <w:tcW w:w="1559" w:type="dxa"/>
          </w:tcPr>
          <w:p w14:paraId="71151BF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0,67 (0,09-4,87)</w:t>
            </w:r>
          </w:p>
        </w:tc>
        <w:tc>
          <w:tcPr>
            <w:tcW w:w="851" w:type="dxa"/>
          </w:tcPr>
          <w:p w14:paraId="51DED7E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c>
          <w:tcPr>
            <w:tcW w:w="1701" w:type="dxa"/>
          </w:tcPr>
          <w:p w14:paraId="6D0CA408"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1,06 (0,33-3,39)</w:t>
            </w:r>
          </w:p>
        </w:tc>
        <w:tc>
          <w:tcPr>
            <w:tcW w:w="850" w:type="dxa"/>
          </w:tcPr>
          <w:p w14:paraId="18FDCA2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0,92</w:t>
            </w:r>
          </w:p>
        </w:tc>
      </w:tr>
      <w:tr w:rsidR="00F3332F" w:rsidRPr="00812C16" w14:paraId="6DA8ECD6" w14:textId="77777777" w:rsidTr="00F3332F">
        <w:tc>
          <w:tcPr>
            <w:tcW w:w="1696" w:type="dxa"/>
          </w:tcPr>
          <w:p w14:paraId="14408361"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III*</w:t>
            </w:r>
          </w:p>
        </w:tc>
        <w:tc>
          <w:tcPr>
            <w:tcW w:w="1560" w:type="dxa"/>
          </w:tcPr>
          <w:p w14:paraId="09FCD77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0,91 (0,32-2,61)</w:t>
            </w:r>
          </w:p>
        </w:tc>
        <w:tc>
          <w:tcPr>
            <w:tcW w:w="850" w:type="dxa"/>
          </w:tcPr>
          <w:p w14:paraId="43E29EB0"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0,86</w:t>
            </w:r>
          </w:p>
        </w:tc>
        <w:tc>
          <w:tcPr>
            <w:tcW w:w="1559" w:type="dxa"/>
          </w:tcPr>
          <w:p w14:paraId="67EE911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0,75 (0,30-1,91)</w:t>
            </w:r>
          </w:p>
        </w:tc>
        <w:tc>
          <w:tcPr>
            <w:tcW w:w="851" w:type="dxa"/>
          </w:tcPr>
          <w:p w14:paraId="4641005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0,55</w:t>
            </w:r>
          </w:p>
        </w:tc>
        <w:tc>
          <w:tcPr>
            <w:tcW w:w="1701" w:type="dxa"/>
          </w:tcPr>
          <w:p w14:paraId="46B5D88D"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1,15 (0,62-2,14)</w:t>
            </w:r>
          </w:p>
        </w:tc>
        <w:tc>
          <w:tcPr>
            <w:tcW w:w="850" w:type="dxa"/>
          </w:tcPr>
          <w:p w14:paraId="49416AB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0,66</w:t>
            </w:r>
          </w:p>
        </w:tc>
      </w:tr>
      <w:tr w:rsidR="00F3332F" w:rsidRPr="00812C16" w14:paraId="06F0DB08" w14:textId="77777777" w:rsidTr="00F3332F">
        <w:tc>
          <w:tcPr>
            <w:tcW w:w="1696" w:type="dxa"/>
            <w:tcBorders>
              <w:bottom w:val="single" w:sz="4" w:space="0" w:color="D0CECE" w:themeColor="background2" w:themeShade="E6"/>
            </w:tcBorders>
          </w:tcPr>
          <w:p w14:paraId="0492CA94"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IV*</w:t>
            </w:r>
          </w:p>
        </w:tc>
        <w:tc>
          <w:tcPr>
            <w:tcW w:w="1560" w:type="dxa"/>
            <w:tcBorders>
              <w:bottom w:val="single" w:sz="4" w:space="0" w:color="D0CECE" w:themeColor="background2" w:themeShade="E6"/>
            </w:tcBorders>
          </w:tcPr>
          <w:p w14:paraId="0E72348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(0,42-2,88)</w:t>
            </w:r>
          </w:p>
        </w:tc>
        <w:tc>
          <w:tcPr>
            <w:tcW w:w="850" w:type="dxa"/>
            <w:tcBorders>
              <w:bottom w:val="single" w:sz="4" w:space="0" w:color="D0CECE" w:themeColor="background2" w:themeShade="E6"/>
            </w:tcBorders>
          </w:tcPr>
          <w:p w14:paraId="4E570C8B"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0,85</w:t>
            </w:r>
          </w:p>
        </w:tc>
        <w:tc>
          <w:tcPr>
            <w:tcW w:w="1559" w:type="dxa"/>
            <w:tcBorders>
              <w:bottom w:val="single" w:sz="4" w:space="0" w:color="D0CECE" w:themeColor="background2" w:themeShade="E6"/>
            </w:tcBorders>
          </w:tcPr>
          <w:p w14:paraId="7C890BF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1,39 (0,59-3,29)</w:t>
            </w:r>
          </w:p>
        </w:tc>
        <w:tc>
          <w:tcPr>
            <w:tcW w:w="851" w:type="dxa"/>
            <w:tcBorders>
              <w:bottom w:val="single" w:sz="4" w:space="0" w:color="D0CECE" w:themeColor="background2" w:themeShade="E6"/>
            </w:tcBorders>
          </w:tcPr>
          <w:p w14:paraId="309D941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0,46</w:t>
            </w:r>
          </w:p>
        </w:tc>
        <w:tc>
          <w:tcPr>
            <w:tcW w:w="1701" w:type="dxa"/>
            <w:tcBorders>
              <w:bottom w:val="single" w:sz="4" w:space="0" w:color="D0CECE" w:themeColor="background2" w:themeShade="E6"/>
            </w:tcBorders>
          </w:tcPr>
          <w:p w14:paraId="284641FE"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0,88 (0,50-1,56)</w:t>
            </w:r>
          </w:p>
        </w:tc>
        <w:tc>
          <w:tcPr>
            <w:tcW w:w="850" w:type="dxa"/>
            <w:tcBorders>
              <w:bottom w:val="single" w:sz="4" w:space="0" w:color="D0CECE" w:themeColor="background2" w:themeShade="E6"/>
            </w:tcBorders>
          </w:tcPr>
          <w:p w14:paraId="2A5E83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0,65</w:t>
            </w:r>
          </w:p>
        </w:tc>
      </w:tr>
      <w:tr w:rsidR="00F3332F" w:rsidRPr="00812C16" w14:paraId="49DB9472" w14:textId="77777777" w:rsidTr="000E1E65">
        <w:tc>
          <w:tcPr>
            <w:tcW w:w="1696" w:type="dxa"/>
            <w:tcBorders>
              <w:top w:val="single" w:sz="4" w:space="0" w:color="D0CECE" w:themeColor="background2" w:themeShade="E6"/>
              <w:bottom w:val="single" w:sz="4" w:space="0" w:color="D0CECE" w:themeColor="background2" w:themeShade="E6"/>
            </w:tcBorders>
          </w:tcPr>
          <w:p w14:paraId="610F6E90"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R Status</w:t>
            </w:r>
          </w:p>
        </w:tc>
        <w:tc>
          <w:tcPr>
            <w:tcW w:w="1560" w:type="dxa"/>
            <w:tcBorders>
              <w:top w:val="single" w:sz="4" w:space="0" w:color="D0CECE" w:themeColor="background2" w:themeShade="E6"/>
              <w:bottom w:val="single" w:sz="4" w:space="0" w:color="D0CECE" w:themeColor="background2" w:themeShade="E6"/>
            </w:tcBorders>
          </w:tcPr>
          <w:p w14:paraId="28116E0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1,08 (0,52-2,26)</w:t>
            </w:r>
          </w:p>
        </w:tc>
        <w:tc>
          <w:tcPr>
            <w:tcW w:w="850" w:type="dxa"/>
            <w:tcBorders>
              <w:top w:val="single" w:sz="4" w:space="0" w:color="D0CECE" w:themeColor="background2" w:themeShade="E6"/>
              <w:bottom w:val="single" w:sz="4" w:space="0" w:color="D0CECE" w:themeColor="background2" w:themeShade="E6"/>
            </w:tcBorders>
          </w:tcPr>
          <w:p w14:paraId="3FB76CC5"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0,83</w:t>
            </w:r>
          </w:p>
        </w:tc>
        <w:tc>
          <w:tcPr>
            <w:tcW w:w="1559" w:type="dxa"/>
            <w:tcBorders>
              <w:top w:val="single" w:sz="4" w:space="0" w:color="D0CECE" w:themeColor="background2" w:themeShade="E6"/>
              <w:bottom w:val="single" w:sz="4" w:space="0" w:color="D0CECE" w:themeColor="background2" w:themeShade="E6"/>
            </w:tcBorders>
          </w:tcPr>
          <w:p w14:paraId="7AD4940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0,98 (0,53-1,82)</w:t>
            </w:r>
          </w:p>
        </w:tc>
        <w:tc>
          <w:tcPr>
            <w:tcW w:w="851" w:type="dxa"/>
            <w:tcBorders>
              <w:top w:val="single" w:sz="4" w:space="0" w:color="D0CECE" w:themeColor="background2" w:themeShade="E6"/>
              <w:bottom w:val="single" w:sz="4" w:space="0" w:color="D0CECE" w:themeColor="background2" w:themeShade="E6"/>
            </w:tcBorders>
          </w:tcPr>
          <w:p w14:paraId="4841032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0,95</w:t>
            </w:r>
          </w:p>
        </w:tc>
        <w:tc>
          <w:tcPr>
            <w:tcW w:w="1701" w:type="dxa"/>
            <w:tcBorders>
              <w:top w:val="single" w:sz="4" w:space="0" w:color="D0CECE" w:themeColor="background2" w:themeShade="E6"/>
              <w:bottom w:val="single" w:sz="4" w:space="0" w:color="D0CECE" w:themeColor="background2" w:themeShade="E6"/>
            </w:tcBorders>
          </w:tcPr>
          <w:p w14:paraId="0121D04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(0,69-1,76)</w:t>
            </w:r>
          </w:p>
        </w:tc>
        <w:tc>
          <w:tcPr>
            <w:tcW w:w="850" w:type="dxa"/>
            <w:tcBorders>
              <w:top w:val="single" w:sz="4" w:space="0" w:color="D0CECE" w:themeColor="background2" w:themeShade="E6"/>
              <w:bottom w:val="single" w:sz="4" w:space="0" w:color="D0CECE" w:themeColor="background2" w:themeShade="E6"/>
            </w:tcBorders>
          </w:tcPr>
          <w:p w14:paraId="093ED0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r>
      <w:tr w:rsidR="00F3332F" w:rsidRPr="00812C16" w14:paraId="425625E3" w14:textId="77777777" w:rsidTr="000E1E65">
        <w:tc>
          <w:tcPr>
            <w:tcW w:w="1696" w:type="dxa"/>
            <w:tcBorders>
              <w:top w:val="single" w:sz="4" w:space="0" w:color="D0CECE" w:themeColor="background2" w:themeShade="E6"/>
              <w:bottom w:val="single" w:sz="4" w:space="0" w:color="D0CECE" w:themeColor="background2" w:themeShade="E6"/>
            </w:tcBorders>
          </w:tcPr>
          <w:p w14:paraId="07DAA2F6" w14:textId="77777777" w:rsidR="00F3332F" w:rsidRPr="00812C16" w:rsidRDefault="00F3332F" w:rsidP="00894022">
            <w:pPr>
              <w:spacing w:beforeLines="30" w:before="72" w:afterLines="30" w:after="72"/>
              <w:jc w:val="left"/>
              <w:rPr>
                <w:rFonts w:cs="Arial"/>
                <w:b/>
                <w:bCs/>
                <w:sz w:val="18"/>
                <w:szCs w:val="18"/>
              </w:rPr>
            </w:pPr>
            <w:r w:rsidRPr="00812C16">
              <w:rPr>
                <w:rFonts w:cs="Arial"/>
                <w:b/>
                <w:bCs/>
                <w:sz w:val="18"/>
                <w:szCs w:val="18"/>
              </w:rPr>
              <w:t>ECE Status</w:t>
            </w:r>
          </w:p>
        </w:tc>
        <w:tc>
          <w:tcPr>
            <w:tcW w:w="1560" w:type="dxa"/>
            <w:tcBorders>
              <w:top w:val="single" w:sz="4" w:space="0" w:color="D0CECE" w:themeColor="background2" w:themeShade="E6"/>
              <w:bottom w:val="single" w:sz="4" w:space="0" w:color="D0CECE" w:themeColor="background2" w:themeShade="E6"/>
            </w:tcBorders>
          </w:tcPr>
          <w:p w14:paraId="69AA626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1,57 (0,74-3,34)</w:t>
            </w:r>
          </w:p>
        </w:tc>
        <w:tc>
          <w:tcPr>
            <w:tcW w:w="850" w:type="dxa"/>
            <w:tcBorders>
              <w:top w:val="single" w:sz="4" w:space="0" w:color="D0CECE" w:themeColor="background2" w:themeShade="E6"/>
              <w:bottom w:val="single" w:sz="4" w:space="0" w:color="D0CECE" w:themeColor="background2" w:themeShade="E6"/>
            </w:tcBorders>
          </w:tcPr>
          <w:p w14:paraId="488CE0C1"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0,24</w:t>
            </w:r>
          </w:p>
        </w:tc>
        <w:tc>
          <w:tcPr>
            <w:tcW w:w="1559" w:type="dxa"/>
            <w:tcBorders>
              <w:top w:val="single" w:sz="4" w:space="0" w:color="D0CECE" w:themeColor="background2" w:themeShade="E6"/>
              <w:bottom w:val="single" w:sz="4" w:space="0" w:color="D0CECE" w:themeColor="background2" w:themeShade="E6"/>
            </w:tcBorders>
          </w:tcPr>
          <w:p w14:paraId="5F972AD2" w14:textId="77777777" w:rsidR="00F3332F" w:rsidRPr="00812C16" w:rsidRDefault="00F3332F" w:rsidP="00F3332F">
            <w:pPr>
              <w:spacing w:beforeLines="30" w:before="72" w:afterLines="30" w:after="72"/>
              <w:rPr>
                <w:rFonts w:cs="Arial"/>
                <w:sz w:val="18"/>
                <w:szCs w:val="18"/>
              </w:rPr>
            </w:pPr>
            <w:r w:rsidRPr="00812C16">
              <w:rPr>
                <w:rFonts w:cs="Arial"/>
                <w:sz w:val="18"/>
                <w:szCs w:val="18"/>
              </w:rPr>
              <w:t>2,68 (1,35-5.33)</w:t>
            </w:r>
          </w:p>
        </w:tc>
        <w:tc>
          <w:tcPr>
            <w:tcW w:w="851" w:type="dxa"/>
            <w:tcBorders>
              <w:top w:val="single" w:sz="4" w:space="0" w:color="D0CECE" w:themeColor="background2" w:themeShade="E6"/>
              <w:bottom w:val="single" w:sz="4" w:space="0" w:color="D0CECE" w:themeColor="background2" w:themeShade="E6"/>
            </w:tcBorders>
          </w:tcPr>
          <w:p w14:paraId="4552AAE8" w14:textId="77777777" w:rsidR="00F3332F" w:rsidRPr="00812C16" w:rsidRDefault="00F3332F" w:rsidP="0083213A">
            <w:pPr>
              <w:tabs>
                <w:tab w:val="right" w:pos="459"/>
              </w:tabs>
              <w:spacing w:beforeLines="30" w:before="72" w:afterLines="30" w:after="72"/>
              <w:ind w:left="-182" w:right="-105"/>
              <w:jc w:val="center"/>
              <w:rPr>
                <w:rFonts w:cs="Arial"/>
                <w:b/>
                <w:bCs/>
                <w:sz w:val="18"/>
                <w:szCs w:val="18"/>
              </w:rPr>
            </w:pPr>
            <w:r w:rsidRPr="00812C16">
              <w:rPr>
                <w:rFonts w:cs="Arial"/>
                <w:b/>
                <w:bCs/>
                <w:sz w:val="18"/>
                <w:szCs w:val="18"/>
              </w:rPr>
              <w:t>&lt;0,01</w:t>
            </w:r>
          </w:p>
        </w:tc>
        <w:tc>
          <w:tcPr>
            <w:tcW w:w="1701" w:type="dxa"/>
            <w:tcBorders>
              <w:top w:val="single" w:sz="4" w:space="0" w:color="D0CECE" w:themeColor="background2" w:themeShade="E6"/>
              <w:bottom w:val="single" w:sz="4" w:space="0" w:color="D0CECE" w:themeColor="background2" w:themeShade="E6"/>
            </w:tcBorders>
          </w:tcPr>
          <w:p w14:paraId="0F736059"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1,72 (1,06-2,80)</w:t>
            </w:r>
          </w:p>
        </w:tc>
        <w:tc>
          <w:tcPr>
            <w:tcW w:w="850" w:type="dxa"/>
            <w:tcBorders>
              <w:top w:val="single" w:sz="4" w:space="0" w:color="D0CECE" w:themeColor="background2" w:themeShade="E6"/>
              <w:bottom w:val="single" w:sz="4" w:space="0" w:color="D0CECE" w:themeColor="background2" w:themeShade="E6"/>
            </w:tcBorders>
          </w:tcPr>
          <w:p w14:paraId="5843F68B"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0,03</w:t>
            </w:r>
          </w:p>
        </w:tc>
      </w:tr>
      <w:tr w:rsidR="000E1E65" w:rsidRPr="00812C16" w14:paraId="015501F3" w14:textId="77777777" w:rsidTr="000E1E65">
        <w:tc>
          <w:tcPr>
            <w:tcW w:w="1696" w:type="dxa"/>
            <w:tcBorders>
              <w:top w:val="single" w:sz="4" w:space="0" w:color="D0CECE" w:themeColor="background2" w:themeShade="E6"/>
              <w:bottom w:val="single" w:sz="4" w:space="0" w:color="000000" w:themeColor="text1"/>
            </w:tcBorders>
          </w:tcPr>
          <w:p w14:paraId="7DF844CF" w14:textId="77777777" w:rsidR="000E1E65" w:rsidRPr="00812C16" w:rsidRDefault="000E1E65" w:rsidP="00894022">
            <w:pPr>
              <w:spacing w:beforeLines="30" w:before="72" w:afterLines="30" w:after="72"/>
              <w:jc w:val="left"/>
              <w:rPr>
                <w:rFonts w:cs="Arial"/>
                <w:b/>
                <w:bCs/>
                <w:sz w:val="18"/>
                <w:szCs w:val="18"/>
              </w:rPr>
            </w:pPr>
            <w:r w:rsidRPr="00812C16">
              <w:rPr>
                <w:rFonts w:cs="Arial"/>
                <w:b/>
                <w:bCs/>
                <w:sz w:val="18"/>
                <w:szCs w:val="18"/>
              </w:rPr>
              <w:t>HPV16 DNA</w:t>
            </w:r>
          </w:p>
        </w:tc>
        <w:tc>
          <w:tcPr>
            <w:tcW w:w="1560" w:type="dxa"/>
            <w:tcBorders>
              <w:top w:val="single" w:sz="4" w:space="0" w:color="D0CECE" w:themeColor="background2" w:themeShade="E6"/>
              <w:bottom w:val="single" w:sz="4" w:space="0" w:color="000000" w:themeColor="text1"/>
            </w:tcBorders>
          </w:tcPr>
          <w:p w14:paraId="3874C71D" w14:textId="77777777" w:rsidR="000E1E65" w:rsidRPr="00812C16" w:rsidRDefault="00C31BB4" w:rsidP="00F3332F">
            <w:pPr>
              <w:spacing w:beforeLines="30" w:before="72" w:afterLines="30" w:after="72"/>
              <w:rPr>
                <w:rFonts w:cs="Arial"/>
                <w:sz w:val="18"/>
                <w:szCs w:val="18"/>
              </w:rPr>
            </w:pPr>
            <w:r w:rsidRPr="00812C16">
              <w:rPr>
                <w:rFonts w:cs="Arial"/>
                <w:sz w:val="18"/>
                <w:szCs w:val="18"/>
              </w:rPr>
              <w:t>0,13 (0,03-0,54)</w:t>
            </w:r>
          </w:p>
        </w:tc>
        <w:tc>
          <w:tcPr>
            <w:tcW w:w="850" w:type="dxa"/>
            <w:tcBorders>
              <w:top w:val="single" w:sz="4" w:space="0" w:color="D0CECE" w:themeColor="background2" w:themeShade="E6"/>
              <w:bottom w:val="single" w:sz="4" w:space="0" w:color="000000" w:themeColor="text1"/>
            </w:tcBorders>
          </w:tcPr>
          <w:p w14:paraId="73077E92" w14:textId="77777777" w:rsidR="000E1E65" w:rsidRPr="00812C16" w:rsidRDefault="00C31BB4" w:rsidP="0083213A">
            <w:pPr>
              <w:spacing w:beforeLines="30" w:before="72" w:afterLines="30" w:after="72"/>
              <w:ind w:left="-110" w:right="-119"/>
              <w:jc w:val="center"/>
              <w:rPr>
                <w:rFonts w:cs="Arial"/>
                <w:b/>
                <w:bCs/>
                <w:sz w:val="18"/>
                <w:szCs w:val="18"/>
              </w:rPr>
            </w:pPr>
            <w:r w:rsidRPr="00812C16">
              <w:rPr>
                <w:rFonts w:cs="Arial"/>
                <w:b/>
                <w:bCs/>
                <w:sz w:val="18"/>
                <w:szCs w:val="18"/>
              </w:rPr>
              <w:t>&lt;0,01</w:t>
            </w:r>
          </w:p>
        </w:tc>
        <w:tc>
          <w:tcPr>
            <w:tcW w:w="1559" w:type="dxa"/>
            <w:tcBorders>
              <w:top w:val="single" w:sz="4" w:space="0" w:color="D0CECE" w:themeColor="background2" w:themeShade="E6"/>
              <w:bottom w:val="single" w:sz="4" w:space="0" w:color="000000" w:themeColor="text1"/>
            </w:tcBorders>
          </w:tcPr>
          <w:p w14:paraId="018F9B7B"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0,35 (0,15-0,79)</w:t>
            </w:r>
          </w:p>
        </w:tc>
        <w:tc>
          <w:tcPr>
            <w:tcW w:w="851" w:type="dxa"/>
            <w:tcBorders>
              <w:top w:val="single" w:sz="4" w:space="0" w:color="D0CECE" w:themeColor="background2" w:themeShade="E6"/>
              <w:bottom w:val="single" w:sz="4" w:space="0" w:color="000000" w:themeColor="text1"/>
            </w:tcBorders>
          </w:tcPr>
          <w:p w14:paraId="7D4C7BA5" w14:textId="77777777" w:rsidR="000E1E65" w:rsidRPr="00812C16" w:rsidRDefault="0083213A" w:rsidP="00F3332F">
            <w:pPr>
              <w:spacing w:beforeLines="30" w:before="72" w:afterLines="30" w:after="72"/>
              <w:jc w:val="center"/>
              <w:rPr>
                <w:rFonts w:cs="Arial"/>
                <w:b/>
                <w:bCs/>
                <w:sz w:val="18"/>
                <w:szCs w:val="18"/>
              </w:rPr>
            </w:pPr>
            <w:r w:rsidRPr="00812C16">
              <w:rPr>
                <w:rFonts w:cs="Arial"/>
                <w:b/>
                <w:bCs/>
                <w:sz w:val="18"/>
                <w:szCs w:val="18"/>
              </w:rPr>
              <w:t>0,01</w:t>
            </w:r>
          </w:p>
        </w:tc>
        <w:tc>
          <w:tcPr>
            <w:tcW w:w="1701" w:type="dxa"/>
            <w:tcBorders>
              <w:top w:val="single" w:sz="4" w:space="0" w:color="D0CECE" w:themeColor="background2" w:themeShade="E6"/>
              <w:bottom w:val="single" w:sz="4" w:space="0" w:color="000000" w:themeColor="text1"/>
            </w:tcBorders>
          </w:tcPr>
          <w:p w14:paraId="7A307175"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0,33 (0,17-0,62)</w:t>
            </w:r>
          </w:p>
        </w:tc>
        <w:tc>
          <w:tcPr>
            <w:tcW w:w="850" w:type="dxa"/>
            <w:tcBorders>
              <w:top w:val="single" w:sz="4" w:space="0" w:color="D0CECE" w:themeColor="background2" w:themeShade="E6"/>
              <w:bottom w:val="single" w:sz="4" w:space="0" w:color="000000" w:themeColor="text1"/>
            </w:tcBorders>
          </w:tcPr>
          <w:p w14:paraId="2F7D9F4C" w14:textId="77777777" w:rsidR="000E1E65" w:rsidRPr="00812C16" w:rsidRDefault="0083213A" w:rsidP="0083213A">
            <w:pPr>
              <w:tabs>
                <w:tab w:val="right" w:pos="601"/>
              </w:tabs>
              <w:spacing w:beforeLines="30" w:before="72" w:afterLines="30" w:after="72"/>
              <w:ind w:left="-250" w:right="-104"/>
              <w:jc w:val="center"/>
              <w:rPr>
                <w:rFonts w:cs="Arial"/>
                <w:b/>
                <w:bCs/>
                <w:sz w:val="18"/>
                <w:szCs w:val="18"/>
              </w:rPr>
            </w:pPr>
            <w:r w:rsidRPr="00812C16">
              <w:rPr>
                <w:rFonts w:cs="Arial"/>
                <w:b/>
                <w:bCs/>
                <w:sz w:val="18"/>
                <w:szCs w:val="18"/>
              </w:rPr>
              <w:t xml:space="preserve"> &lt;0,01</w:t>
            </w:r>
          </w:p>
        </w:tc>
      </w:tr>
      <w:tr w:rsidR="00F3332F" w:rsidRPr="00812C16" w14:paraId="6129E39F" w14:textId="77777777" w:rsidTr="00F3332F">
        <w:tc>
          <w:tcPr>
            <w:tcW w:w="1696" w:type="dxa"/>
            <w:tcBorders>
              <w:top w:val="single" w:sz="4" w:space="0" w:color="000000" w:themeColor="text1"/>
            </w:tcBorders>
          </w:tcPr>
          <w:p w14:paraId="35388ADD" w14:textId="77777777" w:rsidR="00F3332F" w:rsidRPr="00812C16" w:rsidRDefault="00F65CBF" w:rsidP="00F65CBF">
            <w:pPr>
              <w:spacing w:beforeLines="30" w:before="72" w:afterLines="30" w:after="72"/>
              <w:rPr>
                <w:rFonts w:cs="Arial"/>
                <w:sz w:val="18"/>
                <w:szCs w:val="18"/>
              </w:rPr>
            </w:pPr>
            <w:r w:rsidRPr="00812C16">
              <w:rPr>
                <w:rFonts w:cs="Arial"/>
                <w:sz w:val="18"/>
                <w:szCs w:val="18"/>
              </w:rPr>
              <w:t>* vs. others</w:t>
            </w:r>
          </w:p>
        </w:tc>
        <w:tc>
          <w:tcPr>
            <w:tcW w:w="1560" w:type="dxa"/>
            <w:tcBorders>
              <w:top w:val="single" w:sz="4" w:space="0" w:color="000000" w:themeColor="text1"/>
            </w:tcBorders>
          </w:tcPr>
          <w:p w14:paraId="553413FB"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49EF6567" w14:textId="77777777" w:rsidR="00F3332F" w:rsidRPr="00812C16" w:rsidRDefault="00F3332F" w:rsidP="00F3332F">
            <w:pPr>
              <w:spacing w:beforeLines="30" w:before="72" w:afterLines="30" w:after="72"/>
              <w:rPr>
                <w:rFonts w:cs="Arial"/>
                <w:sz w:val="18"/>
                <w:szCs w:val="18"/>
              </w:rPr>
            </w:pPr>
          </w:p>
        </w:tc>
        <w:tc>
          <w:tcPr>
            <w:tcW w:w="1559" w:type="dxa"/>
            <w:tcBorders>
              <w:top w:val="single" w:sz="4" w:space="0" w:color="000000" w:themeColor="text1"/>
            </w:tcBorders>
          </w:tcPr>
          <w:p w14:paraId="00120114"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000000" w:themeColor="text1"/>
            </w:tcBorders>
          </w:tcPr>
          <w:p w14:paraId="4DC01BE1"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000000" w:themeColor="text1"/>
            </w:tcBorders>
          </w:tcPr>
          <w:p w14:paraId="5DFA68BF"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6A913EFA" w14:textId="77777777" w:rsidR="00F3332F" w:rsidRPr="00812C16" w:rsidRDefault="00F3332F" w:rsidP="00F3332F">
            <w:pPr>
              <w:spacing w:beforeLines="30" w:before="72" w:afterLines="30" w:after="72"/>
              <w:jc w:val="center"/>
              <w:rPr>
                <w:rFonts w:cs="Arial"/>
                <w:sz w:val="18"/>
                <w:szCs w:val="18"/>
              </w:rPr>
            </w:pPr>
          </w:p>
        </w:tc>
      </w:tr>
    </w:tbl>
    <w:p w14:paraId="1F0E2CB2" w14:textId="77777777" w:rsidR="000E5E8B" w:rsidRPr="00812C16" w:rsidRDefault="00F537C6" w:rsidP="008366C4">
      <w:pPr>
        <w:spacing w:before="360" w:after="0"/>
        <w:rPr>
          <w:lang w:eastAsia="de-DE"/>
        </w:rPr>
      </w:pPr>
      <w:r w:rsidRPr="00812C16">
        <w:rPr>
          <w:lang w:eastAsia="de-DE"/>
        </w:rPr>
        <w:t>Die univariate Analyse ermittelte in Bezug auf die Tumorlokalisation in der Mundhöhle (</w:t>
      </w:r>
      <w:r w:rsidR="006B3213" w:rsidRPr="00812C16">
        <w:rPr>
          <w:lang w:eastAsia="de-DE"/>
        </w:rPr>
        <w:t xml:space="preserve">LRC: </w:t>
      </w:r>
      <w:r w:rsidR="00BF1A4F" w:rsidRPr="00812C16">
        <w:rPr>
          <w:lang w:eastAsia="de-DE"/>
        </w:rPr>
        <w:t xml:space="preserve">HR 3,68, </w:t>
      </w:r>
      <w:r w:rsidRPr="00812C16">
        <w:rPr>
          <w:lang w:eastAsia="de-DE"/>
        </w:rPr>
        <w:t>p&lt;0,01) und Oropharynx (</w:t>
      </w:r>
      <w:r w:rsidR="006B3213" w:rsidRPr="00812C16">
        <w:rPr>
          <w:lang w:eastAsia="de-DE"/>
        </w:rPr>
        <w:t xml:space="preserve">LRC: </w:t>
      </w:r>
      <w:r w:rsidR="00BF1A4F" w:rsidRPr="00812C16">
        <w:rPr>
          <w:lang w:eastAsia="de-DE"/>
        </w:rPr>
        <w:t xml:space="preserve">HR 0,38, </w:t>
      </w:r>
      <w:r w:rsidRPr="00812C16">
        <w:rPr>
          <w:lang w:eastAsia="de-DE"/>
        </w:rPr>
        <w:t>p&lt;0,01)</w:t>
      </w:r>
      <w:r w:rsidR="00604501" w:rsidRPr="00812C16">
        <w:rPr>
          <w:lang w:eastAsia="de-DE"/>
        </w:rPr>
        <w:t xml:space="preserve"> signifikante Unterschiede in allen drei Endpunkten. Wohingegen der ECE-Status lediglich erhebliche Auswirkungen auf die sekundären Endpunkte </w:t>
      </w:r>
      <w:r w:rsidR="00BF1A4F" w:rsidRPr="00812C16">
        <w:rPr>
          <w:lang w:eastAsia="de-DE"/>
        </w:rPr>
        <w:t>(</w:t>
      </w:r>
      <w:r w:rsidR="0083213A" w:rsidRPr="00812C16">
        <w:rPr>
          <w:lang w:eastAsia="de-DE"/>
        </w:rPr>
        <w:t xml:space="preserve">DMS: HR 2,68, p&lt;0,01; OS: HR 1,72, p=0,03) </w:t>
      </w:r>
      <w:r w:rsidR="00604501" w:rsidRPr="00812C16">
        <w:rPr>
          <w:lang w:eastAsia="de-DE"/>
        </w:rPr>
        <w:t xml:space="preserve">gezeigt hatte. </w:t>
      </w:r>
      <w:r w:rsidR="0083213A" w:rsidRPr="00812C16">
        <w:rPr>
          <w:lang w:eastAsia="de-DE"/>
        </w:rPr>
        <w:t xml:space="preserve">Für das </w:t>
      </w:r>
      <w:r w:rsidR="00D60F69" w:rsidRPr="00812C16">
        <w:rPr>
          <w:lang w:eastAsia="de-DE"/>
        </w:rPr>
        <w:t>Geschlecht,</w:t>
      </w:r>
      <w:r w:rsidR="0083213A" w:rsidRPr="00812C16">
        <w:rPr>
          <w:lang w:eastAsia="de-DE"/>
        </w:rPr>
        <w:t xml:space="preserve"> </w:t>
      </w:r>
      <w:r w:rsidR="006B3213" w:rsidRPr="00812C16">
        <w:rPr>
          <w:lang w:eastAsia="de-DE"/>
        </w:rPr>
        <w:t>dem</w:t>
      </w:r>
      <w:r w:rsidR="00D60F69" w:rsidRPr="00812C16">
        <w:rPr>
          <w:lang w:eastAsia="de-DE"/>
        </w:rPr>
        <w:t xml:space="preserve"> UICC-Stadium und </w:t>
      </w:r>
      <w:r w:rsidR="006B3213" w:rsidRPr="00812C16">
        <w:rPr>
          <w:lang w:eastAsia="de-DE"/>
        </w:rPr>
        <w:t xml:space="preserve">dem </w:t>
      </w:r>
      <w:r w:rsidR="00D60F69" w:rsidRPr="00812C16">
        <w:rPr>
          <w:lang w:eastAsia="de-DE"/>
        </w:rPr>
        <w:t xml:space="preserve">R-Status </w:t>
      </w:r>
      <w:r w:rsidR="006B3213" w:rsidRPr="00812C16">
        <w:rPr>
          <w:lang w:eastAsia="de-DE"/>
        </w:rPr>
        <w:t>konnten</w:t>
      </w:r>
      <w:r w:rsidR="00D60F69" w:rsidRPr="00812C16">
        <w:rPr>
          <w:lang w:eastAsia="de-DE"/>
        </w:rPr>
        <w:t xml:space="preserve"> </w:t>
      </w:r>
      <w:r w:rsidR="00BF1A4F" w:rsidRPr="00812C16">
        <w:rPr>
          <w:lang w:eastAsia="de-DE"/>
        </w:rPr>
        <w:t xml:space="preserve">keine signifikanten Auswirkungen </w:t>
      </w:r>
      <w:r w:rsidR="006B3213" w:rsidRPr="00812C16">
        <w:rPr>
          <w:lang w:eastAsia="de-DE"/>
        </w:rPr>
        <w:t>auf das klinische Outcome</w:t>
      </w:r>
      <w:r w:rsidR="004406DB" w:rsidRPr="00812C16">
        <w:rPr>
          <w:lang w:eastAsia="de-DE"/>
        </w:rPr>
        <w:t xml:space="preserve"> festgestellt werden. </w:t>
      </w:r>
      <w:r w:rsidR="006B3213" w:rsidRPr="00812C16">
        <w:rPr>
          <w:lang w:eastAsia="de-DE"/>
        </w:rPr>
        <w:t xml:space="preserve">HPV16 DNA-positive Tumoren zeigten </w:t>
      </w:r>
      <w:r w:rsidR="004406DB" w:rsidRPr="00812C16">
        <w:rPr>
          <w:lang w:eastAsia="de-DE"/>
        </w:rPr>
        <w:t>über alle Endpunkte</w:t>
      </w:r>
      <w:r w:rsidR="006B3213" w:rsidRPr="00812C16">
        <w:rPr>
          <w:lang w:eastAsia="de-DE"/>
        </w:rPr>
        <w:t xml:space="preserve"> </w:t>
      </w:r>
      <w:r w:rsidR="004406DB" w:rsidRPr="00812C16">
        <w:rPr>
          <w:lang w:eastAsia="de-DE"/>
        </w:rPr>
        <w:t>ein</w:t>
      </w:r>
      <w:r w:rsidR="006B3213" w:rsidRPr="00812C16">
        <w:rPr>
          <w:lang w:eastAsia="de-DE"/>
        </w:rPr>
        <w:t xml:space="preserve"> signifikant besser</w:t>
      </w:r>
      <w:r w:rsidR="004406DB" w:rsidRPr="00812C16">
        <w:rPr>
          <w:lang w:eastAsia="de-DE"/>
        </w:rPr>
        <w:t>es</w:t>
      </w:r>
      <w:r w:rsidR="006B3213" w:rsidRPr="00812C16">
        <w:rPr>
          <w:lang w:eastAsia="de-DE"/>
        </w:rPr>
        <w:t xml:space="preserve"> klinische</w:t>
      </w:r>
      <w:r w:rsidR="004406DB" w:rsidRPr="00812C16">
        <w:rPr>
          <w:lang w:eastAsia="de-DE"/>
        </w:rPr>
        <w:t>s</w:t>
      </w:r>
      <w:r w:rsidR="006B3213" w:rsidRPr="00812C16">
        <w:rPr>
          <w:lang w:eastAsia="de-DE"/>
        </w:rPr>
        <w:t xml:space="preserve"> Outcome als HPV16 D</w:t>
      </w:r>
      <w:r w:rsidR="004406DB" w:rsidRPr="00812C16">
        <w:rPr>
          <w:lang w:eastAsia="de-DE"/>
        </w:rPr>
        <w:t>NA-</w:t>
      </w:r>
      <w:r w:rsidR="006B3213" w:rsidRPr="00812C16">
        <w:rPr>
          <w:lang w:eastAsia="de-DE"/>
        </w:rPr>
        <w:t xml:space="preserve">negative Tumore. </w:t>
      </w:r>
      <w:r w:rsidR="006B3213" w:rsidRPr="00812C16">
        <w:rPr>
          <w:lang w:eastAsia="de-DE"/>
        </w:rPr>
        <w:br w:type="page"/>
      </w:r>
    </w:p>
    <w:p w14:paraId="7DD56BA6" w14:textId="77777777" w:rsidR="008A2BCC" w:rsidRPr="00812C16" w:rsidRDefault="00506755" w:rsidP="005547D3">
      <w:pPr>
        <w:pStyle w:val="berschrift3"/>
      </w:pPr>
      <w:bookmarkStart w:id="87" w:name="_Toc158006542"/>
      <w:r w:rsidRPr="00812C16">
        <w:lastRenderedPageBreak/>
        <w:t>Multivariate Analysen</w:t>
      </w:r>
      <w:bookmarkEnd w:id="87"/>
      <w:r w:rsidRPr="00812C16">
        <w:t xml:space="preserve"> </w:t>
      </w:r>
    </w:p>
    <w:p w14:paraId="7F8FA7FA" w14:textId="77777777" w:rsidR="00BA4F1C" w:rsidRPr="00812C16" w:rsidRDefault="00F2639C" w:rsidP="00EF35C7">
      <w:pPr>
        <w:spacing w:after="360"/>
        <w:rPr>
          <w:rFonts w:cs="Arial"/>
          <w:lang w:eastAsia="de-DE"/>
        </w:rPr>
      </w:pPr>
      <w:r w:rsidRPr="00812C16">
        <w:rPr>
          <w:rFonts w:cs="Arial"/>
          <w:lang w:eastAsia="de-DE"/>
        </w:rPr>
        <w:t xml:space="preserve">Um zu untersuchen, ob die </w:t>
      </w:r>
      <w:r w:rsidR="008110F2" w:rsidRPr="00812C16">
        <w:rPr>
          <w:rFonts w:cs="Arial"/>
          <w:lang w:eastAsia="de-DE"/>
        </w:rPr>
        <w:t>Proteine</w:t>
      </w:r>
      <w:r w:rsidRPr="00812C16">
        <w:rPr>
          <w:rFonts w:cs="Arial"/>
          <w:lang w:eastAsia="de-DE"/>
        </w:rPr>
        <w:t xml:space="preserve">xpression von CD44 einen prognostischen </w:t>
      </w:r>
      <w:r w:rsidR="008110F2" w:rsidRPr="00812C16">
        <w:rPr>
          <w:rFonts w:cs="Arial"/>
          <w:lang w:eastAsia="de-DE"/>
        </w:rPr>
        <w:t xml:space="preserve">Tumorstammzellmarker </w:t>
      </w:r>
      <w:r w:rsidRPr="00812C16">
        <w:rPr>
          <w:rFonts w:cs="Arial"/>
          <w:lang w:eastAsia="de-DE"/>
        </w:rPr>
        <w:t xml:space="preserve">unabhängig von anderen klinischen Parametern darstellt, wurde eine multivariate Analyse unter </w:t>
      </w:r>
      <w:r w:rsidR="001C6A24" w:rsidRPr="00812C16">
        <w:rPr>
          <w:rFonts w:cs="Arial"/>
          <w:lang w:eastAsia="de-DE"/>
        </w:rPr>
        <w:t xml:space="preserve">Berücksichtigung andere Einflussgrößen </w:t>
      </w:r>
      <w:r w:rsidR="005D1754" w:rsidRPr="00812C16">
        <w:rPr>
          <w:rFonts w:cs="Arial"/>
          <w:lang w:eastAsia="de-DE"/>
        </w:rPr>
        <w:t xml:space="preserve">durchgeführt. Parameter, die in der univariaten Analyse als signifikant befunden wurden, wurden als Einflussgrößen in </w:t>
      </w:r>
      <w:r w:rsidR="007E7E7F" w:rsidRPr="00812C16">
        <w:rPr>
          <w:rFonts w:cs="Arial"/>
          <w:lang w:eastAsia="de-DE"/>
        </w:rPr>
        <w:t>ein</w:t>
      </w:r>
      <w:r w:rsidR="005D1754" w:rsidRPr="00812C16">
        <w:rPr>
          <w:rFonts w:cs="Arial"/>
          <w:lang w:eastAsia="de-DE"/>
        </w:rPr>
        <w:t xml:space="preserve"> multivariates Cox- (Proportional-Hazard) Regressionsmodel aufgenommen.</w:t>
      </w:r>
      <w:r w:rsidR="002F3BCF" w:rsidRPr="00812C16">
        <w:rPr>
          <w:rFonts w:cs="Arial"/>
          <w:lang w:eastAsia="de-DE"/>
        </w:rPr>
        <w:t xml:space="preserve"> Als Kovariaten für dies</w:t>
      </w:r>
      <w:r w:rsidR="007E7E7F" w:rsidRPr="00812C16">
        <w:rPr>
          <w:rFonts w:cs="Arial"/>
          <w:lang w:eastAsia="de-DE"/>
        </w:rPr>
        <w:t>es</w:t>
      </w:r>
      <w:r w:rsidR="002F3BCF" w:rsidRPr="00812C16">
        <w:rPr>
          <w:rFonts w:cs="Arial"/>
          <w:lang w:eastAsia="de-DE"/>
        </w:rPr>
        <w:t xml:space="preserve"> Cox-Modell wurden </w:t>
      </w:r>
      <w:r w:rsidR="0006627A" w:rsidRPr="00812C16">
        <w:rPr>
          <w:rFonts w:cs="Arial"/>
          <w:lang w:eastAsia="de-DE"/>
        </w:rPr>
        <w:t>demnach</w:t>
      </w:r>
      <w:r w:rsidR="007E7E7F" w:rsidRPr="00812C16">
        <w:rPr>
          <w:rFonts w:cs="Arial"/>
          <w:lang w:eastAsia="de-DE"/>
        </w:rPr>
        <w:t xml:space="preserve"> neben dem CD44-Status</w:t>
      </w:r>
      <w:r w:rsidR="0006627A" w:rsidRPr="00812C16">
        <w:rPr>
          <w:rFonts w:cs="Arial"/>
          <w:lang w:eastAsia="de-DE"/>
        </w:rPr>
        <w:t xml:space="preserve"> der</w:t>
      </w:r>
      <w:r w:rsidR="002F3BCF" w:rsidRPr="00812C16">
        <w:rPr>
          <w:rFonts w:cs="Arial"/>
          <w:lang w:eastAsia="de-DE"/>
        </w:rPr>
        <w:t xml:space="preserve"> ECE-Status, die Tumorlokalisation in Mundhöhle und Oropharynx sowie der HPV16 D</w:t>
      </w:r>
      <w:r w:rsidR="00CE440F" w:rsidRPr="00812C16">
        <w:rPr>
          <w:rFonts w:cs="Arial"/>
          <w:lang w:eastAsia="de-DE"/>
        </w:rPr>
        <w:t>NA</w:t>
      </w:r>
      <w:r w:rsidR="002F3BCF" w:rsidRPr="00812C16">
        <w:rPr>
          <w:rFonts w:cs="Arial"/>
          <w:lang w:eastAsia="de-DE"/>
        </w:rPr>
        <w:t xml:space="preserve">-Status als gemeinsame </w:t>
      </w:r>
      <w:r w:rsidR="008C0F33" w:rsidRPr="00812C16">
        <w:rPr>
          <w:rFonts w:cs="Arial"/>
          <w:lang w:eastAsia="de-DE"/>
        </w:rPr>
        <w:t xml:space="preserve">gleichzeitige </w:t>
      </w:r>
      <w:r w:rsidR="002F3BCF" w:rsidRPr="00812C16">
        <w:rPr>
          <w:rFonts w:cs="Arial"/>
          <w:lang w:eastAsia="de-DE"/>
        </w:rPr>
        <w:t xml:space="preserve">Einflussvariablen </w:t>
      </w:r>
      <w:r w:rsidR="008C0F33" w:rsidRPr="00812C16">
        <w:rPr>
          <w:rFonts w:cs="Arial"/>
          <w:lang w:eastAsia="de-DE"/>
        </w:rPr>
        <w:t xml:space="preserve">auf die Überlebenszeit, Ereigniszeit </w:t>
      </w:r>
      <w:r w:rsidR="00CE440F" w:rsidRPr="00812C16">
        <w:rPr>
          <w:rFonts w:cs="Arial"/>
          <w:lang w:eastAsia="de-DE"/>
        </w:rPr>
        <w:t>berücksichtigt</w:t>
      </w:r>
      <w:r w:rsidR="002F3BCF" w:rsidRPr="00812C16">
        <w:rPr>
          <w:rFonts w:cs="Arial"/>
          <w:lang w:eastAsia="de-DE"/>
        </w:rPr>
        <w:t xml:space="preserve">. </w:t>
      </w:r>
      <w:r w:rsidR="00FC70C8" w:rsidRPr="00812C16">
        <w:rPr>
          <w:rFonts w:cs="Arial"/>
          <w:lang w:eastAsia="de-DE"/>
        </w:rPr>
        <w:t>Ein signifikanter P</w:t>
      </w:r>
      <w:r w:rsidR="00556D7E" w:rsidRPr="00812C16">
        <w:rPr>
          <w:rFonts w:cs="Arial"/>
          <w:lang w:eastAsia="de-DE"/>
        </w:rPr>
        <w:t xml:space="preserve">-Wert </w:t>
      </w:r>
      <w:r w:rsidR="00FC70C8" w:rsidRPr="00812C16">
        <w:rPr>
          <w:rFonts w:cs="Arial"/>
          <w:lang w:eastAsia="de-DE"/>
        </w:rPr>
        <w:t>in der Cox-Regression bedeutet, dass die Kovariate Einfluss auf das Überleben, die Ereigniszeit hat.</w:t>
      </w:r>
      <w:r w:rsidR="008C0F33" w:rsidRPr="00812C16">
        <w:rPr>
          <w:rFonts w:cs="Arial"/>
          <w:lang w:eastAsia="de-DE"/>
        </w:rPr>
        <w:t xml:space="preserve"> </w:t>
      </w:r>
      <w:r w:rsidR="00B96A17" w:rsidRPr="00812C16">
        <w:rPr>
          <w:rFonts w:cs="Arial"/>
          <w:lang w:eastAsia="de-DE"/>
        </w:rPr>
        <w:t>Die Cox-Regression bietet außerdem die Möglichkeit, einen Schätzer für die Größe des Einflusses</w:t>
      </w:r>
      <w:r w:rsidR="00BA4F1C" w:rsidRPr="00812C16">
        <w:rPr>
          <w:rFonts w:cs="Arial"/>
          <w:lang w:eastAsia="de-DE"/>
        </w:rPr>
        <w:t xml:space="preserve"> </w:t>
      </w:r>
      <w:r w:rsidR="00B96A17" w:rsidRPr="00812C16">
        <w:rPr>
          <w:rFonts w:cs="Arial"/>
          <w:lang w:eastAsia="de-DE"/>
        </w:rPr>
        <w:t xml:space="preserve">zu erhalten. Dieser Schätzer ist durch das Hazard Ratio </w:t>
      </w:r>
      <w:r w:rsidR="00BA4F1C" w:rsidRPr="00812C16">
        <w:rPr>
          <w:rFonts w:cs="Arial"/>
          <w:lang w:eastAsia="de-DE"/>
        </w:rPr>
        <w:t xml:space="preserve">(HR) </w:t>
      </w:r>
      <w:r w:rsidR="00B96A17" w:rsidRPr="00812C16">
        <w:rPr>
          <w:rFonts w:cs="Arial"/>
          <w:lang w:eastAsia="de-DE"/>
        </w:rPr>
        <w:t>gegeben</w:t>
      </w:r>
      <w:r w:rsidR="00BA4F1C" w:rsidRPr="00812C16">
        <w:rPr>
          <w:rFonts w:cs="Arial"/>
          <w:lang w:eastAsia="de-DE"/>
        </w:rPr>
        <w:t xml:space="preserve"> und wurde für jede Kovariate b</w:t>
      </w:r>
      <w:r w:rsidR="00167F07" w:rsidRPr="00812C16">
        <w:rPr>
          <w:rFonts w:cs="Arial"/>
          <w:lang w:eastAsia="de-DE"/>
        </w:rPr>
        <w:t>e</w:t>
      </w:r>
      <w:r w:rsidR="00BA4F1C" w:rsidRPr="00812C16">
        <w:rPr>
          <w:rFonts w:cs="Arial"/>
          <w:lang w:eastAsia="de-DE"/>
        </w:rPr>
        <w:t>rech</w:t>
      </w:r>
      <w:r w:rsidR="00167F07" w:rsidRPr="00812C16">
        <w:rPr>
          <w:rFonts w:cs="Arial"/>
          <w:lang w:eastAsia="de-DE"/>
        </w:rPr>
        <w:t>ne</w:t>
      </w:r>
      <w:r w:rsidR="00BA4F1C" w:rsidRPr="00812C16">
        <w:rPr>
          <w:rFonts w:cs="Arial"/>
          <w:lang w:eastAsia="de-DE"/>
        </w:rPr>
        <w:t>t</w:t>
      </w:r>
      <w:r w:rsidR="00B96A17" w:rsidRPr="00812C16">
        <w:rPr>
          <w:rFonts w:cs="Arial"/>
          <w:lang w:eastAsia="de-DE"/>
        </w:rPr>
        <w:t>.</w:t>
      </w:r>
      <w:r w:rsidR="00BA4F1C" w:rsidRPr="00812C16">
        <w:rPr>
          <w:rFonts w:cs="Arial"/>
          <w:lang w:eastAsia="de-DE"/>
        </w:rPr>
        <w:t xml:space="preserve"> = Ris</w:t>
      </w:r>
      <w:r w:rsidR="00EF35C7" w:rsidRPr="00812C16">
        <w:rPr>
          <w:rFonts w:cs="Arial"/>
          <w:lang w:eastAsia="de-DE"/>
        </w:rPr>
        <w:t>i</w:t>
      </w:r>
      <w:r w:rsidR="00BA4F1C" w:rsidRPr="00812C16">
        <w:rPr>
          <w:rFonts w:cs="Arial"/>
          <w:lang w:eastAsia="de-DE"/>
        </w:rPr>
        <w:t xml:space="preserve">ko für das </w:t>
      </w:r>
      <w:r w:rsidR="00EF35C7" w:rsidRPr="00812C16">
        <w:rPr>
          <w:rFonts w:cs="Arial"/>
          <w:lang w:eastAsia="de-DE"/>
        </w:rPr>
        <w:t>Eintreten</w:t>
      </w:r>
      <w:r w:rsidR="00BA4F1C" w:rsidRPr="00812C16">
        <w:rPr>
          <w:rFonts w:cs="Arial"/>
          <w:lang w:eastAsia="de-DE"/>
        </w:rPr>
        <w:t xml:space="preserve"> eines Ereignisses bei dieser Kovariate. Die </w:t>
      </w:r>
      <w:r w:rsidR="00167F07" w:rsidRPr="00812C16">
        <w:rPr>
          <w:rFonts w:cs="Arial"/>
          <w:lang w:eastAsia="de-DE"/>
        </w:rPr>
        <w:t>verschiedenen</w:t>
      </w:r>
      <w:r w:rsidR="00BA4F1C" w:rsidRPr="00812C16">
        <w:rPr>
          <w:rFonts w:cs="Arial"/>
          <w:lang w:eastAsia="de-DE"/>
        </w:rPr>
        <w:t xml:space="preserve"> Interpretationsmöglichkeiten des HR sind in Tabelle angegeben.</w:t>
      </w:r>
    </w:p>
    <w:p w14:paraId="452C1895" w14:textId="7B99D947" w:rsidR="00EF35C7" w:rsidRPr="00812C16" w:rsidRDefault="00EF35C7" w:rsidP="00EF35C7">
      <w:pPr>
        <w:pStyle w:val="Beschriftung"/>
        <w:keepNext/>
        <w:spacing w:after="120" w:line="240" w:lineRule="auto"/>
        <w:rPr>
          <w:b/>
          <w:bCs/>
          <w:i w:val="0"/>
          <w:iCs w:val="0"/>
          <w:color w:val="000000" w:themeColor="text1"/>
          <w:sz w:val="20"/>
          <w:szCs w:val="20"/>
        </w:rPr>
      </w:pPr>
      <w:bookmarkStart w:id="88" w:name="_Toc180788400"/>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10</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Hazard Ratio ist ein deskriptives Maß für das Einflussrisiko im Verhältnis zur Referenzgruppe</w:t>
      </w:r>
      <w:bookmarkEnd w:id="8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BA4F1C" w:rsidRPr="00812C16" w14:paraId="4C47860F" w14:textId="77777777" w:rsidTr="00EF35C7">
        <w:tc>
          <w:tcPr>
            <w:tcW w:w="1555" w:type="dxa"/>
            <w:tcBorders>
              <w:top w:val="single" w:sz="4" w:space="0" w:color="000000" w:themeColor="text1"/>
            </w:tcBorders>
          </w:tcPr>
          <w:p w14:paraId="47B7E239"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 0</w:t>
            </w:r>
          </w:p>
        </w:tc>
        <w:tc>
          <w:tcPr>
            <w:tcW w:w="7507" w:type="dxa"/>
            <w:tcBorders>
              <w:top w:val="single" w:sz="4" w:space="0" w:color="000000" w:themeColor="text1"/>
            </w:tcBorders>
          </w:tcPr>
          <w:p w14:paraId="746E733B" w14:textId="77777777" w:rsidR="00BA4F1C" w:rsidRPr="00812C16" w:rsidRDefault="009A7997" w:rsidP="00EF35C7">
            <w:pPr>
              <w:spacing w:before="60" w:after="60" w:line="360" w:lineRule="auto"/>
              <w:jc w:val="left"/>
              <w:rPr>
                <w:rFonts w:cs="Arial"/>
                <w:sz w:val="20"/>
                <w:szCs w:val="20"/>
                <w:lang w:eastAsia="de-DE"/>
              </w:rPr>
            </w:pPr>
            <w:r w:rsidRPr="00812C16">
              <w:rPr>
                <w:rFonts w:cs="Arial"/>
                <w:sz w:val="20"/>
                <w:szCs w:val="20"/>
                <w:lang w:eastAsia="de-DE"/>
              </w:rPr>
              <w:t>Ereignisrisiko in beiden Gruppen ungefähr gleich</w:t>
            </w:r>
          </w:p>
        </w:tc>
      </w:tr>
      <w:tr w:rsidR="00BA4F1C" w:rsidRPr="00812C16" w14:paraId="605B5451" w14:textId="77777777" w:rsidTr="00EF35C7">
        <w:tc>
          <w:tcPr>
            <w:tcW w:w="1555" w:type="dxa"/>
          </w:tcPr>
          <w:p w14:paraId="6EEECF61"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&gt; 0</w:t>
            </w:r>
          </w:p>
        </w:tc>
        <w:tc>
          <w:tcPr>
            <w:tcW w:w="7507" w:type="dxa"/>
          </w:tcPr>
          <w:p w14:paraId="5A96A596" w14:textId="77777777" w:rsidR="00BA4F1C"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erhöht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schlechteres Überleben (Risikoerhöhung)</w:t>
            </w:r>
          </w:p>
        </w:tc>
      </w:tr>
      <w:tr w:rsidR="00167F07" w:rsidRPr="00812C16" w14:paraId="3ACDA6D0" w14:textId="77777777" w:rsidTr="00EF35C7">
        <w:tc>
          <w:tcPr>
            <w:tcW w:w="1555" w:type="dxa"/>
            <w:tcBorders>
              <w:bottom w:val="single" w:sz="4" w:space="0" w:color="000000" w:themeColor="text1"/>
            </w:tcBorders>
          </w:tcPr>
          <w:p w14:paraId="2ABE85B0" w14:textId="77777777" w:rsidR="00167F07" w:rsidRPr="00812C16" w:rsidRDefault="00167F07" w:rsidP="00EF35C7">
            <w:pPr>
              <w:spacing w:before="60" w:after="60" w:line="360" w:lineRule="auto"/>
              <w:jc w:val="center"/>
              <w:rPr>
                <w:rFonts w:cs="Arial"/>
                <w:sz w:val="20"/>
                <w:szCs w:val="20"/>
                <w:lang w:eastAsia="de-DE"/>
              </w:rPr>
            </w:pPr>
            <w:r w:rsidRPr="00812C16">
              <w:rPr>
                <w:rFonts w:cs="Arial"/>
                <w:sz w:val="20"/>
                <w:szCs w:val="20"/>
                <w:lang w:eastAsia="de-DE"/>
              </w:rPr>
              <w:t>HR &lt; 0</w:t>
            </w:r>
          </w:p>
        </w:tc>
        <w:tc>
          <w:tcPr>
            <w:tcW w:w="7507" w:type="dxa"/>
            <w:tcBorders>
              <w:bottom w:val="single" w:sz="4" w:space="0" w:color="000000" w:themeColor="text1"/>
            </w:tcBorders>
          </w:tcPr>
          <w:p w14:paraId="6A1B77BE" w14:textId="77777777" w:rsidR="00EF35C7"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reduziert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besseres Überleben</w:t>
            </w:r>
            <w:r w:rsidR="00EF35C7" w:rsidRPr="00812C16">
              <w:rPr>
                <w:rFonts w:cs="Arial"/>
                <w:sz w:val="20"/>
                <w:szCs w:val="20"/>
                <w:lang w:eastAsia="de-DE"/>
              </w:rPr>
              <w:t xml:space="preserve"> (Risikoreduktion)</w:t>
            </w:r>
          </w:p>
        </w:tc>
      </w:tr>
    </w:tbl>
    <w:p w14:paraId="7E855DE3" w14:textId="77777777" w:rsidR="00167F07" w:rsidRPr="00812C16" w:rsidRDefault="00C32C20" w:rsidP="00EF35C7">
      <w:pPr>
        <w:spacing w:before="360"/>
        <w:rPr>
          <w:rFonts w:cs="Arial"/>
          <w:lang w:eastAsia="de-DE"/>
        </w:rPr>
      </w:pPr>
      <w:r w:rsidRPr="00812C16">
        <w:rPr>
          <w:rFonts w:cs="Arial"/>
          <w:lang w:eastAsia="de-DE"/>
        </w:rPr>
        <w:t>Cox-Modelle wurden sowohl für die gesa</w:t>
      </w:r>
      <w:r w:rsidR="005F3ACA" w:rsidRPr="00812C16">
        <w:rPr>
          <w:rFonts w:cs="Arial"/>
          <w:lang w:eastAsia="de-DE"/>
        </w:rPr>
        <w:t>m</w:t>
      </w:r>
      <w:r w:rsidRPr="00812C16">
        <w:rPr>
          <w:rFonts w:cs="Arial"/>
          <w:lang w:eastAsia="de-DE"/>
        </w:rPr>
        <w:t>te Patientenkohort</w:t>
      </w:r>
      <w:r w:rsidR="005F3ACA" w:rsidRPr="00812C16">
        <w:rPr>
          <w:rFonts w:cs="Arial"/>
          <w:lang w:eastAsia="de-DE"/>
        </w:rPr>
        <w:t>e</w:t>
      </w:r>
      <w:r w:rsidRPr="00812C16">
        <w:rPr>
          <w:rFonts w:cs="Arial"/>
          <w:lang w:eastAsia="de-DE"/>
        </w:rPr>
        <w:t xml:space="preserve"> als auch für d</w:t>
      </w:r>
      <w:r w:rsidR="005F3ACA" w:rsidRPr="00812C16">
        <w:rPr>
          <w:rFonts w:cs="Arial"/>
          <w:lang w:eastAsia="de-DE"/>
        </w:rPr>
        <w:t>ie</w:t>
      </w:r>
      <w:r w:rsidRPr="00812C16">
        <w:rPr>
          <w:rFonts w:cs="Arial"/>
          <w:lang w:eastAsia="de-DE"/>
        </w:rPr>
        <w:t xml:space="preserve"> Subgruppe mit HPV16 D</w:t>
      </w:r>
      <w:r w:rsidR="00A63D4E" w:rsidRPr="00812C16">
        <w:rPr>
          <w:rFonts w:cs="Arial"/>
          <w:lang w:eastAsia="de-DE"/>
        </w:rPr>
        <w:t>NA-</w:t>
      </w:r>
      <w:r w:rsidRPr="00812C16">
        <w:rPr>
          <w:rFonts w:cs="Arial"/>
          <w:lang w:eastAsia="de-DE"/>
        </w:rPr>
        <w:t>negativen Tumoren</w:t>
      </w:r>
      <w:r w:rsidR="005F3ACA" w:rsidRPr="00812C16">
        <w:rPr>
          <w:rFonts w:cs="Arial"/>
          <w:lang w:eastAsia="de-DE"/>
        </w:rPr>
        <w:t xml:space="preserve"> durchgeführt</w:t>
      </w:r>
      <w:r w:rsidR="00167F07" w:rsidRPr="00812C16">
        <w:rPr>
          <w:rFonts w:cs="Arial"/>
          <w:lang w:eastAsia="de-DE"/>
        </w:rPr>
        <w:t>. Die Ergebnisse sind in zusammengefasst</w:t>
      </w:r>
      <w:r w:rsidR="001D7EF2" w:rsidRPr="00812C16">
        <w:rPr>
          <w:rFonts w:cs="Arial"/>
          <w:lang w:eastAsia="de-DE"/>
        </w:rPr>
        <w:t>.</w:t>
      </w:r>
      <w:r w:rsidR="003C313B" w:rsidRPr="00812C16">
        <w:rPr>
          <w:rFonts w:cs="Arial"/>
          <w:lang w:eastAsia="de-DE"/>
        </w:rPr>
        <w:t xml:space="preserve"> Da bei den Patienten mit HPV16 DNA-negativen Tumoren kein lokales oder regionales Rezidiv eingetreten war, konnten für</w:t>
      </w:r>
      <w:r w:rsidR="00E429BA" w:rsidRPr="00812C16">
        <w:rPr>
          <w:rFonts w:cs="Arial"/>
          <w:lang w:eastAsia="de-DE"/>
        </w:rPr>
        <w:t xml:space="preserve"> den primären Endpunkt in dieser Population </w:t>
      </w:r>
      <w:r w:rsidR="003C313B" w:rsidRPr="00812C16">
        <w:rPr>
          <w:rFonts w:cs="Arial"/>
          <w:lang w:eastAsia="de-DE"/>
        </w:rPr>
        <w:t>keine Ergebnisse für die Cox-Regression ermittelt werden.</w:t>
      </w:r>
    </w:p>
    <w:p w14:paraId="5D6FD5FC" w14:textId="77777777" w:rsidR="003E3174" w:rsidRPr="00812C16" w:rsidRDefault="003E3174" w:rsidP="00CE18DC">
      <w:pPr>
        <w:rPr>
          <w:rFonts w:cs="Arial"/>
          <w:lang w:eastAsia="de-DE"/>
        </w:rPr>
      </w:pPr>
    </w:p>
    <w:p w14:paraId="2670FC97" w14:textId="77777777" w:rsidR="003E3174" w:rsidRPr="00812C16" w:rsidRDefault="003E3174" w:rsidP="00CE18DC">
      <w:pPr>
        <w:rPr>
          <w:rFonts w:cs="Arial"/>
          <w:lang w:eastAsia="de-DE"/>
        </w:rPr>
      </w:pPr>
    </w:p>
    <w:p w14:paraId="5796F0BD" w14:textId="77777777" w:rsidR="003E3174" w:rsidRPr="00812C16" w:rsidRDefault="003E3174" w:rsidP="00CE18DC">
      <w:pPr>
        <w:rPr>
          <w:rFonts w:cs="Arial"/>
          <w:lang w:eastAsia="de-DE"/>
        </w:rPr>
      </w:pPr>
    </w:p>
    <w:p w14:paraId="549E723A" w14:textId="77777777" w:rsidR="003E3174" w:rsidRPr="00812C16" w:rsidRDefault="003E3174" w:rsidP="00CE18DC">
      <w:pPr>
        <w:rPr>
          <w:rFonts w:cs="Arial"/>
          <w:lang w:eastAsia="de-DE"/>
        </w:rPr>
      </w:pPr>
    </w:p>
    <w:p w14:paraId="5D9106AA" w14:textId="16225401" w:rsidR="00167F07" w:rsidRPr="00812C16" w:rsidRDefault="00167F07" w:rsidP="00167F07">
      <w:pPr>
        <w:pStyle w:val="Beschriftung"/>
        <w:spacing w:after="120" w:line="240" w:lineRule="auto"/>
        <w:rPr>
          <w:i w:val="0"/>
          <w:iCs w:val="0"/>
          <w:color w:val="000000" w:themeColor="text1"/>
          <w:sz w:val="20"/>
          <w:szCs w:val="20"/>
          <w:lang w:eastAsia="de-DE"/>
        </w:rPr>
      </w:pPr>
      <w:bookmarkStart w:id="89" w:name="_Toc180788401"/>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11</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Ergebnisse der multivariaten Analyse von CSC-Marker und zusätzliche klinisch-pathologische Prognosefaktoren aller Patienten und für die Subgruppe mit HPV16 DNA-negativen Tumoren. </w:t>
      </w:r>
      <w:r w:rsidRPr="00812C16">
        <w:rPr>
          <w:i w:val="0"/>
          <w:iCs w:val="0"/>
          <w:color w:val="000000" w:themeColor="text1"/>
          <w:sz w:val="20"/>
          <w:szCs w:val="20"/>
        </w:rPr>
        <w:t>HR = Hazard Ratio; 95% KI = 95% Konfidenzintervall.</w:t>
      </w:r>
      <w:bookmarkEnd w:id="89"/>
    </w:p>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5"/>
      </w:tblGrid>
      <w:tr w:rsidR="00167F07" w:rsidRPr="00812C16" w14:paraId="1673BD8A" w14:textId="77777777" w:rsidTr="006678A2">
        <w:tc>
          <w:tcPr>
            <w:tcW w:w="1696" w:type="dxa"/>
            <w:tcBorders>
              <w:top w:val="single" w:sz="4" w:space="0" w:color="000000" w:themeColor="text1"/>
            </w:tcBorders>
          </w:tcPr>
          <w:p w14:paraId="1FB9A1AB"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2F7BE4E7"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3F094C35"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6" w:type="dxa"/>
            <w:gridSpan w:val="2"/>
            <w:tcBorders>
              <w:top w:val="single" w:sz="4" w:space="0" w:color="000000" w:themeColor="text1"/>
            </w:tcBorders>
          </w:tcPr>
          <w:p w14:paraId="62BD625F"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Gesamtüberleben</w:t>
            </w:r>
          </w:p>
        </w:tc>
      </w:tr>
      <w:tr w:rsidR="00167F07" w:rsidRPr="00812C16" w14:paraId="6726DC59" w14:textId="77777777" w:rsidTr="006678A2">
        <w:tc>
          <w:tcPr>
            <w:tcW w:w="1696" w:type="dxa"/>
            <w:tcBorders>
              <w:bottom w:val="single" w:sz="4" w:space="0" w:color="000000" w:themeColor="text1"/>
            </w:tcBorders>
          </w:tcPr>
          <w:p w14:paraId="713B279A" w14:textId="77777777" w:rsidR="00167F07" w:rsidRPr="00812C16" w:rsidRDefault="00167F07" w:rsidP="006678A2">
            <w:pPr>
              <w:spacing w:beforeLines="30" w:before="72" w:afterLines="30" w:after="72"/>
              <w:rPr>
                <w:rFonts w:cs="Arial"/>
                <w:sz w:val="18"/>
                <w:szCs w:val="18"/>
              </w:rPr>
            </w:pPr>
          </w:p>
        </w:tc>
        <w:tc>
          <w:tcPr>
            <w:tcW w:w="1560" w:type="dxa"/>
            <w:tcBorders>
              <w:bottom w:val="single" w:sz="4" w:space="0" w:color="000000" w:themeColor="text1"/>
            </w:tcBorders>
          </w:tcPr>
          <w:p w14:paraId="056B424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7EDB211E"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37926EFD"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7B8B9C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54BACC6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5" w:type="dxa"/>
            <w:tcBorders>
              <w:bottom w:val="single" w:sz="4" w:space="0" w:color="000000" w:themeColor="text1"/>
            </w:tcBorders>
          </w:tcPr>
          <w:p w14:paraId="1D4124A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r>
      <w:tr w:rsidR="00167F07" w:rsidRPr="00812C16" w14:paraId="2C48EBC2" w14:textId="77777777" w:rsidTr="006678A2">
        <w:tc>
          <w:tcPr>
            <w:tcW w:w="9072" w:type="dxa"/>
            <w:gridSpan w:val="7"/>
            <w:tcBorders>
              <w:top w:val="single" w:sz="4" w:space="0" w:color="000000" w:themeColor="text1"/>
              <w:bottom w:val="single" w:sz="4" w:space="0" w:color="000000" w:themeColor="text1"/>
            </w:tcBorders>
          </w:tcPr>
          <w:p w14:paraId="58E03472"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Alle Patienten</w:t>
            </w:r>
          </w:p>
        </w:tc>
      </w:tr>
      <w:tr w:rsidR="00167F07" w:rsidRPr="00812C16" w14:paraId="2FF1A0AD" w14:textId="77777777" w:rsidTr="006678A2">
        <w:tc>
          <w:tcPr>
            <w:tcW w:w="1696" w:type="dxa"/>
            <w:tcBorders>
              <w:top w:val="single" w:sz="4" w:space="0" w:color="000000" w:themeColor="text1"/>
            </w:tcBorders>
          </w:tcPr>
          <w:p w14:paraId="04892C00"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vAlign w:val="bottom"/>
          </w:tcPr>
          <w:p w14:paraId="1D69AA2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4,37 (0,57-33,5)</w:t>
            </w:r>
          </w:p>
        </w:tc>
        <w:tc>
          <w:tcPr>
            <w:tcW w:w="850" w:type="dxa"/>
            <w:tcBorders>
              <w:top w:val="single" w:sz="4" w:space="0" w:color="000000" w:themeColor="text1"/>
            </w:tcBorders>
            <w:vAlign w:val="bottom"/>
          </w:tcPr>
          <w:p w14:paraId="79B1962C"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0,155</w:t>
            </w:r>
          </w:p>
        </w:tc>
        <w:tc>
          <w:tcPr>
            <w:tcW w:w="1559" w:type="dxa"/>
            <w:tcBorders>
              <w:top w:val="single" w:sz="4" w:space="0" w:color="000000" w:themeColor="text1"/>
            </w:tcBorders>
            <w:vAlign w:val="bottom"/>
          </w:tcPr>
          <w:p w14:paraId="2CDB076D"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(0,61-4,63)</w:t>
            </w:r>
          </w:p>
        </w:tc>
        <w:tc>
          <w:tcPr>
            <w:tcW w:w="851" w:type="dxa"/>
            <w:tcBorders>
              <w:top w:val="single" w:sz="4" w:space="0" w:color="000000" w:themeColor="text1"/>
            </w:tcBorders>
            <w:vAlign w:val="bottom"/>
          </w:tcPr>
          <w:p w14:paraId="69B8BABC" w14:textId="77777777" w:rsidR="00167F07" w:rsidRPr="00812C16" w:rsidRDefault="00167F07" w:rsidP="006678A2">
            <w:pPr>
              <w:spacing w:beforeLines="30" w:before="72" w:afterLines="30" w:after="72"/>
              <w:jc w:val="center"/>
              <w:rPr>
                <w:rFonts w:cs="Arial"/>
                <w:b/>
                <w:bCs/>
                <w:sz w:val="18"/>
                <w:szCs w:val="18"/>
              </w:rPr>
            </w:pPr>
            <w:r w:rsidRPr="00812C16">
              <w:rPr>
                <w:sz w:val="18"/>
                <w:szCs w:val="18"/>
                <w:lang w:eastAsia="en-GB"/>
              </w:rPr>
              <w:t>0,318</w:t>
            </w:r>
          </w:p>
        </w:tc>
        <w:tc>
          <w:tcPr>
            <w:tcW w:w="1701" w:type="dxa"/>
            <w:tcBorders>
              <w:top w:val="single" w:sz="4" w:space="0" w:color="000000" w:themeColor="text1"/>
            </w:tcBorders>
            <w:vAlign w:val="bottom"/>
          </w:tcPr>
          <w:p w14:paraId="6EE0ABD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1,07 (0,52-2,20)</w:t>
            </w:r>
          </w:p>
        </w:tc>
        <w:tc>
          <w:tcPr>
            <w:tcW w:w="855" w:type="dxa"/>
            <w:tcBorders>
              <w:top w:val="single" w:sz="4" w:space="0" w:color="000000" w:themeColor="text1"/>
            </w:tcBorders>
            <w:vAlign w:val="bottom"/>
          </w:tcPr>
          <w:p w14:paraId="3C2D4660" w14:textId="77777777" w:rsidR="00167F07" w:rsidRPr="00812C16" w:rsidRDefault="00167F07" w:rsidP="006678A2">
            <w:pPr>
              <w:tabs>
                <w:tab w:val="right" w:pos="601"/>
              </w:tabs>
              <w:spacing w:beforeLines="30" w:before="72" w:afterLines="30" w:after="72"/>
              <w:ind w:left="-108" w:right="-104"/>
              <w:jc w:val="center"/>
              <w:rPr>
                <w:rFonts w:cs="Arial"/>
                <w:b/>
                <w:bCs/>
                <w:sz w:val="18"/>
                <w:szCs w:val="18"/>
              </w:rPr>
            </w:pPr>
            <w:r w:rsidRPr="00812C16">
              <w:rPr>
                <w:sz w:val="18"/>
                <w:szCs w:val="18"/>
                <w:lang w:eastAsia="en-GB"/>
              </w:rPr>
              <w:t>0,866</w:t>
            </w:r>
          </w:p>
        </w:tc>
      </w:tr>
      <w:tr w:rsidR="00167F07" w:rsidRPr="00812C16" w14:paraId="3F10409B" w14:textId="77777777" w:rsidTr="006678A2">
        <w:tc>
          <w:tcPr>
            <w:tcW w:w="1696" w:type="dxa"/>
          </w:tcPr>
          <w:p w14:paraId="63ADD1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HPV16 DNA+**</w:t>
            </w:r>
          </w:p>
        </w:tc>
        <w:tc>
          <w:tcPr>
            <w:tcW w:w="1560" w:type="dxa"/>
            <w:vAlign w:val="bottom"/>
          </w:tcPr>
          <w:p w14:paraId="1E4A4436"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0,20 (0,05-0,91)</w:t>
            </w:r>
          </w:p>
        </w:tc>
        <w:tc>
          <w:tcPr>
            <w:tcW w:w="850" w:type="dxa"/>
            <w:vAlign w:val="bottom"/>
          </w:tcPr>
          <w:p w14:paraId="22278E01" w14:textId="77777777" w:rsidR="00167F07" w:rsidRPr="00812C16" w:rsidRDefault="00167F07" w:rsidP="006678A2">
            <w:pPr>
              <w:spacing w:beforeLines="30" w:before="72" w:afterLines="30" w:after="72"/>
              <w:ind w:left="-111" w:right="-119"/>
              <w:jc w:val="center"/>
              <w:rPr>
                <w:rFonts w:cs="Arial"/>
                <w:sz w:val="18"/>
                <w:szCs w:val="18"/>
              </w:rPr>
            </w:pPr>
            <w:r w:rsidRPr="00812C16">
              <w:rPr>
                <w:b/>
                <w:sz w:val="18"/>
                <w:szCs w:val="18"/>
                <w:lang w:eastAsia="en-GB"/>
              </w:rPr>
              <w:t>0,038</w:t>
            </w:r>
          </w:p>
        </w:tc>
        <w:tc>
          <w:tcPr>
            <w:tcW w:w="1559" w:type="dxa"/>
            <w:vAlign w:val="bottom"/>
          </w:tcPr>
          <w:p w14:paraId="627F93A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0.49 (0,18-1,32)</w:t>
            </w:r>
          </w:p>
        </w:tc>
        <w:tc>
          <w:tcPr>
            <w:tcW w:w="851" w:type="dxa"/>
            <w:vAlign w:val="bottom"/>
          </w:tcPr>
          <w:p w14:paraId="53505EF5"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0,158</w:t>
            </w:r>
          </w:p>
        </w:tc>
        <w:tc>
          <w:tcPr>
            <w:tcW w:w="1701" w:type="dxa"/>
            <w:vAlign w:val="bottom"/>
          </w:tcPr>
          <w:p w14:paraId="4D57CF6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0,32 (0,15-0,67)</w:t>
            </w:r>
          </w:p>
        </w:tc>
        <w:tc>
          <w:tcPr>
            <w:tcW w:w="855" w:type="dxa"/>
            <w:vAlign w:val="bottom"/>
          </w:tcPr>
          <w:p w14:paraId="3CBD23B9" w14:textId="77777777" w:rsidR="00167F07" w:rsidRPr="00812C16" w:rsidRDefault="00167F07" w:rsidP="006678A2">
            <w:pPr>
              <w:spacing w:beforeLines="30" w:before="72" w:afterLines="30" w:after="72"/>
              <w:ind w:left="-113" w:right="-104"/>
              <w:jc w:val="center"/>
              <w:rPr>
                <w:rFonts w:cs="Arial"/>
                <w:b/>
                <w:bCs/>
                <w:sz w:val="18"/>
                <w:szCs w:val="18"/>
              </w:rPr>
            </w:pPr>
            <w:r w:rsidRPr="00812C16">
              <w:rPr>
                <w:b/>
                <w:sz w:val="18"/>
                <w:szCs w:val="18"/>
                <w:lang w:eastAsia="en-GB"/>
              </w:rPr>
              <w:t>0,003</w:t>
            </w:r>
          </w:p>
        </w:tc>
      </w:tr>
      <w:tr w:rsidR="00167F07" w:rsidRPr="00812C16" w14:paraId="529C9E5A" w14:textId="77777777" w:rsidTr="006678A2">
        <w:tc>
          <w:tcPr>
            <w:tcW w:w="1696" w:type="dxa"/>
          </w:tcPr>
          <w:p w14:paraId="6D8B5053"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vAlign w:val="bottom"/>
          </w:tcPr>
          <w:p w14:paraId="14956E13"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1,56 (0,72-3,38)</w:t>
            </w:r>
          </w:p>
        </w:tc>
        <w:tc>
          <w:tcPr>
            <w:tcW w:w="850" w:type="dxa"/>
            <w:vAlign w:val="bottom"/>
          </w:tcPr>
          <w:p w14:paraId="43AC945C"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0,256</w:t>
            </w:r>
          </w:p>
        </w:tc>
        <w:tc>
          <w:tcPr>
            <w:tcW w:w="1559" w:type="dxa"/>
            <w:vAlign w:val="bottom"/>
          </w:tcPr>
          <w:p w14:paraId="4EC475DF"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3.16 (1,50-6,64)</w:t>
            </w:r>
          </w:p>
        </w:tc>
        <w:tc>
          <w:tcPr>
            <w:tcW w:w="851" w:type="dxa"/>
            <w:vAlign w:val="bottom"/>
          </w:tcPr>
          <w:p w14:paraId="61EACDCB"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0,002</w:t>
            </w:r>
          </w:p>
        </w:tc>
        <w:tc>
          <w:tcPr>
            <w:tcW w:w="1701" w:type="dxa"/>
            <w:vAlign w:val="bottom"/>
          </w:tcPr>
          <w:p w14:paraId="07E5C02A"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1,71 (1,03-2,85)</w:t>
            </w:r>
          </w:p>
        </w:tc>
        <w:tc>
          <w:tcPr>
            <w:tcW w:w="855" w:type="dxa"/>
            <w:vAlign w:val="bottom"/>
          </w:tcPr>
          <w:p w14:paraId="1409AF74" w14:textId="77777777" w:rsidR="00167F07" w:rsidRPr="00812C16" w:rsidRDefault="00167F07" w:rsidP="006678A2">
            <w:pPr>
              <w:spacing w:beforeLines="30" w:before="72" w:afterLines="30" w:after="72"/>
              <w:ind w:left="-108" w:right="-104"/>
              <w:jc w:val="center"/>
              <w:rPr>
                <w:rFonts w:cs="Arial"/>
                <w:sz w:val="18"/>
                <w:szCs w:val="18"/>
              </w:rPr>
            </w:pPr>
            <w:r w:rsidRPr="00812C16">
              <w:rPr>
                <w:b/>
                <w:sz w:val="18"/>
                <w:szCs w:val="18"/>
                <w:lang w:eastAsia="en-GB"/>
              </w:rPr>
              <w:t>0,039</w:t>
            </w:r>
          </w:p>
        </w:tc>
      </w:tr>
      <w:tr w:rsidR="00167F07" w:rsidRPr="00812C16" w14:paraId="4EA5C5E5" w14:textId="77777777" w:rsidTr="006678A2">
        <w:tc>
          <w:tcPr>
            <w:tcW w:w="1696" w:type="dxa"/>
          </w:tcPr>
          <w:p w14:paraId="5D73B8C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vAlign w:val="bottom"/>
          </w:tcPr>
          <w:p w14:paraId="3B84EBE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2,11 (0,93-4,75)</w:t>
            </w:r>
          </w:p>
        </w:tc>
        <w:tc>
          <w:tcPr>
            <w:tcW w:w="850" w:type="dxa"/>
            <w:vAlign w:val="bottom"/>
          </w:tcPr>
          <w:p w14:paraId="755B0AE7"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0,073</w:t>
            </w:r>
          </w:p>
        </w:tc>
        <w:tc>
          <w:tcPr>
            <w:tcW w:w="1559" w:type="dxa"/>
            <w:vAlign w:val="bottom"/>
          </w:tcPr>
          <w:p w14:paraId="40BE4823"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2.12 (0,96-4,70)</w:t>
            </w:r>
          </w:p>
        </w:tc>
        <w:tc>
          <w:tcPr>
            <w:tcW w:w="851" w:type="dxa"/>
            <w:vAlign w:val="bottom"/>
          </w:tcPr>
          <w:p w14:paraId="5EE2493E"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0,064</w:t>
            </w:r>
          </w:p>
        </w:tc>
        <w:tc>
          <w:tcPr>
            <w:tcW w:w="1701" w:type="dxa"/>
            <w:vAlign w:val="bottom"/>
          </w:tcPr>
          <w:p w14:paraId="2A20CA4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(0,96-2,94)</w:t>
            </w:r>
          </w:p>
        </w:tc>
        <w:tc>
          <w:tcPr>
            <w:tcW w:w="855" w:type="dxa"/>
            <w:vAlign w:val="bottom"/>
          </w:tcPr>
          <w:p w14:paraId="46FC0DAF"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0,072</w:t>
            </w:r>
          </w:p>
        </w:tc>
      </w:tr>
      <w:tr w:rsidR="00167F07" w:rsidRPr="00812C16" w14:paraId="56581491" w14:textId="77777777" w:rsidTr="006678A2">
        <w:tc>
          <w:tcPr>
            <w:tcW w:w="1696" w:type="dxa"/>
            <w:tcBorders>
              <w:bottom w:val="single" w:sz="4" w:space="0" w:color="000000" w:themeColor="text1"/>
            </w:tcBorders>
          </w:tcPr>
          <w:p w14:paraId="48A5BB6E"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vAlign w:val="bottom"/>
          </w:tcPr>
          <w:p w14:paraId="1914519E"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0,73 (0,20-2,66)</w:t>
            </w:r>
          </w:p>
        </w:tc>
        <w:tc>
          <w:tcPr>
            <w:tcW w:w="850" w:type="dxa"/>
            <w:tcBorders>
              <w:bottom w:val="single" w:sz="4" w:space="0" w:color="000000" w:themeColor="text1"/>
            </w:tcBorders>
            <w:vAlign w:val="bottom"/>
          </w:tcPr>
          <w:p w14:paraId="3B8BC808" w14:textId="77777777" w:rsidR="00167F07" w:rsidRPr="00812C16" w:rsidRDefault="00167F07" w:rsidP="006678A2">
            <w:pPr>
              <w:spacing w:beforeLines="30" w:before="72" w:afterLines="30" w:after="72"/>
              <w:ind w:left="-110" w:right="-119"/>
              <w:jc w:val="center"/>
              <w:rPr>
                <w:rFonts w:cs="Arial"/>
                <w:sz w:val="18"/>
                <w:szCs w:val="18"/>
              </w:rPr>
            </w:pPr>
            <w:r w:rsidRPr="00812C16">
              <w:rPr>
                <w:sz w:val="18"/>
                <w:szCs w:val="18"/>
                <w:lang w:eastAsia="en-GB"/>
              </w:rPr>
              <w:t>0,628</w:t>
            </w:r>
          </w:p>
        </w:tc>
        <w:tc>
          <w:tcPr>
            <w:tcW w:w="1559" w:type="dxa"/>
            <w:tcBorders>
              <w:bottom w:val="single" w:sz="4" w:space="0" w:color="000000" w:themeColor="text1"/>
            </w:tcBorders>
            <w:vAlign w:val="bottom"/>
          </w:tcPr>
          <w:p w14:paraId="7C85A62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3.47 (1,44-8,36)</w:t>
            </w:r>
          </w:p>
        </w:tc>
        <w:tc>
          <w:tcPr>
            <w:tcW w:w="851" w:type="dxa"/>
            <w:tcBorders>
              <w:bottom w:val="single" w:sz="4" w:space="0" w:color="000000" w:themeColor="text1"/>
            </w:tcBorders>
            <w:vAlign w:val="bottom"/>
          </w:tcPr>
          <w:p w14:paraId="2E434E47"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0,005</w:t>
            </w:r>
          </w:p>
        </w:tc>
        <w:tc>
          <w:tcPr>
            <w:tcW w:w="1701" w:type="dxa"/>
            <w:tcBorders>
              <w:bottom w:val="single" w:sz="4" w:space="0" w:color="000000" w:themeColor="text1"/>
            </w:tcBorders>
            <w:vAlign w:val="bottom"/>
          </w:tcPr>
          <w:p w14:paraId="671ED13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0,74 (0,33-1,63)</w:t>
            </w:r>
          </w:p>
        </w:tc>
        <w:tc>
          <w:tcPr>
            <w:tcW w:w="855" w:type="dxa"/>
            <w:tcBorders>
              <w:bottom w:val="single" w:sz="4" w:space="0" w:color="000000" w:themeColor="text1"/>
            </w:tcBorders>
            <w:vAlign w:val="bottom"/>
          </w:tcPr>
          <w:p w14:paraId="244DC3AA"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0,449</w:t>
            </w:r>
          </w:p>
        </w:tc>
      </w:tr>
      <w:tr w:rsidR="00167F07" w:rsidRPr="00812C16" w14:paraId="58CA5826" w14:textId="77777777" w:rsidTr="006678A2">
        <w:tc>
          <w:tcPr>
            <w:tcW w:w="9072" w:type="dxa"/>
            <w:gridSpan w:val="7"/>
            <w:tcBorders>
              <w:top w:val="single" w:sz="4" w:space="0" w:color="000000" w:themeColor="text1"/>
              <w:bottom w:val="single" w:sz="4" w:space="0" w:color="000000" w:themeColor="text1"/>
            </w:tcBorders>
          </w:tcPr>
          <w:p w14:paraId="0C19E747"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Subgruppe mit HPV16 DNA-negativen Tumoren</w:t>
            </w:r>
          </w:p>
        </w:tc>
      </w:tr>
      <w:tr w:rsidR="00167F07" w:rsidRPr="00812C16" w14:paraId="78A89AB6" w14:textId="77777777" w:rsidTr="006678A2">
        <w:tc>
          <w:tcPr>
            <w:tcW w:w="1696" w:type="dxa"/>
            <w:tcBorders>
              <w:top w:val="single" w:sz="4" w:space="0" w:color="000000" w:themeColor="text1"/>
            </w:tcBorders>
          </w:tcPr>
          <w:p w14:paraId="65A47CF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tcPr>
          <w:p w14:paraId="725B4E1F"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top w:val="single" w:sz="4" w:space="0" w:color="000000" w:themeColor="text1"/>
            </w:tcBorders>
          </w:tcPr>
          <w:p w14:paraId="33D0EA28" w14:textId="77777777" w:rsidR="00167F07" w:rsidRPr="00812C16" w:rsidRDefault="00167F07" w:rsidP="006678A2">
            <w:pPr>
              <w:tabs>
                <w:tab w:val="left" w:pos="315"/>
              </w:tabs>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top w:val="single" w:sz="4" w:space="0" w:color="000000" w:themeColor="text1"/>
            </w:tcBorders>
          </w:tcPr>
          <w:p w14:paraId="70B3D3C6" w14:textId="77777777" w:rsidR="00167F07" w:rsidRPr="00812C16" w:rsidRDefault="00167F07" w:rsidP="006678A2">
            <w:pPr>
              <w:spacing w:beforeLines="30" w:before="72" w:afterLines="30" w:after="72"/>
              <w:rPr>
                <w:rFonts w:cs="Arial"/>
                <w:sz w:val="18"/>
                <w:szCs w:val="18"/>
              </w:rPr>
            </w:pPr>
            <w:r w:rsidRPr="00812C16">
              <w:rPr>
                <w:rFonts w:cs="Arial"/>
                <w:sz w:val="18"/>
                <w:szCs w:val="18"/>
              </w:rPr>
              <w:t>1,64 (0,60-4,52)</w:t>
            </w:r>
          </w:p>
        </w:tc>
        <w:tc>
          <w:tcPr>
            <w:tcW w:w="851" w:type="dxa"/>
            <w:tcBorders>
              <w:top w:val="single" w:sz="4" w:space="0" w:color="000000" w:themeColor="text1"/>
            </w:tcBorders>
          </w:tcPr>
          <w:p w14:paraId="3DD04B9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0,339</w:t>
            </w:r>
          </w:p>
        </w:tc>
        <w:tc>
          <w:tcPr>
            <w:tcW w:w="1701" w:type="dxa"/>
            <w:tcBorders>
              <w:top w:val="single" w:sz="4" w:space="0" w:color="000000" w:themeColor="text1"/>
            </w:tcBorders>
          </w:tcPr>
          <w:p w14:paraId="7AEFBE3B"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1,06 (0,51-2,19)</w:t>
            </w:r>
          </w:p>
        </w:tc>
        <w:tc>
          <w:tcPr>
            <w:tcW w:w="855" w:type="dxa"/>
            <w:tcBorders>
              <w:top w:val="single" w:sz="4" w:space="0" w:color="000000" w:themeColor="text1"/>
            </w:tcBorders>
          </w:tcPr>
          <w:p w14:paraId="5A61E55A" w14:textId="77777777" w:rsidR="00167F07" w:rsidRPr="00812C16" w:rsidRDefault="00167F07" w:rsidP="006678A2">
            <w:pPr>
              <w:spacing w:beforeLines="30" w:before="72" w:afterLines="30" w:after="72"/>
              <w:ind w:left="-108" w:right="-104"/>
              <w:jc w:val="center"/>
              <w:rPr>
                <w:rFonts w:cs="Arial"/>
                <w:sz w:val="18"/>
                <w:szCs w:val="18"/>
              </w:rPr>
            </w:pPr>
            <w:r w:rsidRPr="00812C16">
              <w:rPr>
                <w:rFonts w:cs="Arial"/>
                <w:sz w:val="18"/>
                <w:szCs w:val="18"/>
              </w:rPr>
              <w:t>0,872</w:t>
            </w:r>
          </w:p>
        </w:tc>
      </w:tr>
      <w:tr w:rsidR="00566B51" w:rsidRPr="00812C16" w14:paraId="41C092EF" w14:textId="77777777" w:rsidTr="006678A2">
        <w:tc>
          <w:tcPr>
            <w:tcW w:w="1696" w:type="dxa"/>
          </w:tcPr>
          <w:p w14:paraId="77444355" w14:textId="77777777" w:rsidR="00167F07" w:rsidRPr="00812C16" w:rsidRDefault="00167F07" w:rsidP="006678A2">
            <w:pPr>
              <w:spacing w:beforeLines="30" w:before="72" w:afterLines="30" w:after="72"/>
              <w:jc w:val="left"/>
              <w:rPr>
                <w:rFonts w:cs="Arial"/>
                <w:strike/>
                <w:sz w:val="18"/>
                <w:szCs w:val="18"/>
              </w:rPr>
            </w:pPr>
            <w:r w:rsidRPr="00812C16">
              <w:rPr>
                <w:rFonts w:cs="Arial"/>
                <w:strike/>
                <w:sz w:val="18"/>
                <w:szCs w:val="18"/>
              </w:rPr>
              <w:t xml:space="preserve">HPV16 DNA </w:t>
            </w:r>
          </w:p>
        </w:tc>
        <w:tc>
          <w:tcPr>
            <w:tcW w:w="1560" w:type="dxa"/>
          </w:tcPr>
          <w:p w14:paraId="10D8009A" w14:textId="77777777" w:rsidR="00167F07" w:rsidRPr="00812C16" w:rsidRDefault="00167F07" w:rsidP="006678A2">
            <w:pPr>
              <w:pStyle w:val="Listenabsatz"/>
              <w:spacing w:beforeLines="30" w:before="72" w:afterLines="30" w:after="72"/>
              <w:jc w:val="center"/>
              <w:rPr>
                <w:rFonts w:cs="Arial"/>
                <w:strike/>
                <w:sz w:val="18"/>
                <w:szCs w:val="18"/>
              </w:rPr>
            </w:pPr>
          </w:p>
        </w:tc>
        <w:tc>
          <w:tcPr>
            <w:tcW w:w="850" w:type="dxa"/>
          </w:tcPr>
          <w:p w14:paraId="499BDD00" w14:textId="77777777" w:rsidR="00167F07" w:rsidRPr="00812C16" w:rsidRDefault="00167F07" w:rsidP="006678A2">
            <w:pPr>
              <w:spacing w:beforeLines="30" w:before="72" w:afterLines="30" w:after="72"/>
              <w:ind w:left="-110" w:right="-193"/>
              <w:jc w:val="center"/>
              <w:rPr>
                <w:rFonts w:cs="Arial"/>
                <w:strike/>
                <w:sz w:val="18"/>
                <w:szCs w:val="18"/>
              </w:rPr>
            </w:pPr>
          </w:p>
        </w:tc>
        <w:tc>
          <w:tcPr>
            <w:tcW w:w="1559" w:type="dxa"/>
          </w:tcPr>
          <w:p w14:paraId="7B7A26A8" w14:textId="77777777" w:rsidR="00167F07" w:rsidRPr="00812C16" w:rsidRDefault="00167F07" w:rsidP="006678A2">
            <w:pPr>
              <w:pStyle w:val="Listenabsatz"/>
              <w:spacing w:beforeLines="30" w:before="72" w:afterLines="30" w:after="72"/>
              <w:rPr>
                <w:rFonts w:cs="Arial"/>
                <w:strike/>
                <w:sz w:val="18"/>
                <w:szCs w:val="18"/>
              </w:rPr>
            </w:pPr>
          </w:p>
        </w:tc>
        <w:tc>
          <w:tcPr>
            <w:tcW w:w="851" w:type="dxa"/>
          </w:tcPr>
          <w:p w14:paraId="1829FD2F" w14:textId="77777777" w:rsidR="00167F07" w:rsidRPr="00812C16" w:rsidRDefault="00167F07" w:rsidP="006678A2">
            <w:pPr>
              <w:pStyle w:val="Listenabsatz"/>
              <w:spacing w:beforeLines="30" w:before="72" w:afterLines="30" w:after="72"/>
              <w:rPr>
                <w:rFonts w:cs="Arial"/>
                <w:strike/>
                <w:sz w:val="18"/>
                <w:szCs w:val="18"/>
              </w:rPr>
            </w:pPr>
          </w:p>
        </w:tc>
        <w:tc>
          <w:tcPr>
            <w:tcW w:w="1701" w:type="dxa"/>
          </w:tcPr>
          <w:p w14:paraId="1DE2BB2F" w14:textId="77777777" w:rsidR="00167F07" w:rsidRPr="00812C16" w:rsidRDefault="00167F07" w:rsidP="006678A2">
            <w:pPr>
              <w:pStyle w:val="Listenabsatz"/>
              <w:tabs>
                <w:tab w:val="right" w:pos="330"/>
                <w:tab w:val="right" w:pos="1181"/>
                <w:tab w:val="right" w:pos="1322"/>
              </w:tabs>
              <w:spacing w:beforeLines="30" w:before="72" w:afterLines="30" w:after="72"/>
              <w:jc w:val="center"/>
              <w:rPr>
                <w:rFonts w:cs="Arial"/>
                <w:strike/>
                <w:sz w:val="18"/>
                <w:szCs w:val="18"/>
              </w:rPr>
            </w:pPr>
          </w:p>
        </w:tc>
        <w:tc>
          <w:tcPr>
            <w:tcW w:w="855" w:type="dxa"/>
          </w:tcPr>
          <w:p w14:paraId="1E33BC03" w14:textId="77777777" w:rsidR="00167F07" w:rsidRPr="00812C16" w:rsidRDefault="00167F07" w:rsidP="006678A2">
            <w:pPr>
              <w:pStyle w:val="Listenabsatz"/>
              <w:spacing w:beforeLines="30" w:before="72" w:afterLines="30" w:after="72"/>
              <w:rPr>
                <w:rFonts w:cs="Arial"/>
                <w:strike/>
                <w:sz w:val="18"/>
                <w:szCs w:val="18"/>
              </w:rPr>
            </w:pPr>
          </w:p>
        </w:tc>
      </w:tr>
      <w:tr w:rsidR="00167F07" w:rsidRPr="00812C16" w14:paraId="28ECD226" w14:textId="77777777" w:rsidTr="006678A2">
        <w:tc>
          <w:tcPr>
            <w:tcW w:w="1696" w:type="dxa"/>
          </w:tcPr>
          <w:p w14:paraId="13D1BE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tcPr>
          <w:p w14:paraId="70853E7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42BB1807"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1E959D7C" w14:textId="77777777" w:rsidR="00167F07" w:rsidRPr="00812C16" w:rsidRDefault="00167F07" w:rsidP="006678A2">
            <w:pPr>
              <w:spacing w:beforeLines="30" w:before="72" w:afterLines="30" w:after="72"/>
              <w:rPr>
                <w:rFonts w:cs="Arial"/>
                <w:sz w:val="18"/>
                <w:szCs w:val="18"/>
              </w:rPr>
            </w:pPr>
            <w:r w:rsidRPr="00812C16">
              <w:rPr>
                <w:rFonts w:cs="Arial"/>
                <w:sz w:val="18"/>
                <w:szCs w:val="18"/>
              </w:rPr>
              <w:t>3,12 (1,49-6,55)</w:t>
            </w:r>
          </w:p>
        </w:tc>
        <w:tc>
          <w:tcPr>
            <w:tcW w:w="851" w:type="dxa"/>
          </w:tcPr>
          <w:p w14:paraId="6CC768D3"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0,003</w:t>
            </w:r>
          </w:p>
        </w:tc>
        <w:tc>
          <w:tcPr>
            <w:tcW w:w="1701" w:type="dxa"/>
          </w:tcPr>
          <w:p w14:paraId="390D4B22"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1,72 (1,03-2,88)</w:t>
            </w:r>
          </w:p>
        </w:tc>
        <w:tc>
          <w:tcPr>
            <w:tcW w:w="855" w:type="dxa"/>
          </w:tcPr>
          <w:p w14:paraId="4E082128" w14:textId="77777777" w:rsidR="00167F07" w:rsidRPr="00812C16" w:rsidRDefault="00167F07" w:rsidP="006678A2">
            <w:pPr>
              <w:spacing w:beforeLines="30" w:before="72" w:afterLines="30" w:after="72"/>
              <w:ind w:left="-108" w:right="-104"/>
              <w:jc w:val="center"/>
              <w:rPr>
                <w:rFonts w:cs="Arial"/>
                <w:b/>
                <w:bCs/>
                <w:sz w:val="18"/>
                <w:szCs w:val="18"/>
              </w:rPr>
            </w:pPr>
            <w:r w:rsidRPr="00812C16">
              <w:rPr>
                <w:rFonts w:cs="Arial"/>
                <w:b/>
                <w:bCs/>
                <w:sz w:val="18"/>
                <w:szCs w:val="18"/>
              </w:rPr>
              <w:t>0,037</w:t>
            </w:r>
          </w:p>
        </w:tc>
      </w:tr>
      <w:tr w:rsidR="00167F07" w:rsidRPr="00812C16" w14:paraId="04B7EDE9" w14:textId="77777777" w:rsidTr="00DD0091">
        <w:tc>
          <w:tcPr>
            <w:tcW w:w="1696" w:type="dxa"/>
          </w:tcPr>
          <w:p w14:paraId="2046D4BF"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tcPr>
          <w:p w14:paraId="585C6E2A"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6CFB25BC"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79E38D63"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0,62 (0,27-1,42)</w:t>
            </w:r>
          </w:p>
        </w:tc>
        <w:tc>
          <w:tcPr>
            <w:tcW w:w="851" w:type="dxa"/>
          </w:tcPr>
          <w:p w14:paraId="29B404FB"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0,257</w:t>
            </w:r>
          </w:p>
        </w:tc>
        <w:tc>
          <w:tcPr>
            <w:tcW w:w="1701" w:type="dxa"/>
          </w:tcPr>
          <w:p w14:paraId="7A2FC7F4"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2,27 (1,01-5,12)</w:t>
            </w:r>
          </w:p>
        </w:tc>
        <w:tc>
          <w:tcPr>
            <w:tcW w:w="855" w:type="dxa"/>
          </w:tcPr>
          <w:p w14:paraId="1616D361"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0,048</w:t>
            </w:r>
          </w:p>
        </w:tc>
      </w:tr>
      <w:tr w:rsidR="00167F07" w:rsidRPr="00812C16" w14:paraId="2F5C2AAC" w14:textId="77777777" w:rsidTr="00DD0091">
        <w:tc>
          <w:tcPr>
            <w:tcW w:w="1696" w:type="dxa"/>
            <w:tcBorders>
              <w:bottom w:val="single" w:sz="4" w:space="0" w:color="000000" w:themeColor="text1"/>
            </w:tcBorders>
          </w:tcPr>
          <w:p w14:paraId="1F2EA391"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tcPr>
          <w:p w14:paraId="5B45B3B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bottom w:val="single" w:sz="4" w:space="0" w:color="000000" w:themeColor="text1"/>
            </w:tcBorders>
          </w:tcPr>
          <w:p w14:paraId="1C0B41C1"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bottom w:val="single" w:sz="4" w:space="0" w:color="000000" w:themeColor="text1"/>
            </w:tcBorders>
          </w:tcPr>
          <w:p w14:paraId="76E64248"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0,30 (0,12-0,71)</w:t>
            </w:r>
          </w:p>
        </w:tc>
        <w:tc>
          <w:tcPr>
            <w:tcW w:w="851" w:type="dxa"/>
            <w:tcBorders>
              <w:bottom w:val="single" w:sz="4" w:space="0" w:color="000000" w:themeColor="text1"/>
            </w:tcBorders>
          </w:tcPr>
          <w:p w14:paraId="7A89B4B2"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0,006</w:t>
            </w:r>
          </w:p>
        </w:tc>
        <w:tc>
          <w:tcPr>
            <w:tcW w:w="1701" w:type="dxa"/>
            <w:tcBorders>
              <w:bottom w:val="single" w:sz="4" w:space="0" w:color="000000" w:themeColor="text1"/>
            </w:tcBorders>
          </w:tcPr>
          <w:p w14:paraId="0FE60A47"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1,37 (0,62-3,05)</w:t>
            </w:r>
          </w:p>
        </w:tc>
        <w:tc>
          <w:tcPr>
            <w:tcW w:w="855" w:type="dxa"/>
            <w:tcBorders>
              <w:bottom w:val="single" w:sz="4" w:space="0" w:color="000000" w:themeColor="text1"/>
            </w:tcBorders>
          </w:tcPr>
          <w:p w14:paraId="0724F1C8"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0,435</w:t>
            </w:r>
          </w:p>
        </w:tc>
      </w:tr>
      <w:tr w:rsidR="00167F07" w:rsidRPr="00812C16" w14:paraId="42B3ADAC" w14:textId="77777777" w:rsidTr="00DD0091">
        <w:tc>
          <w:tcPr>
            <w:tcW w:w="9072" w:type="dxa"/>
            <w:gridSpan w:val="7"/>
            <w:tcBorders>
              <w:top w:val="single" w:sz="4" w:space="0" w:color="000000" w:themeColor="text1"/>
            </w:tcBorders>
          </w:tcPr>
          <w:p w14:paraId="7DDDD7FB" w14:textId="3BC5AFD0" w:rsidR="00167F07" w:rsidRPr="00812C16" w:rsidRDefault="00167F07" w:rsidP="006678A2">
            <w:pPr>
              <w:spacing w:beforeLines="30" w:before="72" w:afterLines="30" w:after="72"/>
              <w:jc w:val="left"/>
              <w:rPr>
                <w:rFonts w:cs="Arial"/>
                <w:sz w:val="18"/>
                <w:szCs w:val="18"/>
              </w:rPr>
            </w:pPr>
            <w:r w:rsidRPr="00812C16">
              <w:rPr>
                <w:rFonts w:cs="Arial"/>
                <w:sz w:val="18"/>
                <w:szCs w:val="18"/>
              </w:rPr>
              <w:t xml:space="preserve">*  Da es kein Ereignis in der CD44 negativen Gruppe gab (siehe </w:t>
            </w:r>
            <w:r w:rsidRPr="00812C16">
              <w:rPr>
                <w:rFonts w:cs="Arial"/>
                <w:sz w:val="18"/>
                <w:szCs w:val="18"/>
              </w:rPr>
              <w:fldChar w:fldCharType="begin"/>
            </w:r>
            <w:r w:rsidRPr="00812C16">
              <w:rPr>
                <w:rFonts w:cs="Arial"/>
                <w:sz w:val="18"/>
                <w:szCs w:val="18"/>
              </w:rPr>
              <w:instrText xml:space="preserve"> REF _Ref90825960 \h  \* MERGEFORMAT </w:instrText>
            </w:r>
            <w:r w:rsidRPr="00812C16">
              <w:rPr>
                <w:rFonts w:cs="Arial"/>
                <w:sz w:val="18"/>
                <w:szCs w:val="18"/>
              </w:rPr>
            </w:r>
            <w:r w:rsidRPr="00812C16">
              <w:rPr>
                <w:rFonts w:cs="Arial"/>
                <w:sz w:val="18"/>
                <w:szCs w:val="18"/>
              </w:rPr>
              <w:fldChar w:fldCharType="separate"/>
            </w:r>
            <w:r w:rsidR="00F67803" w:rsidRPr="00F67803">
              <w:rPr>
                <w:color w:val="000000" w:themeColor="text1"/>
                <w:sz w:val="18"/>
                <w:szCs w:val="18"/>
              </w:rPr>
              <w:t xml:space="preserve">Tabelle </w:t>
            </w:r>
            <w:r w:rsidR="00F67803" w:rsidRPr="00F67803">
              <w:rPr>
                <w:noProof/>
                <w:color w:val="000000" w:themeColor="text1"/>
                <w:sz w:val="18"/>
                <w:szCs w:val="18"/>
              </w:rPr>
              <w:t>4</w:t>
            </w:r>
            <w:r w:rsidR="00F67803" w:rsidRPr="00F67803">
              <w:rPr>
                <w:noProof/>
                <w:color w:val="000000" w:themeColor="text1"/>
                <w:sz w:val="18"/>
                <w:szCs w:val="18"/>
              </w:rPr>
              <w:noBreakHyphen/>
              <w:t>7</w:t>
            </w:r>
            <w:r w:rsidRPr="00812C16">
              <w:rPr>
                <w:rFonts w:cs="Arial"/>
                <w:sz w:val="18"/>
                <w:szCs w:val="18"/>
              </w:rPr>
              <w:fldChar w:fldCharType="end"/>
            </w:r>
            <w:r w:rsidRPr="00812C16">
              <w:rPr>
                <w:rFonts w:cs="Arial"/>
                <w:sz w:val="18"/>
                <w:szCs w:val="18"/>
              </w:rPr>
              <w:t>)</w:t>
            </w:r>
          </w:p>
        </w:tc>
      </w:tr>
      <w:tr w:rsidR="00566B51" w:rsidRPr="004B2E0C" w14:paraId="4B99433D" w14:textId="77777777" w:rsidTr="00DD0091">
        <w:tc>
          <w:tcPr>
            <w:tcW w:w="9072" w:type="dxa"/>
            <w:gridSpan w:val="7"/>
          </w:tcPr>
          <w:p w14:paraId="021A7222" w14:textId="77777777" w:rsidR="00566B51" w:rsidRPr="00812C16" w:rsidRDefault="00566B51" w:rsidP="00566B51">
            <w:pPr>
              <w:rPr>
                <w:sz w:val="18"/>
                <w:szCs w:val="18"/>
                <w:lang w:val="en-US" w:eastAsia="de-DE"/>
              </w:rPr>
            </w:pPr>
            <w:r w:rsidRPr="00812C16">
              <w:rPr>
                <w:sz w:val="18"/>
                <w:szCs w:val="18"/>
                <w:lang w:val="en-US" w:eastAsia="de-DE"/>
              </w:rPr>
              <w:t>** vs. Other HPV- bzw. *CD44 -</w:t>
            </w:r>
          </w:p>
        </w:tc>
      </w:tr>
    </w:tbl>
    <w:p w14:paraId="51B5608A" w14:textId="77777777" w:rsidR="00AB3A29" w:rsidRPr="00812C16" w:rsidRDefault="005F3ACA" w:rsidP="00402210">
      <w:pPr>
        <w:spacing w:before="360"/>
        <w:rPr>
          <w:rFonts w:cs="Arial"/>
          <w:lang w:eastAsia="de-DE"/>
        </w:rPr>
      </w:pPr>
      <w:r w:rsidRPr="00812C16">
        <w:rPr>
          <w:rFonts w:cs="Arial"/>
          <w:lang w:eastAsia="de-DE"/>
        </w:rPr>
        <w:t xml:space="preserve">In beiden </w:t>
      </w:r>
      <w:r w:rsidR="00E429BA" w:rsidRPr="00812C16">
        <w:rPr>
          <w:rFonts w:cs="Arial"/>
          <w:lang w:eastAsia="de-DE"/>
        </w:rPr>
        <w:t>Kohorten</w:t>
      </w:r>
      <w:r w:rsidRPr="00812C16">
        <w:rPr>
          <w:rFonts w:cs="Arial"/>
          <w:lang w:eastAsia="de-DE"/>
        </w:rPr>
        <w:t xml:space="preserve"> zeigten </w:t>
      </w:r>
      <w:r w:rsidR="001D7EF2" w:rsidRPr="00812C16">
        <w:rPr>
          <w:rFonts w:cs="Arial"/>
          <w:lang w:eastAsia="de-DE"/>
        </w:rPr>
        <w:t>multivariaten Analyse</w:t>
      </w:r>
      <w:r w:rsidR="00566B51" w:rsidRPr="00812C16">
        <w:rPr>
          <w:rFonts w:cs="Arial"/>
          <w:lang w:eastAsia="de-DE"/>
        </w:rPr>
        <w:t>n</w:t>
      </w:r>
      <w:r w:rsidR="001D7EF2" w:rsidRPr="00812C16">
        <w:rPr>
          <w:rFonts w:cs="Arial"/>
          <w:lang w:eastAsia="de-DE"/>
        </w:rPr>
        <w:t xml:space="preserve"> </w:t>
      </w:r>
      <w:r w:rsidRPr="00812C16">
        <w:rPr>
          <w:rFonts w:cs="Arial"/>
          <w:lang w:eastAsia="de-DE"/>
        </w:rPr>
        <w:t>für</w:t>
      </w:r>
      <w:r w:rsidR="001D7EF2" w:rsidRPr="00812C16">
        <w:rPr>
          <w:rFonts w:cs="Arial"/>
          <w:lang w:eastAsia="de-DE"/>
        </w:rPr>
        <w:t xml:space="preserve"> </w:t>
      </w:r>
      <w:r w:rsidR="001D7EF2" w:rsidRPr="00812C16">
        <w:rPr>
          <w:rFonts w:cs="Arial"/>
          <w:b/>
          <w:bCs/>
          <w:lang w:eastAsia="de-DE"/>
        </w:rPr>
        <w:t>CD44-Protein</w:t>
      </w:r>
      <w:r w:rsidR="001D7EF2" w:rsidRPr="00812C16">
        <w:rPr>
          <w:rFonts w:cs="Arial"/>
          <w:lang w:eastAsia="de-DE"/>
        </w:rPr>
        <w:t xml:space="preserve"> keinen signifikanten Zusammenhang mit einem der drei Endpunkte</w:t>
      </w:r>
      <w:r w:rsidR="0017505B" w:rsidRPr="00812C16">
        <w:rPr>
          <w:rFonts w:cs="Arial"/>
          <w:lang w:eastAsia="de-DE"/>
        </w:rPr>
        <w:t>.</w:t>
      </w:r>
      <w:r w:rsidRPr="00812C16">
        <w:rPr>
          <w:rFonts w:cs="Arial"/>
          <w:lang w:eastAsia="de-DE"/>
        </w:rPr>
        <w:t xml:space="preserve"> </w:t>
      </w:r>
      <w:r w:rsidR="007A1228" w:rsidRPr="00812C16">
        <w:rPr>
          <w:rFonts w:cs="Arial"/>
          <w:lang w:eastAsia="de-DE"/>
        </w:rPr>
        <w:t xml:space="preserve">Patienten mit einem </w:t>
      </w:r>
      <w:r w:rsidR="000E4A4F" w:rsidRPr="00812C16">
        <w:rPr>
          <w:rFonts w:cs="Arial"/>
          <w:b/>
          <w:bCs/>
          <w:lang w:eastAsia="de-DE"/>
        </w:rPr>
        <w:t>HPV16</w:t>
      </w:r>
      <w:r w:rsidR="000E4A4F" w:rsidRPr="00812C16">
        <w:rPr>
          <w:rFonts w:cs="Arial"/>
          <w:lang w:eastAsia="de-DE"/>
        </w:rPr>
        <w:t xml:space="preserve"> </w:t>
      </w:r>
      <w:r w:rsidR="00566B51" w:rsidRPr="00812C16">
        <w:rPr>
          <w:rFonts w:cs="Arial"/>
          <w:lang w:eastAsia="de-DE"/>
        </w:rPr>
        <w:t>DNA</w:t>
      </w:r>
      <w:r w:rsidR="002C105F" w:rsidRPr="00812C16">
        <w:rPr>
          <w:rFonts w:cs="Arial"/>
          <w:lang w:eastAsia="de-DE"/>
        </w:rPr>
        <w:t>-</w:t>
      </w:r>
      <w:r w:rsidR="000E4A4F" w:rsidRPr="00812C16">
        <w:rPr>
          <w:rFonts w:cs="Arial"/>
          <w:lang w:eastAsia="de-DE"/>
        </w:rPr>
        <w:t>positiven Tumor</w:t>
      </w:r>
      <w:r w:rsidR="007A1228" w:rsidRPr="00812C16">
        <w:rPr>
          <w:rFonts w:cs="Arial"/>
          <w:lang w:eastAsia="de-DE"/>
        </w:rPr>
        <w:t xml:space="preserve"> hatten</w:t>
      </w:r>
      <w:r w:rsidR="002C105F" w:rsidRPr="00812C16">
        <w:rPr>
          <w:rFonts w:cs="Arial"/>
          <w:lang w:eastAsia="de-DE"/>
        </w:rPr>
        <w:t xml:space="preserve"> schätzungsweise</w:t>
      </w:r>
      <w:r w:rsidR="007A1228" w:rsidRPr="00812C16">
        <w:rPr>
          <w:rFonts w:cs="Arial"/>
          <w:lang w:eastAsia="de-DE"/>
        </w:rPr>
        <w:t xml:space="preserve"> ein um </w:t>
      </w:r>
      <w:r w:rsidR="000E4A4F" w:rsidRPr="00812C16">
        <w:rPr>
          <w:rFonts w:cs="Arial"/>
          <w:lang w:eastAsia="de-DE"/>
        </w:rPr>
        <w:t>80</w:t>
      </w:r>
      <w:r w:rsidR="007A1228" w:rsidRPr="00812C16">
        <w:rPr>
          <w:rFonts w:cs="Arial"/>
          <w:lang w:eastAsia="de-DE"/>
        </w:rPr>
        <w:t>%</w:t>
      </w:r>
      <w:r w:rsidR="000E4A4F" w:rsidRPr="00812C16">
        <w:rPr>
          <w:rFonts w:cs="Arial"/>
          <w:lang w:eastAsia="de-DE"/>
        </w:rPr>
        <w:t xml:space="preserve"> reduziertes Ris</w:t>
      </w:r>
      <w:r w:rsidR="00205C9B" w:rsidRPr="00812C16">
        <w:rPr>
          <w:rFonts w:cs="Arial"/>
          <w:lang w:eastAsia="de-DE"/>
        </w:rPr>
        <w:t>i</w:t>
      </w:r>
      <w:r w:rsidR="000E4A4F" w:rsidRPr="00812C16">
        <w:rPr>
          <w:rFonts w:cs="Arial"/>
          <w:lang w:eastAsia="de-DE"/>
        </w:rPr>
        <w:t>ko für ein lokales oder region</w:t>
      </w:r>
      <w:r w:rsidR="002C105F" w:rsidRPr="00812C16">
        <w:rPr>
          <w:rFonts w:cs="Arial"/>
          <w:lang w:eastAsia="de-DE"/>
        </w:rPr>
        <w:t>ales</w:t>
      </w:r>
      <w:r w:rsidR="000E4A4F" w:rsidRPr="00812C16">
        <w:rPr>
          <w:rFonts w:cs="Arial"/>
          <w:lang w:eastAsia="de-DE"/>
        </w:rPr>
        <w:t xml:space="preserve"> Rezidiv (HR 0,2; p=0,038)</w:t>
      </w:r>
      <w:r w:rsidR="003C313B" w:rsidRPr="00812C16">
        <w:rPr>
          <w:rFonts w:cs="Arial"/>
          <w:lang w:eastAsia="de-DE"/>
        </w:rPr>
        <w:t xml:space="preserve"> sowie ein um 68% </w:t>
      </w:r>
      <w:r w:rsidR="00205C9B" w:rsidRPr="00812C16">
        <w:rPr>
          <w:rFonts w:cs="Arial"/>
          <w:lang w:eastAsia="de-DE"/>
        </w:rPr>
        <w:t>bessere Überlebe</w:t>
      </w:r>
      <w:r w:rsidR="00ED55A8" w:rsidRPr="00812C16">
        <w:rPr>
          <w:rFonts w:cs="Arial"/>
          <w:lang w:eastAsia="de-DE"/>
        </w:rPr>
        <w:t>nschance</w:t>
      </w:r>
      <w:r w:rsidR="00205C9B" w:rsidRPr="00812C16">
        <w:rPr>
          <w:rFonts w:cs="Arial"/>
          <w:lang w:eastAsia="de-DE"/>
        </w:rPr>
        <w:t xml:space="preserve"> </w:t>
      </w:r>
      <w:r w:rsidR="0014334D" w:rsidRPr="00812C16">
        <w:rPr>
          <w:rFonts w:cs="Arial"/>
          <w:lang w:eastAsia="de-DE"/>
        </w:rPr>
        <w:t xml:space="preserve">(HR 0,32; p=0,003) </w:t>
      </w:r>
      <w:r w:rsidR="003C313B" w:rsidRPr="00812C16">
        <w:rPr>
          <w:rFonts w:cs="Arial"/>
          <w:lang w:eastAsia="de-DE"/>
        </w:rPr>
        <w:t xml:space="preserve">gegenüber Patienten mit einem HPV16 </w:t>
      </w:r>
      <w:r w:rsidR="00A55BC7" w:rsidRPr="00812C16">
        <w:rPr>
          <w:rFonts w:cs="Arial"/>
          <w:lang w:eastAsia="de-DE"/>
        </w:rPr>
        <w:t>DNA-</w:t>
      </w:r>
      <w:r w:rsidR="003C313B" w:rsidRPr="00812C16">
        <w:rPr>
          <w:rFonts w:cs="Arial"/>
          <w:lang w:eastAsia="de-DE"/>
        </w:rPr>
        <w:t xml:space="preserve">negativen Tumor (Referenzgruppe). </w:t>
      </w:r>
      <w:r w:rsidR="007F2655" w:rsidRPr="00812C16">
        <w:rPr>
          <w:rFonts w:cs="Arial"/>
          <w:lang w:eastAsia="de-DE"/>
        </w:rPr>
        <w:t>Die multivariate Bewertung der sekundären Endpunkte</w:t>
      </w:r>
      <w:r w:rsidR="00A86363" w:rsidRPr="00812C16">
        <w:rPr>
          <w:rFonts w:cs="Arial"/>
          <w:lang w:eastAsia="de-DE"/>
        </w:rPr>
        <w:t xml:space="preserve"> </w:t>
      </w:r>
      <w:r w:rsidR="007F2655" w:rsidRPr="00812C16">
        <w:rPr>
          <w:rFonts w:cs="Arial"/>
          <w:lang w:eastAsia="de-DE"/>
        </w:rPr>
        <w:t xml:space="preserve">ergab einen signifikanten Zusammenhang zwischen </w:t>
      </w:r>
      <w:r w:rsidR="00A86363" w:rsidRPr="00812C16">
        <w:rPr>
          <w:rFonts w:cs="Arial"/>
          <w:lang w:eastAsia="de-DE"/>
        </w:rPr>
        <w:t xml:space="preserve">positiven </w:t>
      </w:r>
      <w:r w:rsidR="00A86363" w:rsidRPr="00812C16">
        <w:rPr>
          <w:rFonts w:cs="Arial"/>
          <w:b/>
          <w:bCs/>
          <w:lang w:eastAsia="de-DE"/>
        </w:rPr>
        <w:t>ECE-Status</w:t>
      </w:r>
      <w:r w:rsidR="007F2655" w:rsidRPr="00812C16">
        <w:rPr>
          <w:rFonts w:cs="Arial"/>
          <w:lang w:eastAsia="de-DE"/>
        </w:rPr>
        <w:t xml:space="preserve"> mit dem Gesamtüberleben</w:t>
      </w:r>
      <w:r w:rsidR="00E429BA" w:rsidRPr="00812C16">
        <w:rPr>
          <w:rFonts w:cs="Arial"/>
          <w:lang w:eastAsia="de-DE"/>
        </w:rPr>
        <w:t xml:space="preserve"> (OS)</w:t>
      </w:r>
      <w:r w:rsidR="00A86363" w:rsidRPr="00812C16">
        <w:rPr>
          <w:rFonts w:cs="Arial"/>
          <w:lang w:eastAsia="de-DE"/>
        </w:rPr>
        <w:t xml:space="preserve"> und </w:t>
      </w:r>
      <w:r w:rsidR="007F2655" w:rsidRPr="00812C16">
        <w:rPr>
          <w:rFonts w:cs="Arial"/>
          <w:lang w:eastAsia="de-DE"/>
        </w:rPr>
        <w:t xml:space="preserve">mit </w:t>
      </w:r>
      <w:r w:rsidR="00E429BA" w:rsidRPr="00812C16">
        <w:rPr>
          <w:rFonts w:cs="Arial"/>
          <w:lang w:eastAsia="de-DE"/>
        </w:rPr>
        <w:t xml:space="preserve">Fernmetastasen-freies Überleben (DMS) sowohl in der </w:t>
      </w:r>
      <w:r w:rsidR="00A86363" w:rsidRPr="00812C16">
        <w:rPr>
          <w:rFonts w:cs="Arial"/>
          <w:lang w:eastAsia="de-DE"/>
        </w:rPr>
        <w:t>Gesamtpopulation (DMS: HR 3,16, p=0,002; OS: HR 1,71, p=0,039) als auch in der Gruppe der HPV</w:t>
      </w:r>
      <w:r w:rsidR="00E429BA" w:rsidRPr="00812C16">
        <w:rPr>
          <w:rFonts w:cs="Arial"/>
          <w:lang w:eastAsia="de-DE"/>
        </w:rPr>
        <w:t>16 DNA</w:t>
      </w:r>
      <w:r w:rsidR="00A86363" w:rsidRPr="00812C16">
        <w:rPr>
          <w:rFonts w:cs="Arial"/>
          <w:lang w:eastAsia="de-DE"/>
        </w:rPr>
        <w:t>-</w:t>
      </w:r>
      <w:r w:rsidR="00E429BA" w:rsidRPr="00812C16">
        <w:rPr>
          <w:rFonts w:cs="Arial"/>
          <w:lang w:eastAsia="de-DE"/>
        </w:rPr>
        <w:t>negativen</w:t>
      </w:r>
      <w:r w:rsidR="00A86363" w:rsidRPr="00812C16">
        <w:rPr>
          <w:rFonts w:cs="Arial"/>
          <w:lang w:eastAsia="de-DE"/>
        </w:rPr>
        <w:t xml:space="preserve"> Tumorkohorte</w:t>
      </w:r>
      <w:r w:rsidR="00E429BA" w:rsidRPr="00812C16">
        <w:rPr>
          <w:rFonts w:cs="Arial"/>
          <w:lang w:eastAsia="de-DE"/>
        </w:rPr>
        <w:t xml:space="preserve"> (DMS: HR 3,12, p=0,003; OS: HR 1,72, p=0,037)</w:t>
      </w:r>
      <w:r w:rsidR="007F2655" w:rsidRPr="00812C16">
        <w:rPr>
          <w:rFonts w:cs="Arial"/>
          <w:lang w:eastAsia="de-DE"/>
        </w:rPr>
        <w:t>.</w:t>
      </w:r>
      <w:r w:rsidR="007F2655" w:rsidRPr="00812C16">
        <w:t xml:space="preserve"> </w:t>
      </w:r>
      <w:r w:rsidR="00196612" w:rsidRPr="00812C16">
        <w:rPr>
          <w:b/>
          <w:bCs/>
        </w:rPr>
        <w:t>Oropharyngealkarzinome</w:t>
      </w:r>
      <w:r w:rsidR="00762B2E" w:rsidRPr="00812C16">
        <w:t xml:space="preserve"> hatten ein signifikant 3,47-fach erhöhtes </w:t>
      </w:r>
      <w:r w:rsidR="00196612" w:rsidRPr="00812C16">
        <w:t>Risiko</w:t>
      </w:r>
      <w:r w:rsidR="00762B2E" w:rsidRPr="00812C16">
        <w:t xml:space="preserve"> für entfernte Metastasen</w:t>
      </w:r>
      <w:r w:rsidR="00720273" w:rsidRPr="00812C16">
        <w:t xml:space="preserve"> in der Gesamtpopulation</w:t>
      </w:r>
      <w:r w:rsidR="00196612" w:rsidRPr="00812C16">
        <w:t xml:space="preserve"> (HR 3,47, p=0,005)</w:t>
      </w:r>
      <w:r w:rsidR="00720273" w:rsidRPr="00812C16">
        <w:t xml:space="preserve">. </w:t>
      </w:r>
      <w:r w:rsidR="00ED55A8" w:rsidRPr="00812C16">
        <w:t>Wohingegen</w:t>
      </w:r>
      <w:r w:rsidR="00720273" w:rsidRPr="00812C16">
        <w:t xml:space="preserve"> in der HPV</w:t>
      </w:r>
      <w:r w:rsidR="00ED55A8" w:rsidRPr="00812C16">
        <w:t>16 DNA-</w:t>
      </w:r>
      <w:r w:rsidR="00720273" w:rsidRPr="00812C16">
        <w:t xml:space="preserve">negativen Kohorte das </w:t>
      </w:r>
      <w:r w:rsidR="00ED55A8" w:rsidRPr="00812C16">
        <w:t>Risiko</w:t>
      </w:r>
      <w:r w:rsidR="00720273" w:rsidRPr="00812C16">
        <w:t xml:space="preserve"> für Fernmetast</w:t>
      </w:r>
      <w:r w:rsidR="00ED55A8" w:rsidRPr="00812C16">
        <w:t>a</w:t>
      </w:r>
      <w:r w:rsidR="00720273" w:rsidRPr="00812C16">
        <w:t xml:space="preserve">sen bei </w:t>
      </w:r>
      <w:r w:rsidR="00ED55A8" w:rsidRPr="00812C16">
        <w:t xml:space="preserve">Oropharyngealtumoren </w:t>
      </w:r>
      <w:r w:rsidR="00720273" w:rsidRPr="00812C16">
        <w:t xml:space="preserve">um 70% reduziert </w:t>
      </w:r>
      <w:r w:rsidR="00BA6AD4" w:rsidRPr="00812C16">
        <w:t>war (HR 0,30, p=0,006)</w:t>
      </w:r>
      <w:r w:rsidR="00720273" w:rsidRPr="00812C16">
        <w:t xml:space="preserve">. </w:t>
      </w:r>
      <w:r w:rsidR="00762B2E" w:rsidRPr="00812C16">
        <w:t xml:space="preserve"> </w:t>
      </w:r>
      <w:r w:rsidR="00720273" w:rsidRPr="00812C16">
        <w:t>Die Tumorlokalisa</w:t>
      </w:r>
      <w:r w:rsidR="00BA6AD4" w:rsidRPr="00812C16">
        <w:t>t</w:t>
      </w:r>
      <w:r w:rsidR="00720273" w:rsidRPr="00812C16">
        <w:t xml:space="preserve">ion in der </w:t>
      </w:r>
      <w:r w:rsidR="00720273" w:rsidRPr="00812C16">
        <w:rPr>
          <w:b/>
          <w:bCs/>
        </w:rPr>
        <w:t>Mundhöhle</w:t>
      </w:r>
      <w:r w:rsidR="00720273" w:rsidRPr="00812C16">
        <w:t xml:space="preserve"> war ein grenzwertig </w:t>
      </w:r>
      <w:r w:rsidR="00BA6AD4" w:rsidRPr="00812C16">
        <w:t>signifikanter</w:t>
      </w:r>
      <w:r w:rsidR="00720273" w:rsidRPr="00812C16">
        <w:t xml:space="preserve"> Einfluss</w:t>
      </w:r>
      <w:r w:rsidR="00BA6AD4" w:rsidRPr="00812C16">
        <w:t>f</w:t>
      </w:r>
      <w:r w:rsidR="00720273" w:rsidRPr="00812C16">
        <w:t>aktor in Bezug auf das Gesamtüberleben in der HPV</w:t>
      </w:r>
      <w:r w:rsidR="00BA6AD4" w:rsidRPr="00812C16">
        <w:t>16 DNA-</w:t>
      </w:r>
      <w:r w:rsidR="00720273" w:rsidRPr="00812C16">
        <w:t xml:space="preserve">negativen </w:t>
      </w:r>
      <w:r w:rsidR="00BA6AD4" w:rsidRPr="00812C16">
        <w:t>Kohorte (HR 2,27, p=0,048)</w:t>
      </w:r>
      <w:r w:rsidR="00720273" w:rsidRPr="00812C16">
        <w:t>, nicht aber</w:t>
      </w:r>
      <w:r w:rsidR="00BA6AD4" w:rsidRPr="00812C16">
        <w:t xml:space="preserve"> in der</w:t>
      </w:r>
      <w:r w:rsidR="00720273" w:rsidRPr="00812C16">
        <w:t xml:space="preserve"> gesamten Patientenpopulation.</w:t>
      </w:r>
      <w:r w:rsidR="00E070C4" w:rsidRPr="00812C16">
        <w:t xml:space="preserve"> </w:t>
      </w:r>
    </w:p>
    <w:p w14:paraId="364575C2" w14:textId="77777777" w:rsidR="00BF51BB" w:rsidRPr="00812C16" w:rsidRDefault="00A45D65" w:rsidP="003A6C99">
      <w:pPr>
        <w:pStyle w:val="berschrift1"/>
        <w:ind w:left="426" w:hanging="426"/>
        <w:rPr>
          <w:rFonts w:cs="Arial"/>
        </w:rPr>
      </w:pPr>
      <w:bookmarkStart w:id="90" w:name="_Toc158006543"/>
      <w:r w:rsidRPr="00812C16">
        <w:rPr>
          <w:rFonts w:cs="Arial"/>
        </w:rPr>
        <w:lastRenderedPageBreak/>
        <w:t>Diskussio</w:t>
      </w:r>
      <w:r w:rsidR="00BF51BB" w:rsidRPr="00812C16">
        <w:rPr>
          <w:rFonts w:cs="Arial"/>
        </w:rPr>
        <w:t>n</w:t>
      </w:r>
      <w:bookmarkEnd w:id="90"/>
    </w:p>
    <w:p w14:paraId="21C37556" w14:textId="77777777" w:rsidR="003A6C99" w:rsidRPr="00812C16" w:rsidRDefault="003A6C99" w:rsidP="003A6C99">
      <w:pPr>
        <w:pStyle w:val="berschrift2"/>
      </w:pPr>
      <w:bookmarkStart w:id="91" w:name="_Toc158006544"/>
      <w:r w:rsidRPr="00812C16">
        <w:t>Diskussion der Methoden</w:t>
      </w:r>
      <w:bookmarkEnd w:id="91"/>
    </w:p>
    <w:p w14:paraId="62792042" w14:textId="77777777" w:rsidR="0086247B" w:rsidRPr="00812C16" w:rsidRDefault="0086247B" w:rsidP="005547D3">
      <w:pPr>
        <w:pStyle w:val="berschrift3"/>
      </w:pPr>
      <w:bookmarkStart w:id="92" w:name="_Toc158006545"/>
      <w:r w:rsidRPr="00812C16">
        <w:t>Diskussion des Studiendesigns</w:t>
      </w:r>
      <w:bookmarkEnd w:id="92"/>
    </w:p>
    <w:p w14:paraId="5BD770C5" w14:textId="77777777" w:rsidR="0086247B" w:rsidRPr="00812C16" w:rsidRDefault="0086247B" w:rsidP="0086247B">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30E2BE0" w14:textId="77777777" w:rsidR="0086247B" w:rsidRPr="00812C16" w:rsidRDefault="0086247B" w:rsidP="003A6C99">
      <w:pPr>
        <w:rPr>
          <w:rFonts w:cs="Arial"/>
          <w:i/>
          <w:iCs/>
        </w:rPr>
      </w:pPr>
    </w:p>
    <w:p w14:paraId="01B62950" w14:textId="77777777" w:rsidR="003A6C99" w:rsidRPr="00812C16" w:rsidRDefault="003A6C99" w:rsidP="005547D3">
      <w:pPr>
        <w:pStyle w:val="berschrift3"/>
      </w:pPr>
      <w:bookmarkStart w:id="93" w:name="_Toc158006546"/>
      <w:r w:rsidRPr="00812C16">
        <w:t>Tissue Microarrays</w:t>
      </w:r>
      <w:bookmarkEnd w:id="93"/>
    </w:p>
    <w:p w14:paraId="445B9C22" w14:textId="03E8A8D8" w:rsidR="003A6C99" w:rsidRPr="00812C16" w:rsidRDefault="003A6C99" w:rsidP="003A6C99">
      <w:pPr>
        <w:rPr>
          <w:rFonts w:cs="Arial"/>
        </w:rPr>
      </w:pPr>
      <w:r w:rsidRPr="00812C16">
        <w:rPr>
          <w:rFonts w:cs="Arial"/>
        </w:rPr>
        <w:t xml:space="preserve">Die TMA ist eine geeignete Methode, um ein großes Gewebekollektiv zeitgleich und unter gleichen Bedingungen untersuchen zu können </w:t>
      </w:r>
      <w:r w:rsidR="000112D9">
        <w:rPr>
          <w:rFonts w:cs="Arial"/>
        </w:rPr>
        <w:fldChar w:fldCharType="begin">
          <w:fldData xml:space="preserve">PEVuZE5vdGU+PENpdGU+PEF1dGhvcj5Lb25vbmVuPC9BdXRob3I+PFllYXI+MTk5ODwvWWVhcj48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Giltnane &amp; Rimm, 2004</w:t>
      </w:r>
      <w:r w:rsidR="000112D9">
        <w:rPr>
          <w:rFonts w:cs="Arial"/>
          <w:noProof/>
        </w:rPr>
        <w:t xml:space="preserve">; </w:t>
      </w:r>
      <w:r w:rsidR="009D0F7A" w:rsidRPr="002A19C6">
        <w:t>Kononen et al., 1998</w:t>
      </w:r>
      <w:r w:rsidR="000112D9">
        <w:rPr>
          <w:rFonts w:cs="Arial"/>
          <w:noProof/>
        </w:rPr>
        <w:t>)</w:t>
      </w:r>
      <w:r w:rsidR="000112D9">
        <w:rPr>
          <w:rFonts w:cs="Arial"/>
        </w:rPr>
        <w:fldChar w:fldCharType="end"/>
      </w:r>
      <w:r w:rsidRPr="00812C16">
        <w:rPr>
          <w:rFonts w:cs="Arial"/>
        </w:rPr>
        <w:t>.</w:t>
      </w:r>
      <w:r w:rsidR="00BD6F91" w:rsidRPr="00812C16">
        <w:rPr>
          <w:rFonts w:cs="Arial"/>
        </w:rPr>
        <w:t xml:space="preserve"> </w:t>
      </w:r>
      <w:r w:rsidRPr="00812C16">
        <w:rPr>
          <w:rFonts w:cs="Arial"/>
        </w:rPr>
        <w:t>Es handelt sich um ein kostengünstiges und gewebesparendes Verfahren, das verschiedene biomolekulare Marker am gleichen Gewebekollektiv auf ihre Validität prüft. Die Identifizierung der einzelnen Gewebeproben in einem TMA-Block erfordert höchste Präzision und wird mittels einer Konstruktionsplanung erreicht, die die Lokalisation der einzelnen Fälle im TMA-Block erfasst. Auch die Auswertung der TMA-Präparate muss mit höchster Genauigkeit erfolgen, da jede Stanze die gleiche Form besitzt und es zu Fehlauswertungen kommen kann, z. B. durch Verrutschen des Präparats beim Mikroskopieren. Ein Defizit der TMA-Technik ist, dass nur ein geringer Teil des entnommenen Gewebes untersucht und erfasst wird. Dies könnte z. B. bei heterogenen Tumoren das Ergebnis verfälschen</w:t>
      </w:r>
      <w:r w:rsidR="00BD6F91" w:rsidRPr="00812C16">
        <w:rPr>
          <w:rFonts w:cs="Arial"/>
        </w:rPr>
        <w:t xml:space="preserve"> </w:t>
      </w:r>
      <w:r w:rsidR="000112D9">
        <w:rPr>
          <w:rFonts w:cs="Arial"/>
        </w:rPr>
        <w:fldChar w:fldCharType="begin">
          <w:fldData xml:space="preserve">PEVuZE5vdGU+PENpdGU+PEF1dGhvcj5Ob2NpdG88L0F1dGhvcj48WWVhcj4yMDAxPC9ZZWFyPjxS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Nocito et al., 2001</w:t>
      </w:r>
      <w:r w:rsidR="000112D9">
        <w:rPr>
          <w:rFonts w:cs="Arial"/>
          <w:noProof/>
        </w:rPr>
        <w:t>)</w:t>
      </w:r>
      <w:r w:rsidR="000112D9">
        <w:rPr>
          <w:rFonts w:cs="Arial"/>
        </w:rPr>
        <w:fldChar w:fldCharType="end"/>
      </w:r>
      <w:r w:rsidR="00BD6F91" w:rsidRPr="00812C16">
        <w:rPr>
          <w:rFonts w:cs="Arial"/>
        </w:rPr>
        <w:t>.</w:t>
      </w:r>
      <w:r w:rsidRPr="00812C16">
        <w:rPr>
          <w:rFonts w:cs="Arial"/>
        </w:rPr>
        <w:t xml:space="preserve"> Diese Fehlerquelle kann jedoch durch die Erhöhung der Stanzzahl pro Fall weitgehend minimiert werden.</w:t>
      </w:r>
      <w:r w:rsidR="00BD6F91" w:rsidRPr="00812C16">
        <w:rPr>
          <w:rFonts w:cs="Arial"/>
        </w:rPr>
        <w:t xml:space="preserve"> </w:t>
      </w:r>
      <w:r w:rsidRPr="00812C16">
        <w:rPr>
          <w:rFonts w:cs="Arial"/>
        </w:rPr>
        <w:t>Da die Gewebeproben hinsichtlich Größe und Form vergleichbar sind, wird im Gegensatz zu konventionellen Schnittpräparaten eine subjektive Fehlbewertung durch die Betrachtung von unterschiedlich großen Gewebeproben vermieden.</w:t>
      </w:r>
    </w:p>
    <w:p w14:paraId="0981956E" w14:textId="77777777" w:rsidR="003A6C99" w:rsidRPr="00812C16" w:rsidRDefault="003A6C99" w:rsidP="005547D3">
      <w:pPr>
        <w:pStyle w:val="berschrift3"/>
      </w:pPr>
      <w:bookmarkStart w:id="94" w:name="_Toc158006547"/>
      <w:r w:rsidRPr="00812C16">
        <w:lastRenderedPageBreak/>
        <w:t>Immunhistochemie</w:t>
      </w:r>
      <w:bookmarkEnd w:id="94"/>
      <w:r w:rsidRPr="00812C16">
        <w:t xml:space="preserve"> </w:t>
      </w:r>
    </w:p>
    <w:p w14:paraId="4B4E559B" w14:textId="5A5118FF" w:rsidR="003A6C99" w:rsidRPr="00812C16" w:rsidRDefault="003A6C99" w:rsidP="003A6C99">
      <w:pPr>
        <w:rPr>
          <w:rFonts w:cs="Arial"/>
        </w:rPr>
      </w:pPr>
      <w:r w:rsidRPr="00812C16">
        <w:rPr>
          <w:rFonts w:cs="Arial"/>
        </w:rPr>
        <w:t>Die immunhistochemische Färbemethode ist standardisiertes Verfahren, welches in der histopathologischen Routinediagnostik verwendet wird.</w:t>
      </w:r>
      <w:r w:rsidR="000112D9">
        <w:rPr>
          <w:rFonts w:cs="Arial"/>
        </w:rPr>
        <w:fldChar w:fldCharType="begin">
          <w:fldData xml:space="preserve">PEVuZE5vdGU+PENpdGU+PEF1dGhvcj5EZUxlbGxpczwvQXV0aG9yPjxZZWFyPjE5Nzk8L1llYXI+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2A19C6">
        <w:t>DeLellis et al., 1979</w:t>
      </w:r>
      <w:r w:rsidR="000112D9">
        <w:rPr>
          <w:rFonts w:cs="Arial"/>
          <w:noProof/>
        </w:rPr>
        <w:t>)</w:t>
      </w:r>
      <w:r w:rsidR="000112D9">
        <w:rPr>
          <w:rFonts w:cs="Arial"/>
        </w:rPr>
        <w:fldChar w:fldCharType="end"/>
      </w:r>
      <w:r w:rsidR="004931B6" w:rsidRPr="00812C16">
        <w:rPr>
          <w:rFonts w:cs="Arial"/>
        </w:rPr>
        <w:t xml:space="preserve">. </w:t>
      </w:r>
      <w:r w:rsidRPr="00812C16">
        <w:rPr>
          <w:rFonts w:cs="Arial"/>
        </w:rPr>
        <w:t>Die Fehlerquote ist gering, da die Färbeautomaten optimal gewartet sind und positive und negative Kontrollpräparate pro Färbereihe mitgeführt werden.90,89 Vielmehr sind die Ergebnisse vom Zustand des Gewebes, dem verwendeten Antikörper und den IHC-Bewertungskriterien abhängig.91 Nachteilig wirkt sich aus, dass das Gewebe durch die Parafineinbettung, die Formalinfixierung und auch durch eine ungeeignete Lagerung der Gewebeblöcke möglicherweise unzureichend erhalten bleibt und somit nicht untersucht werden kann bzw. zu falsch negativen Ergebnissen führt.70,91 Des Weiteren kann die Sensitivität der Antikörperklone von verschiedenen Firmen zu unterschiedlichen Ergebnissen führen und somit den retrospektiven</w:t>
      </w:r>
      <w:r w:rsidR="00AC5E8E" w:rsidRPr="00812C16">
        <w:rPr>
          <w:rFonts w:cs="Arial"/>
        </w:rPr>
        <w:t xml:space="preserve"> </w:t>
      </w:r>
      <w:r w:rsidRPr="00812C16">
        <w:rPr>
          <w:rFonts w:cs="Arial"/>
        </w:rPr>
        <w:t>Vergleich von Studien erschweren.89 Ein weiteres Problem liegt in der Auswertung und dem Vergleich von Färbeergebnissen anderer Studien, da jeder Pathologe subjektiv beurteilt und zum Teil andere Bewertungskriterien verwendet.89,66</w:t>
      </w:r>
    </w:p>
    <w:p w14:paraId="17370170" w14:textId="77777777" w:rsidR="00620E7E" w:rsidRPr="00812C16" w:rsidRDefault="003A6C99" w:rsidP="000C51F3">
      <w:pPr>
        <w:rPr>
          <w:rFonts w:cs="Arial"/>
        </w:rPr>
      </w:pPr>
      <w:r w:rsidRPr="00812C16">
        <w:rPr>
          <w:rFonts w:cs="Arial"/>
        </w:rPr>
        <w:t>Die Detektion der HPV-DNA mittels Polymerasekettenreaktion (PCR) ist eine häufig angewandte Methode, um eine HPV-Infektion zu diagnostizieren, sie ist jedoch nicht standardisiert.22,31 Die verschiedenen PCR- und Hybridisierungsverfahren weisen eine unterschiedliche Sensitivität und Spezifität auf, dies erschwert einen Vergleich der Ergebnisse von einzelnen Studien mit unterschiedlichen Verfahren.22 Durch die hohe Sensitivität der PCR muss bei der Durchführung der HPV-Analyse darauf geachtet werden, dass die Reaktionsgefäße und Pipetten steril sind, um einer möglichen Kontamination und damit falsch positiven Ergebnissen vorzubeugen.92 Als Vorteil dieser Methode gilt, dass sich damit unterschiedliche HPV-Subtypen ermitteln lassen.31 Nachteilig ist, dass eine bestimmte HPV-DNA- Basenlänge in einer Gewebeprobe vorhanden sein muss, um diese amplifizieren zu können.93 Jedoch ist die Qualität der Virus-DNA in den Gewebeproben durch die Vorbehandlung und die Langzeitarchivierung häufig unzureichend und eine Amplifizierung nur bedingt möglich.4,94</w:t>
      </w:r>
    </w:p>
    <w:p w14:paraId="343EEF45" w14:textId="77777777" w:rsidR="00620E7E" w:rsidRPr="00812C16" w:rsidRDefault="00620E7E" w:rsidP="00620E7E">
      <w:pPr>
        <w:pStyle w:val="berschrift2"/>
      </w:pPr>
      <w:bookmarkStart w:id="95" w:name="_Toc158006548"/>
      <w:r w:rsidRPr="00812C16">
        <w:lastRenderedPageBreak/>
        <w:t>Diskussion der Ergebnisse</w:t>
      </w:r>
      <w:bookmarkEnd w:id="95"/>
    </w:p>
    <w:p w14:paraId="6D6DEBC7" w14:textId="77777777" w:rsidR="00DA09A9" w:rsidRPr="00812C16" w:rsidRDefault="00DA09A9" w:rsidP="00DA09A9">
      <w:pPr>
        <w:pStyle w:val="berschrift3"/>
      </w:pPr>
      <w:bookmarkStart w:id="96" w:name="_Toc158006549"/>
      <w:r w:rsidRPr="00812C16">
        <w:t>Einfluss von CD44 auf das klinische Outcome von lokal</w:t>
      </w:r>
      <w:bookmarkEnd w:id="96"/>
      <w:r w:rsidRPr="00812C16">
        <w:t xml:space="preserve"> </w:t>
      </w:r>
    </w:p>
    <w:p w14:paraId="2CFB1699" w14:textId="77777777" w:rsidR="000E3B77" w:rsidRPr="00812C16" w:rsidRDefault="000E3B77" w:rsidP="000C51F3">
      <w:pPr>
        <w:rPr>
          <w:rFonts w:cs="Arial"/>
        </w:rPr>
      </w:pPr>
      <w:r w:rsidRPr="00812C16">
        <w:rPr>
          <w:rFonts w:cs="Arial"/>
        </w:rPr>
        <w:t xml:space="preserve">Wir konnten zeigen, dass eine Überexpression von CD44 in lokal fortgeschrittenen Kopf- Hals-Plattenepithelkarzinomen mit einer schlechten loko-regionären Kontrolle nach postoperativer Radiochemotherapie assoziiert ist. Zudem stellt CD44 neben dem HPV- Status der Tumoren möglicherweise einen weiteren Stratifizierungsparameter zur Individualisierung der postoperativen Radiochemotherapie in Patienten mit Kopf-Hals- Plattenepithelkarzinomen dar. </w:t>
      </w:r>
    </w:p>
    <w:p w14:paraId="379EB53D" w14:textId="77777777" w:rsidR="00980CFA" w:rsidRPr="00812C16" w:rsidRDefault="000E3B77" w:rsidP="000C51F3">
      <w:pPr>
        <w:rPr>
          <w:rFonts w:cs="Arial"/>
        </w:rPr>
      </w:pPr>
      <w:r w:rsidRPr="00812C16">
        <w:rPr>
          <w:rFonts w:cs="Arial"/>
        </w:rPr>
        <w:t xml:space="preserve">Zur weiteren Evaluierung der klinischen Anwendbarkeit sollten die gewonnen Ergebnisse in prospektiven Validierungsstudien unter standardisierten Bedingungen weiter geprüft werden. </w:t>
      </w:r>
    </w:p>
    <w:p w14:paraId="5E9BADD7" w14:textId="77777777" w:rsidR="000C51F3" w:rsidRPr="00812C16" w:rsidRDefault="000C51F3" w:rsidP="000C51F3">
      <w:pPr>
        <w:rPr>
          <w:rFonts w:cs="Arial"/>
        </w:rPr>
      </w:pPr>
    </w:p>
    <w:p w14:paraId="1568F24A" w14:textId="77777777" w:rsidR="000C51F3" w:rsidRPr="00812C16" w:rsidRDefault="000C51F3" w:rsidP="000C51F3">
      <w:pPr>
        <w:spacing w:after="0"/>
        <w:rPr>
          <w:rFonts w:cs="Arial"/>
          <w:color w:val="000000"/>
          <w:shd w:val="clear" w:color="auto" w:fill="FFFFFF"/>
        </w:rPr>
      </w:pPr>
      <w:r w:rsidRPr="00812C16">
        <w:rPr>
          <w:rFonts w:cs="Arial"/>
          <w:color w:val="000000"/>
          <w:shd w:val="clear" w:color="auto" w:fill="FFFFFF"/>
        </w:rPr>
        <w:t>Zuvor haben wir und andere gezeigt, dass der HPV-Infektionsstatus ein starker Prognostiker für die lokoregionale Kontrolle bei Patienten mit lokal fortgeschrittenem HNSCC ist, die eine postoperative Radio(Chemotherapie (6, 28,</w:t>
      </w:r>
      <w:r w:rsidRPr="00812C16">
        <w:rPr>
          <w:rStyle w:val="apple-converted-space"/>
          <w:rFonts w:cs="Arial"/>
          <w:color w:val="000000"/>
          <w:shd w:val="clear" w:color="auto" w:fill="FFFFFF"/>
        </w:rPr>
        <w:t> </w:t>
      </w:r>
      <w:hyperlink r:id="rId32" w:anchor="ref-29" w:history="1">
        <w:r w:rsidRPr="00812C16">
          <w:rPr>
            <w:rStyle w:val="Hyperlink"/>
            <w:rFonts w:cs="Arial"/>
            <w:b/>
            <w:bCs/>
            <w:color w:val="97233F"/>
            <w:bdr w:val="none" w:sz="0" w:space="0" w:color="auto" w:frame="1"/>
          </w:rPr>
          <w:t>29</w:t>
        </w:r>
      </w:hyperlink>
      <w:r w:rsidRPr="00812C16">
        <w:rPr>
          <w:rFonts w:cs="Arial"/>
          <w:color w:val="000000"/>
          <w:shd w:val="clear" w:color="auto" w:fill="FFFFFF"/>
        </w:rPr>
        <w:t>) mit einer verbesserten lokoregionalen Kontrolle und Radioempfindlichkeit von HPV16 DNA-positiv im Vergleich zu HPV16 DNA-negativen Tumoren</w:t>
      </w:r>
      <w:r w:rsidRPr="00812C16">
        <w:rPr>
          <w:rStyle w:val="apple-converted-space"/>
          <w:rFonts w:cs="Arial"/>
          <w:color w:val="000000"/>
          <w:shd w:val="clear" w:color="auto" w:fill="FFFFFF"/>
        </w:rPr>
        <w:t> </w:t>
      </w:r>
      <w:r w:rsidRPr="00812C16">
        <w:rPr>
          <w:rFonts w:cs="Arial"/>
          <w:color w:val="000000"/>
          <w:shd w:val="clear" w:color="auto" w:fill="FFFFFF"/>
        </w:rPr>
        <w:t>erhielten.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w:t>
      </w:r>
    </w:p>
    <w:p w14:paraId="7623CAE9" w14:textId="77777777" w:rsidR="000C51F3" w:rsidRPr="00812C16" w:rsidRDefault="000C51F3" w:rsidP="000C51F3">
      <w:pPr>
        <w:spacing w:after="0"/>
        <w:rPr>
          <w:rFonts w:cs="Arial"/>
        </w:rPr>
      </w:pPr>
    </w:p>
    <w:p w14:paraId="562C382A"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CD44 ist ein weithin erforschter CSC-Marker in HNSCC (</w:t>
      </w:r>
      <w:hyperlink r:id="rId33" w:anchor="ref-30" w:history="1">
        <w:r w:rsidRPr="00812C16">
          <w:rPr>
            <w:rStyle w:val="Hyperlink"/>
            <w:rFonts w:ascii="Arial" w:hAnsi="Arial" w:cs="Arial"/>
            <w:b/>
            <w:bCs/>
            <w:color w:val="97233F"/>
            <w:bdr w:val="none" w:sz="0" w:space="0" w:color="auto" w:frame="1"/>
          </w:rPr>
          <w:t>30</w:t>
        </w:r>
      </w:hyperlink>
      <w:r w:rsidRPr="00812C16">
        <w:rPr>
          <w:rFonts w:ascii="Arial" w:hAnsi="Arial" w:cs="Arial"/>
          <w:color w:val="000000"/>
        </w:rPr>
        <w:t>,</w:t>
      </w:r>
      <w:r w:rsidRPr="00812C16">
        <w:rPr>
          <w:rStyle w:val="apple-converted-space"/>
          <w:rFonts w:ascii="Arial" w:hAnsi="Arial" w:cs="Arial"/>
          <w:color w:val="000000"/>
        </w:rPr>
        <w:t> </w:t>
      </w:r>
      <w:hyperlink r:id="rId34" w:anchor="ref-36" w:history="1">
        <w:r w:rsidRPr="00812C16">
          <w:rPr>
            <w:rStyle w:val="Hyperlink"/>
            <w:rFonts w:ascii="Arial" w:hAnsi="Arial" w:cs="Arial"/>
            <w:b/>
            <w:bCs/>
            <w:color w:val="97233F"/>
            <w:bdr w:val="none" w:sz="0" w:space="0" w:color="auto" w:frame="1"/>
          </w:rPr>
          <w:t>36</w:t>
        </w:r>
      </w:hyperlink>
      <w:r w:rsidRPr="00812C16">
        <w:rPr>
          <w:rFonts w:ascii="Arial" w:hAnsi="Arial" w:cs="Arial"/>
          <w:color w:val="000000"/>
        </w:rPr>
        <w:t>,</w:t>
      </w:r>
      <w:r w:rsidRPr="00812C16">
        <w:rPr>
          <w:rStyle w:val="apple-converted-space"/>
          <w:rFonts w:ascii="Arial" w:hAnsi="Arial" w:cs="Arial"/>
          <w:color w:val="000000"/>
        </w:rPr>
        <w:t> </w:t>
      </w:r>
      <w:hyperlink r:id="rId35" w:anchor="ref-37" w:history="1">
        <w:r w:rsidRPr="00812C16">
          <w:rPr>
            <w:rStyle w:val="Hyperlink"/>
            <w:rFonts w:ascii="Arial" w:hAnsi="Arial" w:cs="Arial"/>
            <w:b/>
            <w:bCs/>
            <w:color w:val="97233F"/>
            <w:bdr w:val="none" w:sz="0" w:space="0" w:color="auto" w:frame="1"/>
          </w:rPr>
          <w:t>37</w:t>
        </w:r>
      </w:hyperlink>
      <w:r w:rsidRPr="00812C16">
        <w:rPr>
          <w:rFonts w:ascii="Arial" w:hAnsi="Arial" w:cs="Arial"/>
          <w:color w:val="000000"/>
        </w:rPr>
        <w:t>). Eine Studie von de Jong und Kollegen zeigte, dass</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CD44-</w:t>
      </w:r>
      <w:r w:rsidRPr="00812C16">
        <w:rPr>
          <w:rStyle w:val="apple-converted-space"/>
          <w:rFonts w:ascii="Arial" w:hAnsi="Arial" w:cs="Arial"/>
          <w:i/>
          <w:iCs/>
          <w:color w:val="000000"/>
          <w:bdr w:val="none" w:sz="0" w:space="0" w:color="auto" w:frame="1"/>
        </w:rPr>
        <w:t> </w:t>
      </w:r>
      <w:r w:rsidRPr="00812C16">
        <w:rPr>
          <w:rFonts w:ascii="Arial" w:hAnsi="Arial" w:cs="Arial"/>
          <w:color w:val="000000"/>
        </w:rPr>
        <w:t>und CD44-Proteinspiegel ein lokales Wiederauftreten nach Strahlentherapie bei Patienten mit Kehlkopfkrebs im Frühstadium signifikant vorhersagen (</w:t>
      </w:r>
      <w:hyperlink r:id="rId36" w:anchor="ref-38" w:history="1">
        <w:r w:rsidRPr="00812C16">
          <w:rPr>
            <w:rStyle w:val="Hyperlink"/>
            <w:rFonts w:ascii="Arial" w:hAnsi="Arial" w:cs="Arial"/>
            <w:b/>
            <w:bCs/>
            <w:color w:val="97233F"/>
            <w:bdr w:val="none" w:sz="0" w:space="0" w:color="auto" w:frame="1"/>
          </w:rPr>
          <w:t>38</w:t>
        </w:r>
      </w:hyperlink>
      <w:r w:rsidRPr="00812C16">
        <w:rPr>
          <w:rFonts w:ascii="Arial" w:hAnsi="Arial" w:cs="Arial"/>
          <w:color w:val="000000"/>
        </w:rPr>
        <w:t xml:space="preserve">). Hier haben wir gezeigt, dass Patienten mit chirurgisch resezierten Tumoren ohne nachweisbare CD44-Proteinexpression die </w:t>
      </w:r>
      <w:r w:rsidRPr="00812C16">
        <w:rPr>
          <w:rFonts w:ascii="Arial" w:hAnsi="Arial" w:cs="Arial"/>
          <w:color w:val="000000"/>
        </w:rPr>
        <w:lastRenderedPageBreak/>
        <w:t>lokoregionalen Tumorkontrollraten im Vergleich zu Patienten mit CD44-Proteinexprimierenden Tumoren erhöht haben.</w:t>
      </w:r>
    </w:p>
    <w:p w14:paraId="79739645"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p>
    <w:p w14:paraId="6258CE4C"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Vor kurzem wurde CD98 experimentell als mutmaßlicher CSC-Marker (</w:t>
      </w:r>
      <w:hyperlink r:id="rId37" w:anchor="ref-39" w:history="1">
        <w:r w:rsidRPr="00812C16">
          <w:rPr>
            <w:rStyle w:val="Hyperlink"/>
            <w:rFonts w:ascii="Arial" w:hAnsi="Arial" w:cs="Arial"/>
            <w:b/>
            <w:bCs/>
            <w:color w:val="97233F"/>
            <w:bdr w:val="none" w:sz="0" w:space="0" w:color="auto" w:frame="1"/>
          </w:rPr>
          <w:t>39</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etabliert. In einer Studie mit 711 Patienten mit oropharyngealem Plattenepithelkarzinom wurde gezeigt, dass HPV-positive Tumore weniger CSC-Marker wie CD44 und CD98 exprimieren, während CD44- und CD98-Positivität mit signifikant geringerem progressionsfreien und OS (</w:t>
      </w:r>
      <w:hyperlink r:id="rId38" w:anchor="ref-40" w:history="1">
        <w:r w:rsidRPr="00812C16">
          <w:rPr>
            <w:rStyle w:val="Hyperlink"/>
            <w:rFonts w:ascii="Arial" w:hAnsi="Arial" w:cs="Arial"/>
            <w:b/>
            <w:bCs/>
            <w:color w:val="97233F"/>
            <w:bdr w:val="none" w:sz="0" w:space="0" w:color="auto" w:frame="1"/>
          </w:rPr>
          <w:t>40</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verbunden war. In unserer Patientenkohorte fanden wir heraus, dass Patienten mit hoher Expression von</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SLC3A2</w:t>
      </w:r>
      <w:r w:rsidRPr="00812C16">
        <w:rPr>
          <w:rFonts w:ascii="Arial" w:hAnsi="Arial" w:cs="Arial"/>
          <w:color w:val="000000"/>
        </w:rPr>
        <w:t>, das für eines der CD98-Hetodimere kodiert, auch nach PORT-C eine schlechte lokoregionale Tumorkontrolle und ein erhöhtes Risiko für entfernte Metastasen aufweisen.</w:t>
      </w:r>
    </w:p>
    <w:p w14:paraId="03EF35EB" w14:textId="77777777" w:rsidR="00DA09A9" w:rsidRPr="00812C16" w:rsidRDefault="00DA09A9" w:rsidP="000C51F3">
      <w:pPr>
        <w:pStyle w:val="StandardWeb"/>
        <w:spacing w:before="0" w:beforeAutospacing="0" w:after="0" w:afterAutospacing="0"/>
        <w:textAlignment w:val="baseline"/>
        <w:rPr>
          <w:rFonts w:ascii="Arial" w:hAnsi="Arial" w:cs="Arial"/>
          <w:color w:val="000000"/>
        </w:rPr>
      </w:pPr>
    </w:p>
    <w:p w14:paraId="0AF438F6" w14:textId="77777777" w:rsidR="00DA09A9" w:rsidRPr="00812C16" w:rsidRDefault="00DA09A9" w:rsidP="00DA09A9">
      <w:pPr>
        <w:pStyle w:val="berschrift3"/>
      </w:pPr>
      <w:bookmarkStart w:id="97" w:name="_Toc158006550"/>
      <w:r w:rsidRPr="00812C16">
        <w:t>HPV-Status als weiteren Stratifizierungsparameter</w:t>
      </w:r>
      <w:bookmarkEnd w:id="97"/>
    </w:p>
    <w:p w14:paraId="5639FEDF" w14:textId="77777777" w:rsidR="000C51F3" w:rsidRPr="00812C16" w:rsidRDefault="000C51F3" w:rsidP="000C51F3">
      <w:pPr>
        <w:rPr>
          <w:rFonts w:cs="Arial"/>
        </w:rPr>
      </w:pPr>
    </w:p>
    <w:p w14:paraId="09F3921F" w14:textId="77777777" w:rsidR="00980CFA" w:rsidRPr="00812C16" w:rsidRDefault="00980CFA" w:rsidP="00402210">
      <w:pPr>
        <w:spacing w:after="0"/>
        <w:jc w:val="left"/>
        <w:rPr>
          <w:rFonts w:cs="Arial"/>
        </w:rPr>
      </w:pPr>
      <w:r w:rsidRPr="00812C16">
        <w:rPr>
          <w:rFonts w:cs="Arial"/>
        </w:rPr>
        <w:br w:type="page"/>
      </w:r>
      <w:r w:rsidRPr="00812C16">
        <w:rPr>
          <w:rFonts w:cs="Arial"/>
        </w:rPr>
        <w:lastRenderedPageBreak/>
        <w:br w:type="page"/>
      </w:r>
      <w:r w:rsidRPr="00812C16">
        <w:rPr>
          <w:rFonts w:cs="Arial"/>
        </w:rPr>
        <w:lastRenderedPageBreak/>
        <w:t xml:space="preserve">Während mehrere frühere Studien starke Beweise dafür lieferten, dass der HPV-Status ein signifikanter prognostischer Marker für die lokoregionale Tumorkontrolle und/oder das Überleben bei Patienten ist, die mit primärer Strahlentherapie oder Radiochemotherapie für lokal fortgeschrittenes HNSCC [14], [16], [18], [19] behandelt werden, sind die Auswirkungen des HPV-Status auf das Ergebnis einer postoperativen Radio(Chemotherapie weniger gut untersucht. Die Ergebnisse der vorliegenden multizentrischen retrospektiven Studie des DKTK-ROG zeigen, dass die HPV16-DNA-Positivität ein signifikanter Prognostiker der lokoregionalen Tumorkontrolle und des Überlebens von Patienten ist, die nach einer chirurgischen Resektion von lokal fortgeschrittenem HNSCC mit einer postoperativer Radiochemotherapie auf Die Wirkung scheint in allen Behandlungszentren robust zu sein und wird durch die Ergebnisse von Oropharyngealkrebs angetrieben. Unsere Ergebnisse stehen im Einklang mit einer Studie von Snietura et al., die den Einfluss einer HPV-Infektion auf das klinische Ergebnis in einer Post-hoc-Analyse einer randomisierten klinischen Studie mit zwei verschiedenen PORT-Schemas ohne Chemotherapie bei 279 HNSCC-Patienten untersuchte. Die HPV-Analyse wurde bei Tumoren von 131 Patienten durchgeführt. Von den 66 Patienten mit oraler Kavität oder oropharyngealem Karzinom erwiesen sich 9 als positiv für HPV16-DNA und wurden nach 5 Jahren lokal kontrolliert, während die lokoregionale Tumorkontrollrate in der gesamten HPV-DNA-Negativgruppe nur 58 % betrug [24]. Zusammengenommen scheint die HPV16-DNA ein potenziell vielversprechender Biomarker für die Schichtung und individuelle Verschreibung der postoperativen Strahlentherapie zu sein. Die HPV-Positivität scheint ausreichen, um eine Patientenkohorte zu definieren, die nach PORT-C höchst unwahrscheinlich lokoregionale Rezidivenzen entwickelt, was im Gegensatz zur primären Strahlenchemotherapie steht, bei der mehr Schichtungsparameter erforderlich sind [25]. Dieser Unterschied zwischen den beiden Behandlungsansätzen kann dadurch verursacht werden, dass solche zusätzlichen Faktoren, am offensichtlichsten Tumorvolumen, bei der Reseziert des Tumors eine geringere Rolle spielen. Andere patientenbezogene Risikofaktoren wie der Raucherstatus konnten in unserem Datensatz nicht ausgewertet werden, könnten aber auch relevant sein. Wir führen derzeit ähnliche Analysen in einer Patientenkohorte durch, die von denselben Zentren und innerhalb desselben Zeitraums mit der primären Radiochemotherapie behandelt wurde, um solche Differentialprognosen mit einem mehrdimensionalen </w:t>
      </w:r>
      <w:r w:rsidRPr="00812C16">
        <w:rPr>
          <w:rFonts w:cs="Arial"/>
        </w:rPr>
        <w:lastRenderedPageBreak/>
        <w:t>statistischen Ansatz einschließlich radiobiologischer Schätzungen, z.B. zur Tumorzellzahl, weiter zu bewerten. Für die Gruppe der HPV-negativen Patienten ist die Situation weitgehend anders. Hier kann HPV nicht als einziger Biomarker verwendet werden, um Tumorrezidiven vorherzusagen, wie die geringe Empfindlichkeit von 38 % oder 41 % für HPV16-DNA oder p16-Positivität zeigt. Daher benötigt die HPV-negative Gruppe weitere Untersuchungen potenzieller Biomarker, die für Patienten, die möglicherweise eine Intensivierung der Behandlung benötigen, und für Patienten, für die kein lokales Wiederauftreten zu erwarten ist, schichten.</w:t>
      </w:r>
    </w:p>
    <w:p w14:paraId="60397252" w14:textId="77777777" w:rsidR="00980CFA" w:rsidRPr="00812C16" w:rsidRDefault="00980CFA" w:rsidP="00980CFA">
      <w:pPr>
        <w:spacing w:after="0"/>
        <w:rPr>
          <w:rFonts w:cs="Arial"/>
        </w:rPr>
      </w:pPr>
    </w:p>
    <w:p w14:paraId="16E3A36F" w14:textId="77777777" w:rsidR="00980CFA" w:rsidRPr="00812C16" w:rsidRDefault="00980CFA" w:rsidP="00980CFA">
      <w:pPr>
        <w:spacing w:after="0"/>
        <w:rPr>
          <w:rFonts w:cs="Arial"/>
        </w:rPr>
      </w:pPr>
      <w:r w:rsidRPr="00812C16">
        <w:rPr>
          <w:rFonts w:cs="Arial"/>
        </w:rPr>
        <w:t>Derzeit läuft eine prospektive multizentrische Studie des DKTK-ROG, um den prognostischen Wert der HPV16-DNA-Positivität für die lokoregionale Tumorkontrolle nach PORT-C bei 240 HNSCC-Patienten zu validieren. Wenn die Ergebnisse dieser retrospektiven Kohorte bestätigt werden, wird eine interventionelle Studie zur Deeskalation der PORT-C-Strahlungsdosen bei HPV16-DNA-positiven, klinisch geeigneten Oropharyngealkrebspatienten eingeleitet. Die Spezifitätsbewertung der HPV16-DNA-Positivität für die lokoregionale Tumorkontrolle aus dieser Untersuchung legt nahe, dass bei einer moderaten Abnahme der Strahlendosis bei diesen Patienten nur sehr wenige, wenn überhaupt, Wiederauftreten zu erwarten sind, daher können in einer solchen Studie strenge Stoppregeln für die Patientensicherheit gegen das Risiko einer minderwertigen Behandlung angewendet werden, z.B. mit einem Pocock-Grenzansatz [26]. Eine weitere Verfeinerung der Risikoschichtung speziell für die HPV-negative Gruppe kann sich aus einer prospektiven Bewertung klinischer Parameter [27] in der Validierungsstudie und aus den laufenden Bemühungen ergeben, weitere Biomarker in der aktuellen Retrospektive und in der Validierungspatientenkohorte zu identifizieren.</w:t>
      </w:r>
    </w:p>
    <w:p w14:paraId="3601A587" w14:textId="77777777" w:rsidR="00980CFA" w:rsidRPr="00812C16" w:rsidRDefault="00980CFA" w:rsidP="00980CFA">
      <w:pPr>
        <w:spacing w:after="0"/>
        <w:rPr>
          <w:rFonts w:cs="Arial"/>
        </w:rPr>
      </w:pPr>
    </w:p>
    <w:p w14:paraId="7837FB77" w14:textId="77777777" w:rsidR="00980CFA" w:rsidRPr="00812C16" w:rsidRDefault="00980CFA" w:rsidP="00980CFA">
      <w:pPr>
        <w:spacing w:after="0"/>
        <w:rPr>
          <w:rFonts w:cs="Arial"/>
        </w:rPr>
      </w:pPr>
      <w:r w:rsidRPr="00812C16">
        <w:rPr>
          <w:rFonts w:cs="Arial"/>
        </w:rPr>
        <w:t xml:space="preserve">Das geringe Risiko eines lokoregionalen Wiederauftretens bei HPV16-DNA-positiven Oropharyngealkarzinomen nach kurativ beabsichtigter Resektion und PORT-C deutet darauf hin, dass entweder zu Beginn von PORT-C weniger Tumorstammzellen vorhanden sind, dass die verbleibenden HPV-positiven Tumorzellen radio-(chemo-)empfindlicher sind oder eine Kombination aus beidem. Kürzlich wurde berichtet, dass HPV-positive Oropharyngealkrebs eine geringe Expression von Stammzellmarkern wie CD44 und CD98 im Vergleich zu HPV-negativen Oropharyngealkarzinomen zeigt </w:t>
      </w:r>
      <w:r w:rsidRPr="00812C16">
        <w:rPr>
          <w:rFonts w:cs="Arial"/>
        </w:rPr>
        <w:lastRenderedPageBreak/>
        <w:t>[28]. Darüber hinaus zeigten Patienten mit HPV-positiven und niedrigen CD98-exprimierenden Tumoren ein besseres Gesamtüberleben und ein progressionsfreies Überleben im Vergleich zu Patienten mit hohen CD98-exprimierenden HPV-positiven Tumoren. Die erhöhte Radioempfindlichkeit von HPV-positiven Tumorzellen wird durch eine Reihe von Untersuchungen unterstützt. HPV-positive HNSCC-Zelllinien (alle positiv für HPV-DNA, HPV-RNA und p16), die durch einen Koloniebildungstest in vitro bewertet wurden, zeigten aufgrund der beeinträchtigten DNA-Reparaturkapazität eine höhere zelluläre Radioempfindlichkeit im Vergleich zu HPV-negativen Zelllinien [29]. Ähnliche Beobachtungen wurden von anderen berichtet [30],[31]. Weitere Beobachtungen, die sowohl In-vitro- als auch in In-vivo-Ansätze verwenden, deuten darauf hin, dass überexprimiertes p16 die Rekrutierung von RAD51 an die DNA-Schädensstelle in HPV-positivem HNSCC durch Downregulation von Cyclin D1 beeinträchtigt und damit den Zellzyklus und die homologe rekombinations</w:t>
      </w:r>
    </w:p>
    <w:p w14:paraId="16B6F2C1" w14:textId="77777777" w:rsidR="00980CFA" w:rsidRPr="00812C16" w:rsidRDefault="00980CFA" w:rsidP="00980CFA">
      <w:pPr>
        <w:spacing w:after="0"/>
        <w:rPr>
          <w:rFonts w:cs="Arial"/>
        </w:rPr>
      </w:pPr>
    </w:p>
    <w:p w14:paraId="038B8699" w14:textId="77777777" w:rsidR="00980CFA" w:rsidRPr="00812C16" w:rsidRDefault="00980CFA" w:rsidP="00980CFA">
      <w:pPr>
        <w:spacing w:after="0"/>
        <w:rPr>
          <w:rFonts w:cs="Arial"/>
        </w:rPr>
      </w:pPr>
      <w:r w:rsidRPr="00812C16">
        <w:rPr>
          <w:rFonts w:cs="Arial"/>
        </w:rPr>
        <w:t>Es gibt derzeit keinen allgemein vereinbarten Konsens für die Bewertung des HPV-Infektionsstatus als potenzieller Biomarker; allgemeine Methoden zur Bewertung der HPV-Infektion umfassen HPV-DNA, HPV-RNA und p16-Überexpression [33], [34], [35]. Die überwiegende Mehrheit des HPV-positiven HNSCC hat sich als positiv für HPV16-DNA [21], [36] erwiesen, was den hier berichteten Ergebnissen entspricht. HPV16-DNA zeigte stärkere Korrelationen mit den Ergebnisparametern im Vergleich zur p16-Immunhistochemie in einer Kohorte von 50 Patienten mit oropharyngealen Tumoren, die eine primäre Radiochemotherapie erhielten [37]. Auch in unserer Studie erscheint HPV16 DNA als stärkerer Prognostiker für die lokoregionale Tumorkontrolle im Vergleich zur p16-Expression (Tabelle 4 vs. Ergänzende Tabelle S2), dies muss jedoch in einer größeren Kohorte validiert werden.</w:t>
      </w:r>
    </w:p>
    <w:p w14:paraId="1AB73CB4" w14:textId="77777777" w:rsidR="00980CFA" w:rsidRPr="00812C16" w:rsidRDefault="00980CFA" w:rsidP="00980CFA">
      <w:pPr>
        <w:spacing w:after="0"/>
        <w:rPr>
          <w:rFonts w:cs="Arial"/>
        </w:rPr>
      </w:pPr>
    </w:p>
    <w:p w14:paraId="02A083CF" w14:textId="77777777" w:rsidR="00980CFA" w:rsidRPr="00812C16" w:rsidRDefault="00980CFA" w:rsidP="00980CFA">
      <w:pPr>
        <w:spacing w:after="0"/>
        <w:rPr>
          <w:rFonts w:cs="Arial"/>
        </w:rPr>
      </w:pPr>
      <w:r w:rsidRPr="00812C16">
        <w:rPr>
          <w:rFonts w:cs="Arial"/>
        </w:rPr>
        <w:t xml:space="preserve">In der vorliegenden Studie war HPV16 DNA-Positivität ein starker unabhängiger Prognostiker für die lokoregionale Tumorkontrolle bei Oropharyngeal-, aber nicht bei Mundhöhlentumoren. Im Gegensatz dazu wurde bei Mundhöhlentumoren eine erhöhte p53-Positivität beobachtet, was auf einen alternativen Weg für die Tumorentwicklung hindeutet, z.B. Lebensstilfaktoren. Es ist bekannt, dass das Tumorsuppressorgen TP53 an der Karzinogenese von HNSCC beteiligt ist [38], und seine Überexpression wird bei starken Rauchern und schweren Trinkern berichtet [39], [40]. Erhöhte Positivität wurde mit TP53-Genmutationen in Verbindung gebracht, die zur </w:t>
      </w:r>
      <w:r w:rsidRPr="00812C16">
        <w:rPr>
          <w:rFonts w:cs="Arial"/>
        </w:rPr>
        <w:lastRenderedPageBreak/>
        <w:t>Stabilisierung und nuklearen Akkumulation von p53-Proteinen führen können[41]. Es wurde gezeigt, dass das HPV-Onkoprotein E6 p53 [42], [43] inaktiviert und hemmt, was der Tatsache entspricht, dass der Großteil unserer HPV-positiven Studienkohorte für p53 negativ war.</w:t>
      </w:r>
    </w:p>
    <w:p w14:paraId="62ED5B70" w14:textId="77777777" w:rsidR="00980CFA" w:rsidRPr="00812C16" w:rsidRDefault="00980CFA" w:rsidP="00980CFA">
      <w:pPr>
        <w:spacing w:after="0"/>
        <w:rPr>
          <w:rFonts w:cs="Arial"/>
        </w:rPr>
      </w:pPr>
    </w:p>
    <w:p w14:paraId="46D9BD38" w14:textId="77777777" w:rsidR="00980CFA" w:rsidRPr="00812C16" w:rsidRDefault="00980CFA" w:rsidP="00980CFA">
      <w:pPr>
        <w:spacing w:after="0"/>
        <w:rPr>
          <w:rFonts w:cs="Arial"/>
        </w:rPr>
      </w:pPr>
      <w:r w:rsidRPr="00812C16">
        <w:rPr>
          <w:rFonts w:cs="Arial"/>
        </w:rPr>
        <w:t>In unserer Studie ist die extrakapseuläre Verlängerung der Lymphknoten ein prognostischer Faktor für das Gesamtüberleben bei Patienten mit oralen Hohlraumkarzinomen, aber nicht in der gesamten Patientenpopulation. Dies scheint im Gegensatz zu den Ergebnissen der Metaanalyse von Bernier et al. zu stehen, die zeigt, dass positive Margen und/oder extrakapseuläre Verlängerung die wichtigsten Prognosen für ein schlechtes Ergebnis/Gesamtüberleben sind [9]. Diese Metaanalyse schichtet jedoch nicht zwischen Mundhöhle und Oropharyngealkrebs, und molekulare Biomarker wurden in den Studien, die in der Metaanalyse enthalten waren, nicht als verwirrende Faktoren untersucht (EORTC- und RTOG-Studien). Darüber hinaus könnten Patienten, die in die EORTC- und RTOG-Studien einbezogen werden, eine andere Population widerspiegeln als die in dieser Studie analysierte Patientenkohorte, was die Notwendigkeit einer konstanten Markeranpassung für die Patientenschichtung unterstreicht. Weitere Bemühungen zur Untersuchung verschiedener Biomarker speziell für die HPV-negative Gruppe, die eine postoperative Radiochemotherapie erhält, sowie für die primäre Radiochemotherapie sind derzeit im DKTK-ROG unter Verwendung von Material der hier berichteten Kohorte und der Validierungsstudie im Gange.</w:t>
      </w:r>
    </w:p>
    <w:p w14:paraId="2A3CDC8B" w14:textId="77777777" w:rsidR="00980CFA" w:rsidRPr="00812C16" w:rsidRDefault="00980CFA" w:rsidP="00980CFA">
      <w:pPr>
        <w:spacing w:after="0"/>
        <w:rPr>
          <w:rFonts w:cs="Arial"/>
        </w:rPr>
      </w:pPr>
    </w:p>
    <w:p w14:paraId="7BE59A1B" w14:textId="77777777" w:rsidR="00980CFA" w:rsidRPr="00812C16" w:rsidRDefault="00980CFA" w:rsidP="00980CFA">
      <w:pPr>
        <w:spacing w:after="0"/>
        <w:rPr>
          <w:rFonts w:cs="Arial"/>
        </w:rPr>
      </w:pPr>
      <w:r w:rsidRPr="00812C16">
        <w:rPr>
          <w:rFonts w:cs="Arial"/>
        </w:rPr>
        <w:t>Abschließend zeigen unsere Ergebnisse dieser retrospektiven explorativen multizentrischen Studie, dass die HPV16-DNA nach postoperativer Cisplatin-basierter Radiochemotherapie des lokal fortgeschrittenen Oropharyngealkarzinoms ein starker Prognostiker der lokoregionalen Tumorkontrolle zu sein scheint und daher ein vielversprechender Biomarker für die Patientenschicht Die Wirkung schien über die 8 Behandlungszentren robust zu sein. Bei Patienten mit HPV16 DNA-positivem oropharyngealem Karzinom kann die Deintensifikation eine gültige interventionelle Option für eine derzeit vorbereitete prospektive Studie sein.</w:t>
      </w:r>
    </w:p>
    <w:p w14:paraId="3256074E" w14:textId="77777777" w:rsidR="00980CFA" w:rsidRPr="00812C16" w:rsidRDefault="00980CFA">
      <w:pPr>
        <w:spacing w:after="0"/>
        <w:jc w:val="left"/>
        <w:rPr>
          <w:rFonts w:cs="Arial"/>
        </w:rPr>
      </w:pPr>
      <w:r w:rsidRPr="00812C16">
        <w:rPr>
          <w:rFonts w:cs="Arial"/>
        </w:rPr>
        <w:br w:type="page"/>
      </w:r>
    </w:p>
    <w:p w14:paraId="2962FACD" w14:textId="77777777" w:rsidR="00980CFA" w:rsidRPr="00812C16" w:rsidRDefault="00980CFA">
      <w:pPr>
        <w:spacing w:after="0"/>
        <w:jc w:val="left"/>
        <w:rPr>
          <w:rFonts w:cs="Arial"/>
        </w:rPr>
      </w:pPr>
      <w:r w:rsidRPr="00812C16">
        <w:rPr>
          <w:rFonts w:cs="Arial"/>
        </w:rPr>
        <w:lastRenderedPageBreak/>
        <w:br w:type="page"/>
      </w:r>
    </w:p>
    <w:p w14:paraId="553C5E8B" w14:textId="77777777" w:rsidR="00980CFA" w:rsidRPr="00812C16" w:rsidRDefault="00980CFA" w:rsidP="00980CFA">
      <w:pPr>
        <w:spacing w:after="0"/>
        <w:rPr>
          <w:rFonts w:cs="Arial"/>
        </w:rPr>
      </w:pPr>
      <w:r w:rsidRPr="00812C16">
        <w:rPr>
          <w:rFonts w:cs="Arial"/>
        </w:rPr>
        <w:lastRenderedPageBreak/>
        <w:t>Zuvor haben wir und andere gezeigt, dass der HPV-Infektionsstatus ein starker Prognostiker für die lokoregionale Kontrolle bei Patienten mit lokal fortgeschrittenem HNSCC ist, die eine postoperative Radio(Chemotherapie (6, 28, 29) mit einer verbesserten lokoregionalen Kontrolle und Radioempfindlichkeit von HPV16 DNA-positiv im Vergleich zu HPV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 könnte.</w:t>
      </w:r>
    </w:p>
    <w:p w14:paraId="0803CCB2" w14:textId="77777777" w:rsidR="00980CFA" w:rsidRPr="00812C16" w:rsidRDefault="00980CFA" w:rsidP="00980CFA">
      <w:pPr>
        <w:spacing w:after="0"/>
        <w:rPr>
          <w:rFonts w:cs="Arial"/>
        </w:rPr>
      </w:pPr>
    </w:p>
    <w:p w14:paraId="14D0861C" w14:textId="77777777" w:rsidR="00980CFA" w:rsidRPr="00812C16" w:rsidRDefault="00980CFA" w:rsidP="00980CFA">
      <w:pPr>
        <w:spacing w:after="0"/>
        <w:rPr>
          <w:rFonts w:cs="Arial"/>
        </w:rPr>
      </w:pPr>
      <w:r w:rsidRPr="00812C16">
        <w:rPr>
          <w:rFonts w:cs="Arial"/>
        </w:rPr>
        <w:t xml:space="preserve">Der Sauerstoffversorgungsstatus der Tumore ist einer der bekannten Biomarker für das Ergebnis der primären Strahlentherapie in HNSCC, d.h. von makroskopischen Tumoren, die keiner chirurgischen Entfernung unterzogen wurden. Hier wollten wir die Relevanz des Hypoxiestatus anhand der Hypoxie-Gensignaturen von Toustrup und Kollegen (15) und Eustace und Kollegen (16) in der Tumorprobe bestimmen, die durch chirurgische Resektion vor PORT-C erhalten wurde. Wir fanden heraus, dass der Hypoxiestatus vor der Behandlung bei Patienten mit PORT-C prognostisch war. Patienten mit hohen Hypoxiespiegeln in der vor PORT-C erhaltenen chirurgischen Probe hatten im Vergleich zu Patienten mit niedrigen hypoxischen Tumoren eine schlechte lokoregionale Tumorkontrolle. Dieser Effekt führt hauptsächlich zu der Untergruppe von HPV-negativem HNSCC. Unter Berücksichtigung der Tatsache, dass Hypoxie in der chirurgischen Probe untersucht und die Radiochemotherapie nach der Operation auf die potenziellen Resttumorzellen angewendet wurde, ist die Feststellung eines signifikanten Zusammenhangs von Hypoxie innerhalb des resezierten Primärtumors mit dem Ergebnis von PORT-C auf den ersten Blick überraschend. Da es unwahrscheinlich ist, dass sich die geringe Anzahl von Resttumorzellen nach der Operation auch in der Hypoxie unterscheidet, deutet diese Erkenntnis darauf hin, dass Hypoxie das Ergebnis der Strahlentherapie nicht nur durch eine direkte biochemische oder radiobiologische Wirkung auf die zelluläre Radioresistenz des Tumors, sondern </w:t>
      </w:r>
      <w:r w:rsidRPr="00812C16">
        <w:rPr>
          <w:rFonts w:cs="Arial"/>
        </w:rPr>
        <w:lastRenderedPageBreak/>
        <w:t>auch durch andere radiobiologische Mechanismen beeinflusst. Dies würde mit früheren experimentellen Daten aus unserem Labor übereinstimmen, die zeigen, dass die Hypoxie vor der Behandlung die lokale Tumorkontrolle nach der Strahlentherapie auch dann beeinflusst, wenn die Strahlentherapie unter homogenen anoxischen Bedingungen angewendet wurde (20). Da jüngste Studien darauf hindeuteten, dass Tumorhypoxie auch Stamm- und invasives Wachstum als externen Faktor begünstigt (überprüft in Ref. 30–33), untersuchten wir die Rolle potenzieller CSC-Marker in unserer Kohorte. Es ist bekannt, dass CSCs eine wichtige Rolle bei der Radioresistenz spielen (überprüft in Ref. 34), und eine hochhypoxische Tumormikroumgebung trägt zu einem erhöhten clonogenen Potenzial bei (20, 35).</w:t>
      </w:r>
    </w:p>
    <w:p w14:paraId="1EB5918D" w14:textId="77777777" w:rsidR="00980CFA" w:rsidRPr="00812C16" w:rsidRDefault="00980CFA" w:rsidP="00980CFA">
      <w:pPr>
        <w:spacing w:after="0"/>
        <w:rPr>
          <w:rFonts w:cs="Arial"/>
        </w:rPr>
      </w:pPr>
    </w:p>
    <w:p w14:paraId="369D9C99" w14:textId="77777777" w:rsidR="00980CFA" w:rsidRPr="00812C16" w:rsidRDefault="00980CFA" w:rsidP="00980CFA">
      <w:pPr>
        <w:spacing w:after="0"/>
        <w:rPr>
          <w:rFonts w:cs="Arial"/>
        </w:rPr>
      </w:pPr>
      <w:r w:rsidRPr="00812C16">
        <w:rPr>
          <w:rFonts w:cs="Arial"/>
        </w:rPr>
        <w:t>CD44 ist ein weithin erforschter CSC-Marker in HNSCC (30, 36, 37). Eine Studie von de Jong und Kollegen zeigte, dass CD44- und CD44-Proteinspiegel ein lokales Wiederauftreten nach Strahlentherapie bei Patienten mit Kehlkopfkrebs im Frühstadium signifikant vorhersagen (38). Hier haben wir gezeigt, dass Patienten mit chirurgisch resezierten Tumoren ohne nachweisbare CD44-Proteinexpression die lokoregionalen Tumorkontrollraten im Vergleich zu Patienten mit CD44-Proteinexprimierenden Tumoren erhöht haben.</w:t>
      </w:r>
    </w:p>
    <w:p w14:paraId="578D7345" w14:textId="77777777" w:rsidR="00980CFA" w:rsidRPr="00812C16" w:rsidRDefault="00980CFA" w:rsidP="00980CFA">
      <w:pPr>
        <w:spacing w:after="0"/>
        <w:rPr>
          <w:rFonts w:cs="Arial"/>
        </w:rPr>
      </w:pPr>
    </w:p>
    <w:p w14:paraId="688C082A" w14:textId="77777777" w:rsidR="00980CFA" w:rsidRPr="00812C16" w:rsidRDefault="00980CFA" w:rsidP="00980CFA">
      <w:pPr>
        <w:spacing w:after="0"/>
        <w:rPr>
          <w:rFonts w:cs="Arial"/>
        </w:rPr>
      </w:pPr>
      <w:r w:rsidRPr="00812C16">
        <w:rPr>
          <w:rFonts w:cs="Arial"/>
        </w:rPr>
        <w:t>Vor kurzem wurde CD98 experimentell als mutmaßlicher CSC-Marker (39) etabliert. In einer Studie mit 711 Patienten mit oropharyngealem Plattenepithelkarzinom wurde gezeigt, dass HPV-positive Tumore weniger CSC-Marker wie CD44 und CD98 exprimieren, während CD44- und CD98-Positivität mit signifikant geringerem progressionsfreien und OS (40) verbunden war. In unserer Patientenkohorte fanden wir heraus, dass Patienten mit hoher Expression von SLC3A2, das für eines der CD98-Hetodimere kodiert, auch nach PORT-C eine schlechte lokoregionale Tumorkontrolle und ein erhöhtes Risiko für entfernte Metastasen aufweisen.</w:t>
      </w:r>
    </w:p>
    <w:p w14:paraId="5F2214E3" w14:textId="77777777" w:rsidR="00980CFA" w:rsidRPr="00812C16" w:rsidRDefault="00980CFA" w:rsidP="00980CFA">
      <w:pPr>
        <w:spacing w:after="0"/>
        <w:rPr>
          <w:rFonts w:cs="Arial"/>
        </w:rPr>
      </w:pPr>
    </w:p>
    <w:p w14:paraId="39883C4E" w14:textId="77777777" w:rsidR="00980CFA" w:rsidRPr="00812C16" w:rsidRDefault="00980CFA" w:rsidP="00980CFA">
      <w:pPr>
        <w:spacing w:after="0"/>
        <w:rPr>
          <w:rFonts w:cs="Arial"/>
        </w:rPr>
      </w:pPr>
      <w:r w:rsidRPr="00812C16">
        <w:rPr>
          <w:rFonts w:cs="Arial"/>
        </w:rPr>
        <w:t xml:space="preserve">Es wurde gezeigt, dass der MET-Weg die Selbsterneuerung und Tumorgenität in stammähnlichen HNSCC-ähnlichen Zellen fördert (41), und es wurde gezeigt, dass die pharmakologische selektive Hemmung der MET zur Elimination von CSCs führt (42). Darüber hinaus wurde festgestellt, dass MET mit einer schlechten Prognose bei Patienten mit lokal fortgeschrittenem p16-negativem HNSCC verbunden ist, die mit einer primären Radiochemotherapie behandelt wurden (43). In der aktuellen Studie </w:t>
      </w:r>
      <w:r w:rsidRPr="00812C16">
        <w:rPr>
          <w:rFonts w:cs="Arial"/>
        </w:rPr>
        <w:lastRenderedPageBreak/>
        <w:t>haben wir gezeigt, dass MET-überexprimierende HPV16-DNA-negative HNSCC mit einer schlechten lokoregionalen Tumorkontrolle und erhöhten entfernten Metastasen nach PORT-C verbunden sind. Interessanterweise zeigten Pennacchietti und Kollegen, dass Hypoxie die Transkription des MET-Protoonkogens aktiviert, dass die MET-Überexpression mit hypoxischen Tumorbereichen verbunden ist und dass die MET-Hemmung ein hypoxiebedingtes Zellwachstum verhindert (44). Unsere Daten, die eine positive Korrelation der MET mit Tumorhypoxie zeigen, unterstützen diesen Zusammenhang beider Faktoren. Dennoch zeigte die relativ geringe Anzahl niedriger hypoxischer Tumoren in der HPV16 DNA-negativ/MET-positiven Gruppe eine signifikant höhere lokoregionale Kontrollrate im Vergleich zu den hochhypoxischen MET-positiven Tumoren. Darüber hinaus deuten unsere Daten darauf hin, dass SLC3A2 und MET bei Patienten mit HPV16 DNA-negativen Tumoren geeignete Marker sein können, um eine Gruppe von Patienten zu bestimmen, die eine sehr schlechte Prognose haben und daher von der Intensivierung der Behandlung profitieren können.</w:t>
      </w:r>
    </w:p>
    <w:p w14:paraId="3A7E4F22" w14:textId="77777777" w:rsidR="00980CFA" w:rsidRPr="00812C16" w:rsidRDefault="00980CFA" w:rsidP="00980CFA">
      <w:pPr>
        <w:spacing w:after="0"/>
        <w:rPr>
          <w:rFonts w:cs="Arial"/>
        </w:rPr>
      </w:pPr>
    </w:p>
    <w:p w14:paraId="1AAE9A2E" w14:textId="77777777" w:rsidR="00980CFA" w:rsidRPr="00812C16" w:rsidRDefault="00980CFA" w:rsidP="00980CFA">
      <w:pPr>
        <w:spacing w:after="0"/>
        <w:rPr>
          <w:rFonts w:cs="Arial"/>
        </w:rPr>
      </w:pPr>
      <w:r w:rsidRPr="00812C16">
        <w:rPr>
          <w:rFonts w:cs="Arial"/>
        </w:rPr>
        <w:t xml:space="preserve">Obwohl die in dieser Studie verwendeten Hypoxieprofile für die lokoregionale Tumorkontrolle prognostisch waren, waren sie kein Hinweis auf ein erhöhtes Risiko entfernter Metastasen (Tabelle 1). Dies erscheint angesichts experimenteller und klinischer Daten, die zeigen, dass Hypoxie entfernte Metastasen antreiben kann (31, 45–47), kontraintuitiv. Nach unserem besten Wissen wurde dies jedoch bisher im HNSCC im postoperativen Umfeld nicht untersucht. Einige der Gene in den Hypoxieprofilen, die in unserer Studie verwendet werden, könnten auch mit anderen biologischen Phänomenen in Verbindung gebracht werden, einschließlich der Stammheit von Krebszellen. Die Korrelationskoeffizienten zwischen den verschiedenen CSC-Markern und Hypoxieprofilen (Tabelle 3) deuten darauf hin, dass, obwohl eine signifikante Korrelation vorliegt, beide Parameter weitgehend unabhängig voneinander ausgedrückt werden. Im Gegensatz zu den Hypoxieprofilen korrelierte die CSC-Markerexpression in unserer Studie nicht nur mit der lokoregionalen Kontrolle, sondern auch mit entfernten Metastasen. Die Expression von CSC-Markern wurde als potenzielles Surrogat der CSC-Dichte vorgeschlagen, d.h. der Anzahl der Zellen, die pro gegebenem Tumorgewebevolumen metastasieren können (30, 34, 36, 46, 48, 49). Weitere mechanistische Untersuchungen des Zusammenhangs von Hypoxie, Stammheit und metastasierendem Risiko in HNSCC in Korrelation mit klinischen </w:t>
      </w:r>
      <w:r w:rsidRPr="00812C16">
        <w:rPr>
          <w:rFonts w:cs="Arial"/>
        </w:rPr>
        <w:lastRenderedPageBreak/>
        <w:t>Daten scheinen daher ein interessanter Weg für eine bessere Schichtung der Patienten für systemische Therapien und für die Entdeckung neuer Ziele zu sein. Eine wichtige Besonderheit unserer Studie ist, dass Biomarker in einer Kohorte von Patienten untersucht wurden, die postoperativ per Strahlenchemotherapie behandelt wurden, mit insgesamt höheren lokoregionalen Kontrollraten im Vergleich zu Studien zur Bewertung der primären Strahlenchemotherapie bei HPV-negativem oder -positivem HNSCC (50). Derzeit ist nicht bekannt, ob sich das prädiktive Potenzial von Biomarkern für die verschiedenen klinischen Risikogruppen unterscheidet, die eine postoperative oder primäre Radiochemotherapie erhalten. Um diese Frage anzugehen, wird die letztere Risikogruppe von Patienten derzeit mit den gleichen Biomarkern bewertet, die hier vom DKTK-ROG untersucht wurden.</w:t>
      </w:r>
    </w:p>
    <w:p w14:paraId="375D8D7C" w14:textId="77777777" w:rsidR="00980CFA" w:rsidRPr="00812C16" w:rsidRDefault="00980CFA" w:rsidP="00980CFA">
      <w:pPr>
        <w:spacing w:after="0"/>
        <w:rPr>
          <w:rFonts w:cs="Arial"/>
        </w:rPr>
      </w:pPr>
    </w:p>
    <w:p w14:paraId="1B099F6C" w14:textId="77777777" w:rsidR="00B627F8" w:rsidRPr="00812C16" w:rsidRDefault="00980CFA" w:rsidP="00980CFA">
      <w:pPr>
        <w:spacing w:after="0"/>
        <w:rPr>
          <w:rFonts w:cs="Arial"/>
        </w:rPr>
        <w:sectPr w:rsidR="00B627F8" w:rsidRPr="00812C16" w:rsidSect="00AB18EC">
          <w:headerReference w:type="default" r:id="rId39"/>
          <w:type w:val="continuous"/>
          <w:pgSz w:w="11906" w:h="16838"/>
          <w:pgMar w:top="1418" w:right="1416" w:bottom="1134" w:left="1418" w:header="709" w:footer="709" w:gutter="0"/>
          <w:pgNumType w:fmt="numberInDash"/>
          <w:cols w:space="708"/>
          <w:docGrid w:linePitch="360"/>
        </w:sectPr>
      </w:pPr>
      <w:r w:rsidRPr="00812C16">
        <w:rPr>
          <w:rFonts w:cs="Arial"/>
        </w:rPr>
        <w:t>Zusammengenommen ist dies die erste systematische multizentrische Analyse, die einen Zusammenhang zwischen hohen Konzentrationen von Tumorhypoxie und CSC-Markerexpression innerhalb des chirurgisch entfernten Primärtumors mit beeinträchtigter lokoregionaler Tumorkontrolle nach PORT-C in HNSCC zeigt. In HPV16 DNA-negativem HNSCC kann die Negativität für diese Parameter helfen, eine Untergruppe von Patienten mit lokoregionalen Kontrollraten zu identifizieren, die so hoch sind wie bei HPV16 DNA-positiven Tumoren beobachtet. Darüber hinaus scheinen Hypoxie- und CSC-Marker-positive Tumoren eine Untergruppe von Patienten darzustellen, die mit dem aktuellen Standard-PORT-C unterbehandelt ist. Nach der Validierung in einer derzeit laufenden prospektiven Studie können diese Parameter dazu beitragen, Patienten für individualisierte Behandlungsdeeskalations- oder Intensivierungsstrategien weiter zu schichten.</w:t>
      </w:r>
    </w:p>
    <w:p w14:paraId="5B35AFC0" w14:textId="77777777" w:rsidR="00306314" w:rsidRPr="00812C16" w:rsidRDefault="00306314" w:rsidP="001830EA">
      <w:pPr>
        <w:pStyle w:val="berschrift1"/>
        <w:rPr>
          <w:rFonts w:cs="Arial"/>
        </w:rPr>
      </w:pPr>
      <w:bookmarkStart w:id="98" w:name="_Toc158006551"/>
      <w:r w:rsidRPr="00812C16">
        <w:rPr>
          <w:rFonts w:cs="Arial"/>
        </w:rPr>
        <w:t>Erklärungen zur Eröffnung des Promotionsverfahrens</w:t>
      </w:r>
      <w:bookmarkEnd w:id="98"/>
    </w:p>
    <w:p w14:paraId="35A43776" w14:textId="77777777" w:rsidR="00306314" w:rsidRPr="00812C16" w:rsidRDefault="00306314" w:rsidP="00306314">
      <w:pPr>
        <w:rPr>
          <w:rFonts w:cs="Arial"/>
          <w:lang w:eastAsia="de-DE"/>
        </w:rPr>
      </w:pPr>
      <w:r w:rsidRPr="00812C16">
        <w:rPr>
          <w:rFonts w:cs="Arial"/>
          <w:lang w:eastAsia="de-DE"/>
        </w:rPr>
        <w:t xml:space="preserve">Technische Universität Dresden </w:t>
      </w:r>
    </w:p>
    <w:p w14:paraId="77F0741E" w14:textId="77777777" w:rsidR="00306314" w:rsidRPr="00812C16" w:rsidRDefault="00306314" w:rsidP="00306314">
      <w:pPr>
        <w:rPr>
          <w:rFonts w:cs="Arial"/>
          <w:lang w:eastAsia="de-DE"/>
        </w:rPr>
      </w:pPr>
      <w:r w:rsidRPr="00812C16">
        <w:rPr>
          <w:rFonts w:cs="Arial"/>
          <w:lang w:eastAsia="de-DE"/>
        </w:rPr>
        <w:t xml:space="preserve">Medizinische Fakultät Carl Gustav Carus </w:t>
      </w:r>
    </w:p>
    <w:p w14:paraId="5EA3A353" w14:textId="77777777" w:rsidR="00306314" w:rsidRPr="00812C16" w:rsidRDefault="00306314" w:rsidP="00306314">
      <w:pPr>
        <w:rPr>
          <w:rFonts w:cs="Arial"/>
          <w:lang w:eastAsia="de-DE"/>
        </w:rPr>
      </w:pPr>
      <w:r w:rsidRPr="00812C16">
        <w:rPr>
          <w:rFonts w:cs="Arial"/>
          <w:lang w:eastAsia="de-DE"/>
        </w:rPr>
        <w:t xml:space="preserve">Promotionsordnung vom </w:t>
      </w:r>
      <w:r w:rsidR="00120278" w:rsidRPr="00812C16">
        <w:rPr>
          <w:rFonts w:cs="Arial"/>
          <w:lang w:eastAsia="de-DE"/>
        </w:rPr>
        <w:t>24</w:t>
      </w:r>
      <w:r w:rsidRPr="00812C16">
        <w:rPr>
          <w:rFonts w:cs="Arial"/>
          <w:lang w:eastAsia="de-DE"/>
        </w:rPr>
        <w:t xml:space="preserve">. </w:t>
      </w:r>
      <w:r w:rsidR="00120278" w:rsidRPr="00812C16">
        <w:rPr>
          <w:rFonts w:cs="Arial"/>
          <w:lang w:eastAsia="de-DE"/>
        </w:rPr>
        <w:t>Juli</w:t>
      </w:r>
      <w:r w:rsidRPr="00812C16">
        <w:rPr>
          <w:rFonts w:cs="Arial"/>
          <w:lang w:eastAsia="de-DE"/>
        </w:rPr>
        <w:t xml:space="preserve"> </w:t>
      </w:r>
      <w:r w:rsidR="00120278" w:rsidRPr="00812C16">
        <w:rPr>
          <w:rFonts w:cs="Arial"/>
          <w:lang w:eastAsia="de-DE"/>
        </w:rPr>
        <w:t>20</w:t>
      </w:r>
      <w:r w:rsidR="0013236F" w:rsidRPr="00812C16">
        <w:rPr>
          <w:rFonts w:cs="Arial"/>
          <w:lang w:eastAsia="de-DE"/>
        </w:rPr>
        <w:t>11</w:t>
      </w:r>
    </w:p>
    <w:p w14:paraId="46BD8DE1" w14:textId="77777777" w:rsidR="0013236F"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Hiermit versichere ich, dass ich die vorliegende Arbeit ohne unzulässige Hilfe Dritter und ohne Benutzung anderer als der angegebenen Hilfsmittel angefertigt habe; die aus fremden Quellen direkt oder indirekt übernommenen Gedanken sind als solche kenntlich gemacht.</w:t>
      </w:r>
    </w:p>
    <w:p w14:paraId="70F8CBB3" w14:textId="77777777" w:rsidR="004B02EF" w:rsidRPr="00812C16" w:rsidRDefault="00306314" w:rsidP="00246EB5">
      <w:pPr>
        <w:pStyle w:val="Listenabsatz"/>
        <w:numPr>
          <w:ilvl w:val="0"/>
          <w:numId w:val="3"/>
        </w:numPr>
        <w:ind w:left="426" w:hanging="426"/>
        <w:rPr>
          <w:rFonts w:cs="Arial"/>
          <w:lang w:eastAsia="de-DE"/>
        </w:rPr>
      </w:pPr>
      <w:r w:rsidRPr="00812C16">
        <w:rPr>
          <w:rFonts w:cs="Arial"/>
          <w:lang w:eastAsia="de-DE"/>
        </w:rPr>
        <w:lastRenderedPageBreak/>
        <w:t>Bei der Auswahl und Auswertung des Materials sowie bei der Erstellung des Manuskripts habe ich Unterstützungsleistungen von folgenden Personen erhalten:</w:t>
      </w:r>
      <w:r w:rsidR="004B02EF" w:rsidRPr="00812C16">
        <w:rPr>
          <w:rFonts w:cs="Arial"/>
          <w:lang w:eastAsia="de-DE"/>
        </w:rPr>
        <w:t xml:space="preserve"> </w:t>
      </w:r>
    </w:p>
    <w:p w14:paraId="13AB7F80" w14:textId="77777777" w:rsidR="004B02EF" w:rsidRPr="00812C16" w:rsidRDefault="004B02EF" w:rsidP="00DA3E48">
      <w:pPr>
        <w:ind w:firstLine="426"/>
        <w:rPr>
          <w:rFonts w:cs="Arial"/>
          <w:lang w:eastAsia="de-DE"/>
        </w:rPr>
      </w:pPr>
      <w:r w:rsidRPr="00812C16">
        <w:rPr>
          <w:rFonts w:cs="Arial"/>
          <w:lang w:eastAsia="de-DE"/>
        </w:rPr>
        <w:t>Frau Prof. Dr. med. Mechthild Krause,</w:t>
      </w:r>
    </w:p>
    <w:p w14:paraId="35471383" w14:textId="77777777" w:rsidR="00DA3E48" w:rsidRPr="00812C16" w:rsidRDefault="004B02EF" w:rsidP="0016546B">
      <w:pPr>
        <w:ind w:firstLine="425"/>
        <w:rPr>
          <w:rFonts w:cs="Arial"/>
          <w:lang w:eastAsia="de-DE"/>
        </w:rPr>
      </w:pPr>
      <w:r w:rsidRPr="00812C16">
        <w:rPr>
          <w:rFonts w:cs="Arial"/>
          <w:lang w:eastAsia="de-DE"/>
        </w:rPr>
        <w:t xml:space="preserve">Frau PD Dr. med. Annett Linge </w:t>
      </w:r>
    </w:p>
    <w:p w14:paraId="02C46368" w14:textId="77777777" w:rsidR="0016546B"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Weitere Personen waren an der geistigen Herstellung der vorliegenden Arbeit nicht beteiligt. Ins- besondere habe ich nicht die Hilfe eines kommerziellen Promotionsberaters bzw. einer kommer- ziellen Promotionsberaterin in Anspruch genommen. Dritte haben von mir weder unmittelbar noch mittelbar geldwerte Leistungen für Arbeiten erhalten, die im Zusammenhang mit dem In- halt der vorgelegten Dissertation stehen.</w:t>
      </w:r>
    </w:p>
    <w:p w14:paraId="432645F4"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Die Arbeit wurde bisher weder im Inland noch im Ausland in gleicher oder ähnlicher Form einer anderen Prüfungsbehörde vorgelegt.</w:t>
      </w:r>
    </w:p>
    <w:p w14:paraId="2E566BD3" w14:textId="77777777" w:rsidR="00577A06" w:rsidRPr="00812C16" w:rsidRDefault="00306314" w:rsidP="00246EB5">
      <w:pPr>
        <w:pStyle w:val="Listenabsatz"/>
        <w:numPr>
          <w:ilvl w:val="0"/>
          <w:numId w:val="3"/>
        </w:numPr>
        <w:ind w:left="426" w:hanging="426"/>
        <w:rPr>
          <w:rFonts w:cs="Arial"/>
          <w:lang w:eastAsia="de-DE"/>
        </w:rPr>
      </w:pPr>
      <w:r w:rsidRPr="00812C16">
        <w:rPr>
          <w:rFonts w:cs="Arial"/>
          <w:lang w:eastAsia="de-DE"/>
        </w:rPr>
        <w:t>Die Inhalte dieser Dissertation wurden in folgender Form veröffentlicht:</w:t>
      </w:r>
      <w:r w:rsidR="00DA3E48" w:rsidRPr="00812C16">
        <w:rPr>
          <w:rFonts w:cs="Arial"/>
          <w:lang w:eastAsia="de-DE"/>
        </w:rPr>
        <w:t xml:space="preserve"> </w:t>
      </w:r>
    </w:p>
    <w:p w14:paraId="44734163" w14:textId="77777777" w:rsidR="00AA16B1" w:rsidRPr="00812C16" w:rsidRDefault="003A1B16" w:rsidP="0016546B">
      <w:pPr>
        <w:ind w:left="425"/>
        <w:contextualSpacing/>
        <w:rPr>
          <w:rFonts w:cs="Arial"/>
          <w:noProof/>
        </w:rPr>
      </w:pPr>
      <w:r w:rsidRPr="00812C16">
        <w:rPr>
          <w:rFonts w:cs="Arial"/>
          <w:noProof/>
        </w:rPr>
        <w:t xml:space="preserve">Ausführliches </w:t>
      </w:r>
      <w:r w:rsidR="00577A06" w:rsidRPr="00812C16">
        <w:rPr>
          <w:rFonts w:cs="Arial"/>
          <w:noProof/>
        </w:rPr>
        <w:t>Abstract und Poster</w:t>
      </w:r>
      <w:r w:rsidR="002152D5" w:rsidRPr="00812C16">
        <w:rPr>
          <w:rFonts w:cs="Arial"/>
          <w:noProof/>
        </w:rPr>
        <w:t xml:space="preserve">: </w:t>
      </w:r>
    </w:p>
    <w:p w14:paraId="14A05499" w14:textId="77777777" w:rsidR="00811B1A" w:rsidRPr="00812C16" w:rsidRDefault="00226531" w:rsidP="00DA3E48">
      <w:pPr>
        <w:ind w:left="426"/>
        <w:rPr>
          <w:rFonts w:cs="Arial"/>
          <w:lang w:eastAsia="de-DE"/>
        </w:rPr>
      </w:pPr>
      <w:r w:rsidRPr="00812C16">
        <w:rPr>
          <w:rFonts w:cs="Arial"/>
          <w:b/>
          <w:bCs/>
          <w:lang w:eastAsia="de-DE"/>
        </w:rPr>
        <w:t>Jütz, M.</w:t>
      </w:r>
      <w:r w:rsidRPr="00812C16">
        <w:rPr>
          <w:rFonts w:cs="Arial"/>
          <w:lang w:eastAsia="de-DE"/>
        </w:rPr>
        <w:t>, Linge, A., von Neubeck, C., Lohaus, F., Tinhofer, I., Budach, V., . . . DKTK-ROG. (2015).</w:t>
      </w:r>
      <w:r w:rsidR="00FE1C8A" w:rsidRPr="00812C16">
        <w:rPr>
          <w:rFonts w:cs="Arial"/>
          <w:lang w:eastAsia="de-DE"/>
        </w:rPr>
        <w:t xml:space="preserve"> </w:t>
      </w:r>
      <w:r w:rsidR="00811B1A" w:rsidRPr="00812C16">
        <w:rPr>
          <w:rFonts w:cs="Arial"/>
          <w:lang w:eastAsia="de-DE"/>
        </w:rPr>
        <w:t>Prognostisches Potential von CD44 als Tumorstammzellmarker für die kombinierte Radiochemotherapie des lo</w:t>
      </w:r>
      <w:r w:rsidR="009C36EE" w:rsidRPr="00812C16">
        <w:rPr>
          <w:rFonts w:cs="Arial"/>
          <w:lang w:eastAsia="de-DE"/>
        </w:rPr>
        <w:t>k</w:t>
      </w:r>
      <w:r w:rsidR="00811B1A" w:rsidRPr="00812C16">
        <w:rPr>
          <w:rFonts w:cs="Arial"/>
          <w:lang w:eastAsia="de-DE"/>
        </w:rPr>
        <w:t xml:space="preserve">al fortgeschrittenen Kopf-Hals-Plattenepithelkarzinoms. 24. Symposium für Experimentelle Strahlentherapie und klinische Strahlenbiologie. Proceedings, Hamburg, 23-25 Feb 2015, </w:t>
      </w:r>
      <w:r w:rsidR="009C36EE" w:rsidRPr="00812C16">
        <w:rPr>
          <w:rFonts w:cs="Arial"/>
          <w:lang w:eastAsia="de-DE"/>
        </w:rPr>
        <w:t xml:space="preserve">Exp Strahlenther Klin Strahlenbiol 24: S. 150-153, </w:t>
      </w:r>
      <w:r w:rsidR="00811B1A" w:rsidRPr="00812C16">
        <w:rPr>
          <w:rFonts w:cs="Arial"/>
          <w:lang w:eastAsia="de-DE"/>
        </w:rPr>
        <w:t xml:space="preserve">ISSN 1432-864X (Posterpräsentation) </w:t>
      </w:r>
    </w:p>
    <w:p w14:paraId="65DA3F0E" w14:textId="77777777" w:rsidR="00DA3E48" w:rsidRPr="00812C16" w:rsidRDefault="00DA3E48" w:rsidP="00DA3E48">
      <w:pPr>
        <w:ind w:firstLine="426"/>
        <w:rPr>
          <w:rFonts w:cs="Arial"/>
          <w:lang w:eastAsia="de-DE"/>
        </w:rPr>
      </w:pPr>
    </w:p>
    <w:p w14:paraId="00B1F540" w14:textId="77777777" w:rsidR="000B25FC" w:rsidRPr="00812C16" w:rsidRDefault="000B25FC" w:rsidP="00DA3E48">
      <w:pPr>
        <w:spacing w:after="0"/>
        <w:ind w:firstLine="426"/>
        <w:rPr>
          <w:rFonts w:cs="Arial"/>
          <w:bCs/>
          <w:lang w:eastAsia="de-DE"/>
        </w:rPr>
      </w:pPr>
      <w:r w:rsidRPr="00812C16">
        <w:rPr>
          <w:rFonts w:cs="Arial"/>
          <w:bCs/>
          <w:lang w:eastAsia="de-DE"/>
        </w:rPr>
        <w:t>Publikationen in referierten Fachzeitschriften</w:t>
      </w:r>
      <w:r w:rsidR="0016546B" w:rsidRPr="00812C16">
        <w:rPr>
          <w:rFonts w:cs="Arial"/>
          <w:bCs/>
          <w:lang w:eastAsia="de-DE"/>
        </w:rPr>
        <w:t>:</w:t>
      </w:r>
      <w:r w:rsidRPr="00812C16">
        <w:rPr>
          <w:rFonts w:cs="Arial"/>
          <w:bCs/>
          <w:lang w:eastAsia="de-DE"/>
        </w:rPr>
        <w:t xml:space="preserve"> </w:t>
      </w:r>
    </w:p>
    <w:p w14:paraId="461A40B6" w14:textId="77777777" w:rsidR="0016546B"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Lock, S., Gudziol, V., Nowak, A., Lohaus, F.,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Dktk, R. O. G. (2016). Low Cancer Stem Cell Marker Expression and Low Hypoxia Identify Good Prognosis Subgroups in HPV(-) HNSCC after Postoperative Radiochemotherapy: A Multicenter Study of the DKTK-ROG. Clin Cancer Res, 22(11), 2639-2649. doi:10.1158/1078-0432.CCR-15-1990</w:t>
      </w:r>
    </w:p>
    <w:p w14:paraId="78316340" w14:textId="77777777" w:rsidR="00DA3E48"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Lohaus, F., Lock, S., Nowak, A., Gudziol, V., Valentini, C.,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 xml:space="preserve">Dktk, R. O. G. (2016). HPV status, cancer stem cell marker expression, hypoxia gene signatures and tumour volume identify good prognosis subgroups in patients with HNSCC after primary radiochemotherapy: A multicentre retrospective study of the German Cancer Consortium Radiation Oncology Group (DKTK-ROG). </w:t>
      </w:r>
      <w:r w:rsidRPr="00812C16">
        <w:rPr>
          <w:rFonts w:cs="Arial"/>
          <w:i/>
          <w:lang w:eastAsia="de-DE"/>
        </w:rPr>
        <w:t>Radiother Oncol, 121</w:t>
      </w:r>
      <w:r w:rsidRPr="00812C16">
        <w:rPr>
          <w:rFonts w:cs="Arial"/>
          <w:lang w:eastAsia="de-DE"/>
        </w:rPr>
        <w:t>(3), 364-373. doi:10.1016/j.radonc.2016.11.008</w:t>
      </w:r>
    </w:p>
    <w:p w14:paraId="19B99174" w14:textId="439D68E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lastRenderedPageBreak/>
        <w:t>Ich bestätige, dass ich die Promotionsordnung der Medizinischen Fakultät der Technischen Uni- versität Dresden anerkenne.</w:t>
      </w:r>
      <w:r w:rsidR="000112D9">
        <w:rPr>
          <w:rFonts w:cs="Arial"/>
          <w:lang w:eastAsia="de-DE"/>
        </w:rPr>
        <w:fldChar w:fldCharType="begin">
          <w:fldData xml:space="preserve">PEVuZE5vdGU+PENpdGU+PEF1dGhvcj5Kw7x0ejwvQXV0aG9yPjxZZWFyPjIwMTU8L1llYXI+PFJl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2A19C6">
        <w:t>Jütz et al., 2015</w:t>
      </w:r>
      <w:r w:rsidR="000112D9">
        <w:rPr>
          <w:rFonts w:cs="Arial"/>
          <w:noProof/>
          <w:lang w:eastAsia="de-DE"/>
        </w:rPr>
        <w:t>)</w:t>
      </w:r>
      <w:r w:rsidR="000112D9">
        <w:rPr>
          <w:rFonts w:cs="Arial"/>
          <w:lang w:eastAsia="de-DE"/>
        </w:rPr>
        <w:fldChar w:fldCharType="end"/>
      </w:r>
    </w:p>
    <w:p w14:paraId="7F0DC4B6"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Ich habe die Zitierrichtlinien für Dissertationen an der Medizinischen Fakultät der Technischen Universität Dresden zur Kenntnis genommen und befolgt.</w:t>
      </w:r>
    </w:p>
    <w:p w14:paraId="4E407573" w14:textId="77777777" w:rsidR="00E56E3E" w:rsidRPr="00812C16" w:rsidRDefault="00306314" w:rsidP="00246EB5">
      <w:pPr>
        <w:pStyle w:val="Listenabsatz"/>
        <w:numPr>
          <w:ilvl w:val="0"/>
          <w:numId w:val="3"/>
        </w:numPr>
        <w:ind w:left="426" w:hanging="426"/>
        <w:rPr>
          <w:rFonts w:cs="Arial"/>
          <w:lang w:eastAsia="de-DE"/>
        </w:rPr>
      </w:pPr>
      <w:r w:rsidRPr="00812C16">
        <w:rPr>
          <w:rFonts w:cs="Arial"/>
          <w:lang w:eastAsia="de-DE"/>
        </w:rPr>
        <w:t>Ich bin mit den an der Technischen Universität Dresden geltenden „Richtlinien zur Sicherung gu- ter wissenschaftlicher Praxis, zur Vermeidung wissenschaftlichen Fehlverhaltens und für den Um- gang mit Verstößen“ einverstanden.</w:t>
      </w:r>
    </w:p>
    <w:p w14:paraId="19E69605" w14:textId="77777777" w:rsidR="00173369" w:rsidRPr="00812C16" w:rsidRDefault="00173369" w:rsidP="00E56E3E">
      <w:pPr>
        <w:pStyle w:val="Listenabsatz"/>
        <w:rPr>
          <w:rFonts w:cs="Arial"/>
          <w:lang w:eastAsia="de-DE"/>
        </w:rPr>
      </w:pPr>
    </w:p>
    <w:p w14:paraId="3E15FE1B" w14:textId="77777777" w:rsidR="00E825D8" w:rsidRPr="00812C16" w:rsidRDefault="00E825D8" w:rsidP="00306314">
      <w:pPr>
        <w:rPr>
          <w:rFonts w:cs="Arial"/>
          <w:lang w:eastAsia="de-DE"/>
        </w:rPr>
      </w:pPr>
    </w:p>
    <w:p w14:paraId="6CC225CD" w14:textId="01D1E359" w:rsidR="00306314" w:rsidRPr="00812C16" w:rsidRDefault="00DA3E48" w:rsidP="00306314">
      <w:pPr>
        <w:rPr>
          <w:rFonts w:cs="Arial"/>
          <w:lang w:eastAsia="de-DE"/>
        </w:rPr>
      </w:pPr>
      <w:r w:rsidRPr="00812C16">
        <w:rPr>
          <w:rFonts w:cs="Arial"/>
          <w:lang w:eastAsia="de-DE"/>
        </w:rPr>
        <w:t>Dresden</w:t>
      </w:r>
      <w:r w:rsidR="00306314" w:rsidRPr="00812C16">
        <w:rPr>
          <w:rFonts w:cs="Arial"/>
          <w:lang w:eastAsia="de-DE"/>
        </w:rPr>
        <w:t xml:space="preserve">,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C7258C">
        <w:rPr>
          <w:rFonts w:cs="Arial"/>
          <w:noProof/>
          <w:lang w:eastAsia="de-DE"/>
        </w:rPr>
        <w:t>21.06.25</w:t>
      </w:r>
      <w:r w:rsidRPr="00812C16">
        <w:rPr>
          <w:rFonts w:cs="Arial"/>
          <w:lang w:eastAsia="de-DE"/>
        </w:rPr>
        <w:fldChar w:fldCharType="end"/>
      </w:r>
    </w:p>
    <w:p w14:paraId="6F311B10" w14:textId="77777777" w:rsidR="008D1F42" w:rsidRPr="00812C16" w:rsidRDefault="008D1F42" w:rsidP="00306314">
      <w:pPr>
        <w:rPr>
          <w:rFonts w:cs="Arial"/>
          <w:lang w:eastAsia="de-DE"/>
        </w:rPr>
      </w:pPr>
    </w:p>
    <w:p w14:paraId="49E81CBD" w14:textId="77777777" w:rsidR="00173369" w:rsidRPr="00812C16" w:rsidRDefault="00173369" w:rsidP="00306314">
      <w:pPr>
        <w:rPr>
          <w:rFonts w:cs="Arial"/>
          <w:lang w:eastAsia="de-DE"/>
        </w:rPr>
      </w:pPr>
    </w:p>
    <w:p w14:paraId="68A35619" w14:textId="77777777" w:rsidR="00306314" w:rsidRPr="00812C16" w:rsidRDefault="008D1F42" w:rsidP="00306314">
      <w:pPr>
        <w:rPr>
          <w:rFonts w:cs="Arial"/>
          <w:lang w:eastAsia="de-DE"/>
        </w:rPr>
      </w:pPr>
      <w:r w:rsidRPr="00812C16">
        <w:rPr>
          <w:rFonts w:cs="Arial"/>
          <w:lang w:eastAsia="de-DE"/>
        </w:rPr>
        <w:t xml:space="preserve">_______________________ </w:t>
      </w:r>
    </w:p>
    <w:p w14:paraId="5D2AFC4F" w14:textId="77777777" w:rsidR="008D1F42" w:rsidRPr="00812C16" w:rsidRDefault="008D1F42" w:rsidP="00306314">
      <w:pPr>
        <w:rPr>
          <w:rFonts w:cs="Arial"/>
          <w:lang w:eastAsia="de-DE"/>
        </w:rPr>
      </w:pPr>
      <w:r w:rsidRPr="00812C16">
        <w:rPr>
          <w:rFonts w:cs="Arial"/>
          <w:lang w:eastAsia="de-DE"/>
        </w:rPr>
        <w:t xml:space="preserve">Martin Jütz </w:t>
      </w:r>
    </w:p>
    <w:p w14:paraId="551E4CDF" w14:textId="77777777" w:rsidR="0016546B" w:rsidRPr="00812C16" w:rsidRDefault="0016546B">
      <w:pPr>
        <w:spacing w:after="0"/>
        <w:jc w:val="left"/>
        <w:rPr>
          <w:rFonts w:cs="Arial"/>
          <w:b/>
          <w:color w:val="000000" w:themeColor="text1"/>
          <w:sz w:val="28"/>
          <w:szCs w:val="36"/>
          <w:lang w:eastAsia="de-DE"/>
        </w:rPr>
      </w:pPr>
      <w:r w:rsidRPr="00812C16">
        <w:rPr>
          <w:rFonts w:cs="Arial"/>
        </w:rPr>
        <w:br w:type="page"/>
      </w:r>
    </w:p>
    <w:p w14:paraId="0677EF9E" w14:textId="77777777" w:rsidR="00B35357" w:rsidRPr="00812C16" w:rsidRDefault="00173369" w:rsidP="001830EA">
      <w:pPr>
        <w:pStyle w:val="berschrift1"/>
        <w:rPr>
          <w:rFonts w:cs="Arial"/>
        </w:rPr>
      </w:pPr>
      <w:bookmarkStart w:id="99" w:name="_Toc158006552"/>
      <w:r w:rsidRPr="00812C16">
        <w:rPr>
          <w:rFonts w:cs="Arial"/>
        </w:rPr>
        <w:lastRenderedPageBreak/>
        <w:t>Erklärung</w:t>
      </w:r>
      <w:r w:rsidR="00B35357" w:rsidRPr="00812C16">
        <w:rPr>
          <w:rFonts w:cs="Arial"/>
        </w:rPr>
        <w:t xml:space="preserve"> </w:t>
      </w:r>
      <w:r w:rsidRPr="00812C16">
        <w:rPr>
          <w:rFonts w:cs="Arial"/>
        </w:rPr>
        <w:t xml:space="preserve">über </w:t>
      </w:r>
      <w:r w:rsidR="00B35357" w:rsidRPr="00812C16">
        <w:rPr>
          <w:rFonts w:cs="Arial"/>
        </w:rPr>
        <w:t>die Einhaltung der aktuellen gesetzlichen Vorgaben</w:t>
      </w:r>
      <w:bookmarkEnd w:id="99"/>
      <w:r w:rsidR="00B35357" w:rsidRPr="00812C16">
        <w:rPr>
          <w:rFonts w:cs="Arial"/>
        </w:rPr>
        <w:t xml:space="preserve"> </w:t>
      </w:r>
    </w:p>
    <w:p w14:paraId="42302364" w14:textId="77777777" w:rsidR="00467106" w:rsidRPr="00812C16" w:rsidRDefault="002E38ED" w:rsidP="0016546B">
      <w:pPr>
        <w:rPr>
          <w:rFonts w:cs="Arial"/>
          <w:lang w:eastAsia="de-DE"/>
        </w:rPr>
      </w:pPr>
      <w:r w:rsidRPr="00812C16">
        <w:rPr>
          <w:rFonts w:cs="Arial"/>
          <w:lang w:eastAsia="de-DE"/>
        </w:rPr>
        <w:t xml:space="preserve">Hiermit bestätige ich die Einhaltung der folgenden aktuellen gesetzlichen Vorgaben im Rahmen meiner Dissertation: </w:t>
      </w:r>
    </w:p>
    <w:p w14:paraId="4BCA8680" w14:textId="77777777" w:rsidR="001D1453" w:rsidRPr="00812C16" w:rsidRDefault="002E38ED" w:rsidP="00246EB5">
      <w:pPr>
        <w:pStyle w:val="Listenabsatz"/>
        <w:numPr>
          <w:ilvl w:val="0"/>
          <w:numId w:val="5"/>
        </w:numPr>
        <w:ind w:left="425" w:hanging="425"/>
        <w:contextualSpacing w:val="0"/>
        <w:rPr>
          <w:rFonts w:cs="Arial"/>
          <w:lang w:eastAsia="de-DE"/>
        </w:rPr>
      </w:pPr>
      <w:r w:rsidRPr="00812C16">
        <w:rPr>
          <w:rFonts w:cs="Arial"/>
          <w:lang w:eastAsia="de-DE"/>
        </w:rPr>
        <w:t>das zustimmende Votum der Ethikkommission bei Klinischen Studien,</w:t>
      </w:r>
      <w:r w:rsidR="003A2D2B" w:rsidRPr="00812C16">
        <w:rPr>
          <w:rFonts w:cs="Arial"/>
          <w:lang w:eastAsia="de-DE"/>
        </w:rPr>
        <w:t xml:space="preserve"> </w:t>
      </w:r>
      <w:r w:rsidRPr="00812C16">
        <w:rPr>
          <w:rFonts w:cs="Arial"/>
          <w:lang w:eastAsia="de-DE"/>
        </w:rPr>
        <w:t>epidemiologischen Untersuchungen mit Personenbezug oder Sachverhalten, die</w:t>
      </w:r>
      <w:r w:rsidR="003A2D2B" w:rsidRPr="00812C16">
        <w:rPr>
          <w:rFonts w:cs="Arial"/>
          <w:lang w:eastAsia="de-DE"/>
        </w:rPr>
        <w:t xml:space="preserve"> </w:t>
      </w:r>
      <w:r w:rsidRPr="00812C16">
        <w:rPr>
          <w:rFonts w:cs="Arial"/>
          <w:lang w:eastAsia="de-DE"/>
        </w:rPr>
        <w:t xml:space="preserve">das Medizinproduktegesetz betreffen </w:t>
      </w:r>
    </w:p>
    <w:p w14:paraId="3396A7CE" w14:textId="77777777" w:rsidR="002D78DB" w:rsidRPr="00812C16" w:rsidRDefault="002E38ED" w:rsidP="0016546B">
      <w:pPr>
        <w:pStyle w:val="Listenabsatz"/>
        <w:ind w:left="425"/>
        <w:contextualSpacing w:val="0"/>
        <w:rPr>
          <w:rFonts w:cs="Arial"/>
          <w:lang w:eastAsia="de-DE"/>
        </w:rPr>
      </w:pPr>
      <w:r w:rsidRPr="00812C16">
        <w:rPr>
          <w:rFonts w:cs="Arial"/>
          <w:lang w:eastAsia="de-DE"/>
        </w:rPr>
        <w:t xml:space="preserve">Aktenzeichen der </w:t>
      </w:r>
      <w:r w:rsidR="003A2D2B" w:rsidRPr="00812C16">
        <w:rPr>
          <w:rFonts w:cs="Arial"/>
          <w:lang w:eastAsia="de-DE"/>
        </w:rPr>
        <w:t>zuständigen</w:t>
      </w:r>
      <w:r w:rsidRPr="00812C16">
        <w:rPr>
          <w:rFonts w:cs="Arial"/>
          <w:lang w:eastAsia="de-DE"/>
        </w:rPr>
        <w:t xml:space="preserve"> Ethikkommission: </w:t>
      </w:r>
      <w:r w:rsidR="003E179E" w:rsidRPr="00812C16">
        <w:rPr>
          <w:rFonts w:cs="Arial"/>
        </w:rPr>
        <w:t>AZ EK299092012</w:t>
      </w:r>
    </w:p>
    <w:p w14:paraId="35B0525E"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der Bestimmungen des Tierschutzgesetzes </w:t>
      </w:r>
    </w:p>
    <w:p w14:paraId="4854B365" w14:textId="77777777" w:rsidR="007733A1" w:rsidRPr="00812C16" w:rsidRDefault="002E38ED" w:rsidP="0016546B">
      <w:pPr>
        <w:pStyle w:val="Listenabsatz"/>
        <w:ind w:left="425"/>
        <w:contextualSpacing w:val="0"/>
        <w:rPr>
          <w:rFonts w:cs="Arial"/>
          <w:lang w:eastAsia="de-DE"/>
        </w:rPr>
      </w:pPr>
      <w:r w:rsidRPr="00812C16">
        <w:rPr>
          <w:rFonts w:cs="Arial"/>
          <w:lang w:eastAsia="de-DE"/>
        </w:rPr>
        <w:t xml:space="preserve">Aktenzeichen der Genehmigungsbehörde: </w:t>
      </w:r>
      <w:r w:rsidR="003E179E" w:rsidRPr="00812C16">
        <w:rPr>
          <w:rFonts w:cs="Arial"/>
          <w:lang w:eastAsia="de-DE"/>
        </w:rPr>
        <w:t>-entfällt-</w:t>
      </w:r>
    </w:p>
    <w:p w14:paraId="7472FBF6"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des Gentechnikgesetzes </w:t>
      </w:r>
    </w:p>
    <w:p w14:paraId="7A38F723" w14:textId="77777777" w:rsidR="006D7BAA" w:rsidRPr="00812C16" w:rsidRDefault="002E38ED" w:rsidP="0016546B">
      <w:pPr>
        <w:pStyle w:val="Listenabsatz"/>
        <w:ind w:left="425"/>
        <w:contextualSpacing w:val="0"/>
        <w:rPr>
          <w:rFonts w:cs="Arial"/>
          <w:lang w:eastAsia="de-DE"/>
        </w:rPr>
      </w:pPr>
      <w:r w:rsidRPr="00812C16">
        <w:rPr>
          <w:rFonts w:cs="Arial"/>
          <w:lang w:eastAsia="de-DE"/>
        </w:rPr>
        <w:t>Projektnummer:  </w:t>
      </w:r>
      <w:r w:rsidR="003E179E" w:rsidRPr="00812C16">
        <w:rPr>
          <w:rFonts w:cs="Arial"/>
          <w:lang w:eastAsia="de-DE"/>
        </w:rPr>
        <w:t>-entfällt-</w:t>
      </w:r>
    </w:p>
    <w:p w14:paraId="766DF3C5" w14:textId="77777777" w:rsidR="002E38ED"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die Einhaltung von</w:t>
      </w:r>
      <w:r w:rsidR="006D7BAA" w:rsidRPr="00812C16">
        <w:rPr>
          <w:rFonts w:cs="Arial"/>
          <w:lang w:eastAsia="de-DE"/>
        </w:rPr>
        <w:t xml:space="preserve"> </w:t>
      </w:r>
      <w:r w:rsidRPr="00812C16">
        <w:rPr>
          <w:rFonts w:cs="Arial"/>
          <w:lang w:eastAsia="de-DE"/>
        </w:rPr>
        <w:t xml:space="preserve">Datenschutzbestimmungen der Medizinischen Fakultät Carl Gustav Carus und des Universitätsklinikums Carl Gustav Carus. </w:t>
      </w:r>
    </w:p>
    <w:p w14:paraId="732DC8B8" w14:textId="77777777" w:rsidR="008135FB" w:rsidRPr="00812C16" w:rsidRDefault="008135FB" w:rsidP="0016546B">
      <w:pPr>
        <w:pStyle w:val="Listenabsatz"/>
        <w:ind w:left="426"/>
        <w:contextualSpacing w:val="0"/>
        <w:rPr>
          <w:rFonts w:cs="Arial"/>
          <w:lang w:eastAsia="de-DE"/>
        </w:rPr>
      </w:pPr>
    </w:p>
    <w:p w14:paraId="3E7A3A4C" w14:textId="77777777" w:rsidR="008135FB" w:rsidRPr="00812C16" w:rsidRDefault="008135FB" w:rsidP="0016546B">
      <w:pPr>
        <w:rPr>
          <w:rFonts w:cs="Arial"/>
          <w:lang w:eastAsia="de-DE"/>
        </w:rPr>
      </w:pPr>
    </w:p>
    <w:p w14:paraId="721B4E66" w14:textId="77777777" w:rsidR="008135FB" w:rsidRPr="00812C16" w:rsidRDefault="008135FB" w:rsidP="008135FB">
      <w:pPr>
        <w:rPr>
          <w:rFonts w:cs="Arial"/>
          <w:lang w:eastAsia="de-DE"/>
        </w:rPr>
      </w:pPr>
    </w:p>
    <w:p w14:paraId="1C9B8243" w14:textId="77777777" w:rsidR="008135FB" w:rsidRPr="00812C16" w:rsidRDefault="008135FB" w:rsidP="008135FB">
      <w:pPr>
        <w:rPr>
          <w:rFonts w:cs="Arial"/>
          <w:lang w:eastAsia="de-DE"/>
        </w:rPr>
      </w:pPr>
    </w:p>
    <w:p w14:paraId="14E10AB3" w14:textId="77777777" w:rsidR="008135FB" w:rsidRPr="00812C16" w:rsidRDefault="008135FB" w:rsidP="008135FB">
      <w:pPr>
        <w:rPr>
          <w:rFonts w:cs="Arial"/>
          <w:lang w:eastAsia="de-DE"/>
        </w:rPr>
      </w:pPr>
    </w:p>
    <w:p w14:paraId="18643E03" w14:textId="77777777" w:rsidR="008135FB" w:rsidRPr="00812C16" w:rsidRDefault="008135FB" w:rsidP="008135FB">
      <w:pPr>
        <w:rPr>
          <w:rFonts w:cs="Arial"/>
          <w:lang w:eastAsia="de-DE"/>
        </w:rPr>
      </w:pPr>
    </w:p>
    <w:p w14:paraId="58ABA96B" w14:textId="77777777" w:rsidR="008135FB" w:rsidRPr="00812C16" w:rsidRDefault="008135FB" w:rsidP="008135FB">
      <w:pPr>
        <w:rPr>
          <w:rFonts w:cs="Arial"/>
          <w:lang w:eastAsia="de-DE"/>
        </w:rPr>
      </w:pPr>
    </w:p>
    <w:p w14:paraId="4C8F4DC7" w14:textId="77777777" w:rsidR="008135FB" w:rsidRPr="00812C16" w:rsidRDefault="008135FB" w:rsidP="008135FB">
      <w:pPr>
        <w:rPr>
          <w:rFonts w:cs="Arial"/>
          <w:lang w:eastAsia="de-DE"/>
        </w:rPr>
      </w:pPr>
    </w:p>
    <w:p w14:paraId="30A7B851" w14:textId="106DBA27" w:rsidR="008135FB" w:rsidRPr="00812C16" w:rsidRDefault="008135FB" w:rsidP="008135FB">
      <w:pPr>
        <w:rPr>
          <w:rFonts w:cs="Arial"/>
          <w:lang w:eastAsia="de-DE"/>
        </w:rPr>
      </w:pPr>
      <w:r w:rsidRPr="00812C16">
        <w:rPr>
          <w:rFonts w:cs="Arial"/>
          <w:lang w:eastAsia="de-DE"/>
        </w:rPr>
        <w:t xml:space="preserve">Dresden,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C7258C">
        <w:rPr>
          <w:rFonts w:cs="Arial"/>
          <w:noProof/>
          <w:lang w:eastAsia="de-DE"/>
        </w:rPr>
        <w:t>21.06.25</w:t>
      </w:r>
      <w:r w:rsidRPr="00812C16">
        <w:rPr>
          <w:rFonts w:cs="Arial"/>
          <w:lang w:eastAsia="de-DE"/>
        </w:rPr>
        <w:fldChar w:fldCharType="end"/>
      </w:r>
    </w:p>
    <w:p w14:paraId="2D56B9EB" w14:textId="77777777" w:rsidR="008135FB" w:rsidRPr="00812C16" w:rsidRDefault="008135FB" w:rsidP="008135FB">
      <w:pPr>
        <w:rPr>
          <w:rFonts w:cs="Arial"/>
          <w:lang w:eastAsia="de-DE"/>
        </w:rPr>
      </w:pPr>
    </w:p>
    <w:p w14:paraId="73273293" w14:textId="77777777" w:rsidR="008135FB" w:rsidRPr="00812C16" w:rsidRDefault="008135FB" w:rsidP="008135FB">
      <w:pPr>
        <w:rPr>
          <w:rFonts w:cs="Arial"/>
          <w:lang w:eastAsia="de-DE"/>
        </w:rPr>
      </w:pPr>
    </w:p>
    <w:p w14:paraId="41CC392C" w14:textId="77777777" w:rsidR="008135FB" w:rsidRPr="00812C16" w:rsidRDefault="008135FB" w:rsidP="008135FB">
      <w:pPr>
        <w:rPr>
          <w:rFonts w:cs="Arial"/>
          <w:lang w:eastAsia="de-DE"/>
        </w:rPr>
      </w:pPr>
      <w:r w:rsidRPr="00812C16">
        <w:rPr>
          <w:rFonts w:cs="Arial"/>
          <w:lang w:eastAsia="de-DE"/>
        </w:rPr>
        <w:t xml:space="preserve">_______________________ </w:t>
      </w:r>
    </w:p>
    <w:p w14:paraId="52BA2BEB" w14:textId="77777777" w:rsidR="008135FB" w:rsidRPr="00812C16" w:rsidRDefault="008135FB" w:rsidP="008135FB">
      <w:pPr>
        <w:rPr>
          <w:rFonts w:cs="Arial"/>
          <w:lang w:eastAsia="de-DE"/>
        </w:rPr>
      </w:pPr>
      <w:r w:rsidRPr="00812C16">
        <w:rPr>
          <w:rFonts w:cs="Arial"/>
          <w:lang w:eastAsia="de-DE"/>
        </w:rPr>
        <w:t xml:space="preserve">Martin Jütz </w:t>
      </w:r>
      <w:r w:rsidRPr="00812C16">
        <w:rPr>
          <w:rFonts w:cs="Arial"/>
          <w:lang w:eastAsia="de-DE"/>
        </w:rPr>
        <w:br w:type="page"/>
      </w:r>
    </w:p>
    <w:p w14:paraId="1371E090" w14:textId="1228B267" w:rsidR="009D7EB8" w:rsidRPr="00E0795A" w:rsidRDefault="00080D74" w:rsidP="00E0795A">
      <w:pPr>
        <w:pStyle w:val="berschrift1"/>
        <w:ind w:left="426" w:hanging="426"/>
        <w:rPr>
          <w:rFonts w:cs="Arial"/>
        </w:rPr>
      </w:pPr>
      <w:bookmarkStart w:id="100" w:name="_Toc158006553"/>
      <w:r w:rsidRPr="00812C16">
        <w:rPr>
          <w:rFonts w:cs="Arial"/>
        </w:rPr>
        <w:lastRenderedPageBreak/>
        <w:t>Literaturverzeichnis</w:t>
      </w:r>
      <w:bookmarkEnd w:id="100"/>
    </w:p>
    <w:p w14:paraId="7D2E94AC" w14:textId="77777777" w:rsidR="00E0795A" w:rsidRPr="00D741B2" w:rsidRDefault="00E0795A" w:rsidP="009A5BAE">
      <w:pPr>
        <w:pStyle w:val="EndNoteCategoryHeading"/>
        <w:rPr>
          <w:noProof/>
        </w:rPr>
      </w:pPr>
      <w:r w:rsidRPr="00A16540">
        <w:rPr>
          <w:noProof/>
        </w:rPr>
        <w:t xml:space="preserve">Ailles, L., &amp; Prince, M. (2009). </w:t>
      </w:r>
      <w:r w:rsidRPr="00D741B2">
        <w:rPr>
          <w:noProof/>
        </w:rPr>
        <w:t>Cancer stem cells in head and neck squamous cell carcinoma. </w:t>
      </w:r>
      <w:r w:rsidRPr="009A5BAE">
        <w:rPr>
          <w:noProof/>
        </w:rPr>
        <w:t>Methods Mol Biol, 568</w:t>
      </w:r>
      <w:r w:rsidRPr="00D741B2">
        <w:rPr>
          <w:noProof/>
        </w:rPr>
        <w:t>, 175-193. doi:10.1007/978-1-59745-280-9_11</w:t>
      </w:r>
    </w:p>
    <w:p w14:paraId="7F0A7780" w14:textId="77777777" w:rsidR="00E0795A" w:rsidRPr="00D741B2" w:rsidRDefault="00E0795A" w:rsidP="009A5BAE">
      <w:pPr>
        <w:pStyle w:val="EndNoteCategoryHeading"/>
        <w:rPr>
          <w:noProof/>
        </w:rPr>
      </w:pPr>
      <w:r w:rsidRPr="00D741B2">
        <w:rPr>
          <w:noProof/>
        </w:rPr>
        <w:t>Al-Hajj, M., Wicha, M. S., Benito-Hernandez, A., Morrison, S. J., &amp; Clarke, M. F. (2003). Prospective identification of tumorigenic breast cancer cells. </w:t>
      </w:r>
      <w:r w:rsidRPr="009A5BAE">
        <w:rPr>
          <w:noProof/>
        </w:rPr>
        <w:t>Proc Natl Acad Sci U S A, 100</w:t>
      </w:r>
      <w:r w:rsidRPr="00D741B2">
        <w:rPr>
          <w:noProof/>
        </w:rPr>
        <w:t>(7), 3983-3988. doi:10.1073/pnas.0530291100</w:t>
      </w:r>
    </w:p>
    <w:p w14:paraId="4F9774CB" w14:textId="77777777" w:rsidR="00E0795A" w:rsidRPr="00D741B2" w:rsidRDefault="00E0795A" w:rsidP="009A5BAE">
      <w:pPr>
        <w:pStyle w:val="EndNoteCategoryHeading"/>
        <w:rPr>
          <w:noProof/>
        </w:rPr>
      </w:pPr>
      <w:r w:rsidRPr="00D741B2">
        <w:rPr>
          <w:noProof/>
        </w:rPr>
        <w:t>Amin, M. B., Edge, S. B., Greene, F. L., Byrd, D. R., Brookland, R. K., Washington, M. K., . . . Sullivan, D. C. (2018). </w:t>
      </w:r>
      <w:r w:rsidRPr="009A5BAE">
        <w:rPr>
          <w:noProof/>
        </w:rPr>
        <w:t>AJCC Cancer Staging Manual</w:t>
      </w:r>
      <w:r w:rsidRPr="00D741B2">
        <w:rPr>
          <w:noProof/>
        </w:rPr>
        <w:t>: Springer International Publishing.</w:t>
      </w:r>
    </w:p>
    <w:p w14:paraId="00685D00" w14:textId="77777777" w:rsidR="00E0795A" w:rsidRPr="00D741B2" w:rsidRDefault="00E0795A" w:rsidP="009A5BAE">
      <w:pPr>
        <w:pStyle w:val="EndNoteCategoryHeading"/>
        <w:rPr>
          <w:noProof/>
        </w:rPr>
      </w:pPr>
      <w:r w:rsidRPr="004B2E0C">
        <w:rPr>
          <w:noProof/>
        </w:rPr>
        <w:t>Andl, T., Kahn, T., Pfuhl, A., Nicola, T., Erber, R., Conradt, C., . . . </w:t>
      </w:r>
      <w:r w:rsidRPr="00D741B2">
        <w:rPr>
          <w:noProof/>
        </w:rPr>
        <w:t>Bosch, F. X. (1998). Etiological involvement of oncogenic human papillomavirus in tonsillar squamous cell carcinomas lacking retinoblastoma cell cycle control. </w:t>
      </w:r>
      <w:r w:rsidRPr="009A5BAE">
        <w:rPr>
          <w:noProof/>
        </w:rPr>
        <w:t>Cancer Res, 58</w:t>
      </w:r>
      <w:r w:rsidRPr="00D741B2">
        <w:rPr>
          <w:noProof/>
        </w:rPr>
        <w:t>(1), 5-13.</w:t>
      </w:r>
    </w:p>
    <w:p w14:paraId="3EC486E4" w14:textId="77777777" w:rsidR="00E0795A" w:rsidRPr="00D741B2" w:rsidRDefault="00E0795A" w:rsidP="009A5BAE">
      <w:pPr>
        <w:pStyle w:val="EndNoteCategoryHeading"/>
        <w:rPr>
          <w:noProof/>
        </w:rPr>
      </w:pPr>
      <w:r w:rsidRPr="00D741B2">
        <w:rPr>
          <w:noProof/>
        </w:rPr>
        <w:t>Ang, K. K., Harris, J., Wheeler, R., Weber, R., Rosenthal, D. I., Nguyen-Tan, P. F., . . . Gillison, M. L. (2010). Human papillomavirus and survival of patients with oropharyngeal cancer. </w:t>
      </w:r>
      <w:r w:rsidRPr="009A5BAE">
        <w:rPr>
          <w:noProof/>
        </w:rPr>
        <w:t>N Engl J Med, 363</w:t>
      </w:r>
      <w:r w:rsidRPr="00D741B2">
        <w:rPr>
          <w:noProof/>
        </w:rPr>
        <w:t>(1), 24-35. doi:10.1056/NEJMoa0912217</w:t>
      </w:r>
    </w:p>
    <w:p w14:paraId="1477B405" w14:textId="77777777" w:rsidR="00E0795A" w:rsidRPr="00D741B2" w:rsidRDefault="00E0795A" w:rsidP="009A5BAE">
      <w:pPr>
        <w:pStyle w:val="EndNoteCategoryHeading"/>
        <w:rPr>
          <w:noProof/>
        </w:rPr>
      </w:pPr>
      <w:r w:rsidRPr="00A16540">
        <w:rPr>
          <w:noProof/>
        </w:rPr>
        <w:t xml:space="preserve">Ang, K. K., Harris, J., Wheeler, R., Weber, R., Rosenthal, D. I., Nguyen-Tân, P. F., . . . Gillison, M. L. (2010). </w:t>
      </w:r>
      <w:r w:rsidRPr="00D741B2">
        <w:rPr>
          <w:noProof/>
        </w:rPr>
        <w:t>Human papillomavirus and survival of patients with oropharyngeal cancer. </w:t>
      </w:r>
      <w:r w:rsidRPr="009A5BAE">
        <w:rPr>
          <w:noProof/>
        </w:rPr>
        <w:t>N Engl J Med, 363</w:t>
      </w:r>
      <w:r w:rsidRPr="00D741B2">
        <w:rPr>
          <w:noProof/>
        </w:rPr>
        <w:t>(1), 24-35. doi:10.1056/NEJMoa0912217</w:t>
      </w:r>
    </w:p>
    <w:p w14:paraId="4F41E7DA" w14:textId="77777777" w:rsidR="00E0795A" w:rsidRPr="00D741B2" w:rsidRDefault="00E0795A" w:rsidP="009A5BAE">
      <w:pPr>
        <w:pStyle w:val="EndNoteCategoryHeading"/>
        <w:rPr>
          <w:noProof/>
        </w:rPr>
      </w:pPr>
      <w:r w:rsidRPr="00D741B2">
        <w:rPr>
          <w:noProof/>
        </w:rPr>
        <w:t>Argiris, A., Karamouzis, M. V., Raben, D., &amp; Ferris, R. L. (2008). Head and neck cancer. </w:t>
      </w:r>
      <w:r w:rsidRPr="009A5BAE">
        <w:rPr>
          <w:noProof/>
        </w:rPr>
        <w:t>Lancet, 371</w:t>
      </w:r>
      <w:r w:rsidRPr="00D741B2">
        <w:rPr>
          <w:noProof/>
        </w:rPr>
        <w:t>(9625), 1695-1709. doi:10.1016/s0140-6736(08)60728-x</w:t>
      </w:r>
    </w:p>
    <w:p w14:paraId="2E686D57" w14:textId="77777777" w:rsidR="00E0795A" w:rsidRPr="00D741B2" w:rsidRDefault="00E0795A" w:rsidP="009A5BAE">
      <w:pPr>
        <w:pStyle w:val="EndNoteCategoryHeading"/>
        <w:rPr>
          <w:noProof/>
        </w:rPr>
      </w:pPr>
      <w:r w:rsidRPr="00D741B2">
        <w:rPr>
          <w:noProof/>
        </w:rPr>
        <w:t>Barnes, L., Pathologie, U.-S. Z. D., Eveson, J. W., Pathology, I. A. o., Sidransky, D., Organization, W. H., . . . Reichart, P. (2005). </w:t>
      </w:r>
      <w:r w:rsidRPr="009A5BAE">
        <w:rPr>
          <w:noProof/>
        </w:rPr>
        <w:t>Pathology and Genetics of Head and Neck Tumours</w:t>
      </w:r>
      <w:r w:rsidRPr="00D741B2">
        <w:rPr>
          <w:noProof/>
        </w:rPr>
        <w:t>: IARC Press.</w:t>
      </w:r>
    </w:p>
    <w:p w14:paraId="77375F98" w14:textId="77777777" w:rsidR="00E0795A" w:rsidRPr="00D741B2" w:rsidRDefault="00E0795A" w:rsidP="009A5BAE">
      <w:pPr>
        <w:pStyle w:val="EndNoteCategoryHeading"/>
        <w:rPr>
          <w:noProof/>
        </w:rPr>
      </w:pPr>
      <w:r w:rsidRPr="00D741B2">
        <w:rPr>
          <w:noProof/>
        </w:rPr>
        <w:t>Baumann, M., &amp; Krause, M. (2010). CD44: a cancer stem cell-related biomarker with predictive potential for radiotherapy. </w:t>
      </w:r>
      <w:r w:rsidRPr="009A5BAE">
        <w:rPr>
          <w:noProof/>
        </w:rPr>
        <w:t>Clin Cancer Res, 16</w:t>
      </w:r>
      <w:r w:rsidRPr="00D741B2">
        <w:rPr>
          <w:noProof/>
        </w:rPr>
        <w:t>(21), 5091-5093. doi:10.1158/1078-0432.CCR-10-2244</w:t>
      </w:r>
    </w:p>
    <w:p w14:paraId="225B44E1" w14:textId="77777777" w:rsidR="00E0795A" w:rsidRPr="00D741B2" w:rsidRDefault="00E0795A" w:rsidP="009A5BAE">
      <w:pPr>
        <w:pStyle w:val="EndNoteCategoryHeading"/>
        <w:rPr>
          <w:noProof/>
        </w:rPr>
      </w:pPr>
      <w:r w:rsidRPr="00D741B2">
        <w:rPr>
          <w:noProof/>
        </w:rPr>
        <w:t>Bernier, J., Cooper, J. S., Pajak, T. F., van Glabbeke, M., Bourhis, J., Forastiere, A., . . . Lefebvre, J. L. (2005). Defining risk levels in locally advanced head and neck cancers: a comparative analysis of concurrent postoperative radiation plus chemotherapy trials of the EORTC (#22931) and RTOG (# 9501). </w:t>
      </w:r>
      <w:r w:rsidRPr="009A5BAE">
        <w:rPr>
          <w:noProof/>
        </w:rPr>
        <w:t>Head Neck, 27</w:t>
      </w:r>
      <w:r w:rsidRPr="00D741B2">
        <w:rPr>
          <w:noProof/>
        </w:rPr>
        <w:t>(10), 843-850. doi:10.1002/hed.20279</w:t>
      </w:r>
    </w:p>
    <w:p w14:paraId="226E2C8E" w14:textId="77777777" w:rsidR="00E0795A" w:rsidRPr="00736A43" w:rsidRDefault="00E0795A" w:rsidP="009A5BAE">
      <w:pPr>
        <w:pStyle w:val="EndNoteCategoryHeading"/>
        <w:rPr>
          <w:noProof/>
          <w:lang w:val="de-DE"/>
        </w:rPr>
      </w:pPr>
      <w:r w:rsidRPr="00D741B2">
        <w:rPr>
          <w:noProof/>
        </w:rPr>
        <w:lastRenderedPageBreak/>
        <w:t>Biomarkers Definitions Working, G. (2001). Biomarkers and surrogate endpoints: preferred definitions and conceptual framework. </w:t>
      </w:r>
      <w:r w:rsidRPr="00736A43">
        <w:rPr>
          <w:noProof/>
          <w:lang w:val="de-DE"/>
        </w:rPr>
        <w:t>Clin Pharmacol Ther, 69(3), 89-95. doi:10.1067/mcp.2001.113989</w:t>
      </w:r>
    </w:p>
    <w:p w14:paraId="77AFFBA1" w14:textId="77777777" w:rsidR="00E0795A" w:rsidRPr="00736A43" w:rsidRDefault="00E0795A" w:rsidP="009A5BAE">
      <w:pPr>
        <w:pStyle w:val="EndNoteCategoryHeading"/>
        <w:rPr>
          <w:noProof/>
          <w:lang w:val="de-DE"/>
        </w:rPr>
      </w:pPr>
      <w:r w:rsidRPr="00736A43">
        <w:rPr>
          <w:noProof/>
          <w:lang w:val="de-DE"/>
        </w:rPr>
        <w:t>Böcker, W. (2008). Pathologie: mit über 200 Tabellen: Elsevier, Urban &amp; Fischer.</w:t>
      </w:r>
    </w:p>
    <w:p w14:paraId="35554A99" w14:textId="77777777" w:rsidR="00E0795A" w:rsidRPr="00D741B2" w:rsidRDefault="00E0795A" w:rsidP="009A5BAE">
      <w:pPr>
        <w:pStyle w:val="EndNoteCategoryHeading"/>
        <w:rPr>
          <w:noProof/>
        </w:rPr>
      </w:pPr>
      <w:r w:rsidRPr="00736A43">
        <w:rPr>
          <w:noProof/>
          <w:lang w:val="de-DE"/>
        </w:rPr>
        <w:t>Bonnet, D., &amp; Dick, J. E. (1997). </w:t>
      </w:r>
      <w:r w:rsidRPr="00D741B2">
        <w:rPr>
          <w:noProof/>
        </w:rPr>
        <w:t>Human acute myeloid leukemia is organized as a hierarchy that originates from a primitive hematopoietic cell. </w:t>
      </w:r>
      <w:r w:rsidRPr="009A5BAE">
        <w:rPr>
          <w:noProof/>
        </w:rPr>
        <w:t>Nat Med, 3</w:t>
      </w:r>
      <w:r w:rsidRPr="00D741B2">
        <w:rPr>
          <w:noProof/>
        </w:rPr>
        <w:t>(7), 730-737. doi:10.1038/nm0797-730</w:t>
      </w:r>
    </w:p>
    <w:p w14:paraId="241B93D8" w14:textId="77777777" w:rsidR="00E0795A" w:rsidRPr="00D741B2" w:rsidRDefault="00E0795A" w:rsidP="009A5BAE">
      <w:pPr>
        <w:pStyle w:val="EndNoteCategoryHeading"/>
        <w:rPr>
          <w:noProof/>
        </w:rPr>
      </w:pPr>
      <w:r w:rsidRPr="00D741B2">
        <w:rPr>
          <w:noProof/>
        </w:rPr>
        <w:t>Bootz, F. (2020). [Guideline on diagnosis, treatment, and follow-up of laryngeal cancer]. </w:t>
      </w:r>
      <w:r w:rsidRPr="009A5BAE">
        <w:rPr>
          <w:noProof/>
        </w:rPr>
        <w:t>Radiologe, 60</w:t>
      </w:r>
      <w:r w:rsidRPr="00D741B2">
        <w:rPr>
          <w:noProof/>
        </w:rPr>
        <w:t>(11), 1052-1057. doi:10.1007/s00117-020-00760-9</w:t>
      </w:r>
    </w:p>
    <w:p w14:paraId="51038B27" w14:textId="77777777" w:rsidR="00E0795A" w:rsidRPr="00D741B2" w:rsidRDefault="00E0795A" w:rsidP="009A5BAE">
      <w:pPr>
        <w:pStyle w:val="EndNoteCategoryHeading"/>
        <w:rPr>
          <w:noProof/>
        </w:rPr>
      </w:pPr>
      <w:r w:rsidRPr="00D741B2">
        <w:rPr>
          <w:noProof/>
        </w:rPr>
        <w:t>Bouvard, V., Baan, R., Straif, K., Grosse, Y., Secretan, B., El Ghissassi, F., . . . Group, W. H. O. I. A. f. R. o. C. M. W. (2009). A review of human carcinogens--Part B: biological agents. </w:t>
      </w:r>
      <w:r w:rsidRPr="009A5BAE">
        <w:rPr>
          <w:noProof/>
        </w:rPr>
        <w:t>Lancet Oncol, 10</w:t>
      </w:r>
      <w:r w:rsidRPr="00D741B2">
        <w:rPr>
          <w:noProof/>
        </w:rPr>
        <w:t>(4), 321-322. doi:10.1016/s1470-2045(09)70096-8</w:t>
      </w:r>
    </w:p>
    <w:p w14:paraId="0FFE2E2A" w14:textId="77777777" w:rsidR="00E0795A" w:rsidRPr="00D741B2" w:rsidRDefault="00E0795A" w:rsidP="009A5BAE">
      <w:pPr>
        <w:pStyle w:val="EndNoteCategoryHeading"/>
        <w:rPr>
          <w:noProof/>
        </w:rPr>
      </w:pPr>
      <w:r w:rsidRPr="00D741B2">
        <w:rPr>
          <w:noProof/>
        </w:rPr>
        <w:t>Cabrera Rodriguez, J., Cacicedo, J., Giralt, J., Garcia Miragall, E., Lloret, M., Arias, F., . . . Contreras, J. (2018). GEORCC recommendations on target volumes in radiotherapy for Head Neck Cancer of Unkown Primary. </w:t>
      </w:r>
      <w:r w:rsidRPr="009A5BAE">
        <w:rPr>
          <w:noProof/>
        </w:rPr>
        <w:t>Crit Rev Oncol Hematol, 130</w:t>
      </w:r>
      <w:r w:rsidRPr="00D741B2">
        <w:rPr>
          <w:noProof/>
        </w:rPr>
        <w:t>, 51-59. doi:10.1016/j.critrevonc.2018.07.006</w:t>
      </w:r>
    </w:p>
    <w:p w14:paraId="253DB051" w14:textId="77777777" w:rsidR="00E0795A" w:rsidRPr="00736A43" w:rsidRDefault="00E0795A" w:rsidP="009A5BAE">
      <w:pPr>
        <w:pStyle w:val="EndNoteCategoryHeading"/>
        <w:rPr>
          <w:noProof/>
          <w:lang w:val="de-DE"/>
        </w:rPr>
      </w:pPr>
      <w:r w:rsidRPr="00D741B2">
        <w:rPr>
          <w:noProof/>
        </w:rPr>
        <w:t>Cardesa, A., Remmele, W., Klöppel, G., Mentzel, T., Kreipe, H. H., Rudolph, P., &amp; Slootweg, P. (2008). </w:t>
      </w:r>
      <w:r w:rsidRPr="00736A43">
        <w:rPr>
          <w:noProof/>
          <w:lang w:val="de-DE"/>
        </w:rPr>
        <w:t>Pathologie: Kopf-Hals-Region, Weichgewebstumoren, Haut: Springer Berlin Heidelberg.</w:t>
      </w:r>
    </w:p>
    <w:p w14:paraId="4AA1C999" w14:textId="77777777" w:rsidR="00E0795A" w:rsidRPr="00D741B2" w:rsidRDefault="00E0795A" w:rsidP="009A5BAE">
      <w:pPr>
        <w:pStyle w:val="EndNoteCategoryHeading"/>
        <w:rPr>
          <w:noProof/>
        </w:rPr>
      </w:pPr>
      <w:r w:rsidRPr="00736A43">
        <w:rPr>
          <w:noProof/>
          <w:lang w:val="de-DE"/>
        </w:rPr>
        <w:t xml:space="preserve">Carvalho, A. L., Nishimoto, I. N., Califano, J. A., &amp; Kowalski, L. P. (2005). </w:t>
      </w:r>
      <w:r w:rsidRPr="00D741B2">
        <w:rPr>
          <w:noProof/>
        </w:rPr>
        <w:t>Trends in incidence and prognosis for head and neck cancer in the United States: a site-specific analysis of the SEER database. </w:t>
      </w:r>
      <w:r w:rsidRPr="009A5BAE">
        <w:rPr>
          <w:noProof/>
        </w:rPr>
        <w:t>Int J Cancer, 114</w:t>
      </w:r>
      <w:r w:rsidRPr="00D741B2">
        <w:rPr>
          <w:noProof/>
        </w:rPr>
        <w:t>(5), 806-816. doi:10.1002/ijc.20740</w:t>
      </w:r>
    </w:p>
    <w:p w14:paraId="3BBFD8EF" w14:textId="77777777" w:rsidR="00E0795A" w:rsidRPr="00D741B2" w:rsidRDefault="00E0795A" w:rsidP="009A5BAE">
      <w:pPr>
        <w:pStyle w:val="EndNoteCategoryHeading"/>
        <w:rPr>
          <w:noProof/>
        </w:rPr>
      </w:pPr>
      <w:r w:rsidRPr="00A03861">
        <w:rPr>
          <w:noProof/>
        </w:rPr>
        <w:t>Cawson, R. A., &amp; Odell, E. W. (2008). </w:t>
      </w:r>
      <w:r w:rsidRPr="009A5BAE">
        <w:rPr>
          <w:noProof/>
        </w:rPr>
        <w:t>Cawson's Essentials of Oral Pathology and Oral Medicine E-Book</w:t>
      </w:r>
      <w:r w:rsidRPr="00D741B2">
        <w:rPr>
          <w:noProof/>
        </w:rPr>
        <w:t>: Elsevier Health Sciences.</w:t>
      </w:r>
    </w:p>
    <w:p w14:paraId="49F2274F" w14:textId="77777777" w:rsidR="00E0795A" w:rsidRPr="00D741B2" w:rsidRDefault="00E0795A" w:rsidP="009A5BAE">
      <w:pPr>
        <w:pStyle w:val="EndNoteCategoryHeading"/>
        <w:rPr>
          <w:noProof/>
        </w:rPr>
      </w:pPr>
      <w:r w:rsidRPr="00736A43">
        <w:rPr>
          <w:noProof/>
          <w:lang w:val="de-DE"/>
        </w:rPr>
        <w:t>Cawson, R. A., &amp; Odell, E. W. (2017). </w:t>
      </w:r>
      <w:r w:rsidRPr="009A5BAE">
        <w:rPr>
          <w:noProof/>
        </w:rPr>
        <w:t>Cawson's Essentials of Oral Pathology and Oral Medicine</w:t>
      </w:r>
      <w:r w:rsidRPr="00D741B2">
        <w:rPr>
          <w:noProof/>
        </w:rPr>
        <w:t>: Elsevier Health Sciences UK.</w:t>
      </w:r>
    </w:p>
    <w:p w14:paraId="69DADD69" w14:textId="77777777" w:rsidR="00E0795A" w:rsidRPr="00D741B2" w:rsidRDefault="00E0795A" w:rsidP="009A5BAE">
      <w:pPr>
        <w:pStyle w:val="EndNoteCategoryHeading"/>
        <w:rPr>
          <w:noProof/>
        </w:rPr>
      </w:pPr>
      <w:r w:rsidRPr="00D741B2">
        <w:rPr>
          <w:noProof/>
        </w:rPr>
        <w:t>Chen, Y. W., Chen, K. H., Huang, P. I., Chen, Y. C., Chiou, G. Y., Lo, W. L., . . . Chiou, S. H. (2010). Cucurbitacin I suppressed stem-like property and enhanced radiation-induced apoptosis in head and neck squamous carcinoma--derived CD44(+)ALDH1(+) cells. </w:t>
      </w:r>
      <w:r w:rsidRPr="009A5BAE">
        <w:rPr>
          <w:noProof/>
        </w:rPr>
        <w:t>Mol Cancer Ther, 9</w:t>
      </w:r>
      <w:r w:rsidRPr="00D741B2">
        <w:rPr>
          <w:noProof/>
        </w:rPr>
        <w:t>(11), 2879-2892. doi:10.1158/1535-7163.MCT-10-0504</w:t>
      </w:r>
    </w:p>
    <w:p w14:paraId="0C6CEB93" w14:textId="77777777" w:rsidR="00E0795A" w:rsidRPr="00D741B2" w:rsidRDefault="00E0795A" w:rsidP="009A5BAE">
      <w:pPr>
        <w:pStyle w:val="EndNoteCategoryHeading"/>
        <w:rPr>
          <w:noProof/>
        </w:rPr>
      </w:pPr>
      <w:r w:rsidRPr="00D741B2">
        <w:rPr>
          <w:noProof/>
        </w:rPr>
        <w:lastRenderedPageBreak/>
        <w:t>Chin, D., Boyle, G. M., Porceddu, S., Theile, D. R., Parsons, P. G., &amp; Coman, W. B. (2006). Head and neck cancer: past, present and future. </w:t>
      </w:r>
      <w:r w:rsidRPr="009A5BAE">
        <w:rPr>
          <w:noProof/>
        </w:rPr>
        <w:t>Expert Rev Anticancer Ther, 6</w:t>
      </w:r>
      <w:r w:rsidRPr="00D741B2">
        <w:rPr>
          <w:noProof/>
        </w:rPr>
        <w:t>(7), 1111-1118. doi:10.1586/14737140.6.7.1111</w:t>
      </w:r>
    </w:p>
    <w:p w14:paraId="4996257E" w14:textId="77777777" w:rsidR="00E0795A" w:rsidRPr="00D741B2" w:rsidRDefault="00E0795A" w:rsidP="009A5BAE">
      <w:pPr>
        <w:pStyle w:val="EndNoteCategoryHeading"/>
        <w:rPr>
          <w:noProof/>
        </w:rPr>
      </w:pPr>
      <w:r w:rsidRPr="009A5BAE">
        <w:rPr>
          <w:noProof/>
          <w:lang w:val="de-DE"/>
        </w:rPr>
        <w:t>Chung, C. H., &amp; Gillison, M. L. (2009). </w:t>
      </w:r>
      <w:r w:rsidRPr="00D741B2">
        <w:rPr>
          <w:noProof/>
        </w:rPr>
        <w:t>Human papillomavirus in head and neck cancer: its role in pathogenesis and clinical implications. </w:t>
      </w:r>
      <w:r w:rsidRPr="009A5BAE">
        <w:rPr>
          <w:noProof/>
        </w:rPr>
        <w:t>Clin Cancer Res, 15</w:t>
      </w:r>
      <w:r w:rsidRPr="00D741B2">
        <w:rPr>
          <w:noProof/>
        </w:rPr>
        <w:t>(22), 6758-6762. doi:10.1158/1078-0432.CCR-09-0784</w:t>
      </w:r>
    </w:p>
    <w:p w14:paraId="20292A5E" w14:textId="77777777" w:rsidR="00E0795A" w:rsidRPr="00D741B2" w:rsidRDefault="00E0795A" w:rsidP="009A5BAE">
      <w:pPr>
        <w:pStyle w:val="EndNoteCategoryHeading"/>
        <w:rPr>
          <w:noProof/>
        </w:rPr>
      </w:pPr>
      <w:r w:rsidRPr="00D741B2">
        <w:rPr>
          <w:noProof/>
        </w:rPr>
        <w:t>Clarke, A. R., &amp; Meniel, V. (2006). The intestinal stem cell niche studied through conditional transgenesis. </w:t>
      </w:r>
      <w:r w:rsidRPr="009A5BAE">
        <w:rPr>
          <w:noProof/>
        </w:rPr>
        <w:t>Ernst Schering Found Symp Proc</w:t>
      </w:r>
      <w:r w:rsidRPr="00D741B2">
        <w:rPr>
          <w:noProof/>
        </w:rPr>
        <w:t>(5), 99-108. doi:10.1007/2789_2007_046</w:t>
      </w:r>
    </w:p>
    <w:p w14:paraId="664B1896" w14:textId="77777777" w:rsidR="00E0795A" w:rsidRPr="00D741B2" w:rsidRDefault="00E0795A" w:rsidP="009A5BAE">
      <w:pPr>
        <w:pStyle w:val="EndNoteCategoryHeading"/>
        <w:rPr>
          <w:noProof/>
        </w:rPr>
      </w:pPr>
      <w:r w:rsidRPr="00D741B2">
        <w:rPr>
          <w:noProof/>
        </w:rPr>
        <w:t>Cooper, J. S., Zhang, Q., Pajak, T. F., Forastiere, A. A., Jacobs, J., Saxman, S. B., . . . Ang, K. K. (2012). Long-term follow-up of the RTOG 9501/intergroup phase III trial: postoperative concurrent radiation therapy and chemotherapy in high-risk squamous cell carcinoma of the head and neck. </w:t>
      </w:r>
      <w:r w:rsidRPr="009A5BAE">
        <w:rPr>
          <w:noProof/>
        </w:rPr>
        <w:t>Int J Radiat Oncol Biol Phys, 84</w:t>
      </w:r>
      <w:r w:rsidRPr="00D741B2">
        <w:rPr>
          <w:noProof/>
        </w:rPr>
        <w:t>(5), 1198-1205. doi:10.1016/j.ijrobp.2012.05.008</w:t>
      </w:r>
    </w:p>
    <w:p w14:paraId="69FB146C" w14:textId="77777777" w:rsidR="00E0795A" w:rsidRPr="00D741B2" w:rsidRDefault="00E0795A" w:rsidP="009A5BAE">
      <w:pPr>
        <w:pStyle w:val="EndNoteCategoryHeading"/>
        <w:rPr>
          <w:noProof/>
        </w:rPr>
      </w:pPr>
      <w:r w:rsidRPr="00D741B2">
        <w:rPr>
          <w:noProof/>
        </w:rPr>
        <w:t>Curado, M. P., &amp; Boyle, P. (2013). Epidemiology of head and neck squamous cell carcinoma not related to tobacco or alcohol. </w:t>
      </w:r>
      <w:r w:rsidRPr="009A5BAE">
        <w:rPr>
          <w:noProof/>
        </w:rPr>
        <w:t>Curr Opin Oncol, 25</w:t>
      </w:r>
      <w:r w:rsidRPr="00D741B2">
        <w:rPr>
          <w:noProof/>
        </w:rPr>
        <w:t>(3), 229-234. doi:10.1097/CCO.0b013e32835ff48c</w:t>
      </w:r>
    </w:p>
    <w:p w14:paraId="604B5C95" w14:textId="77777777" w:rsidR="00E0795A" w:rsidRPr="00D741B2" w:rsidRDefault="00E0795A" w:rsidP="009A5BAE">
      <w:pPr>
        <w:pStyle w:val="EndNoteCategoryHeading"/>
        <w:rPr>
          <w:noProof/>
        </w:rPr>
      </w:pPr>
      <w:r w:rsidRPr="00D741B2">
        <w:rPr>
          <w:noProof/>
        </w:rPr>
        <w:t>D'Souza, G., Agrawal, Y., Halpern, J., Bodison, S., &amp; Gillison, M. L. (2009). Oral sexual behaviors associated with prevalent oral human papillomavirus infection. </w:t>
      </w:r>
      <w:r w:rsidRPr="009A5BAE">
        <w:rPr>
          <w:noProof/>
        </w:rPr>
        <w:t>J Infect Dis, 199</w:t>
      </w:r>
      <w:r w:rsidRPr="00D741B2">
        <w:rPr>
          <w:noProof/>
        </w:rPr>
        <w:t>(9), 1263-1269. doi:10.1086/597755</w:t>
      </w:r>
    </w:p>
    <w:p w14:paraId="462BA8CE" w14:textId="77777777" w:rsidR="00E0795A" w:rsidRPr="00D741B2" w:rsidRDefault="00E0795A" w:rsidP="009A5BAE">
      <w:pPr>
        <w:pStyle w:val="EndNoteCategoryHeading"/>
        <w:rPr>
          <w:noProof/>
        </w:rPr>
      </w:pPr>
      <w:r w:rsidRPr="00D741B2">
        <w:rPr>
          <w:noProof/>
        </w:rPr>
        <w:t>de Jong, M. C., Pramana, J., van der Wal, J. E., Lacko, M., Peutz-Kootstra, C. J., de Jong, J. M., . . . Begg, A. C. (2010). CD44 expression predicts local recurrence after radiotherapy in larynx cancer. </w:t>
      </w:r>
      <w:r w:rsidRPr="009A5BAE">
        <w:rPr>
          <w:noProof/>
        </w:rPr>
        <w:t>Clin Cancer Res, 16</w:t>
      </w:r>
      <w:r w:rsidRPr="00D741B2">
        <w:rPr>
          <w:noProof/>
        </w:rPr>
        <w:t>(21), 5329-5338. doi:10.1158/1078-0432.CCR-10-0799</w:t>
      </w:r>
    </w:p>
    <w:p w14:paraId="13F7B729" w14:textId="77777777" w:rsidR="00E0795A" w:rsidRPr="00D741B2" w:rsidRDefault="00E0795A" w:rsidP="009A5BAE">
      <w:pPr>
        <w:pStyle w:val="EndNoteCategoryHeading"/>
        <w:rPr>
          <w:noProof/>
        </w:rPr>
      </w:pPr>
      <w:r w:rsidRPr="00D741B2">
        <w:rPr>
          <w:noProof/>
        </w:rPr>
        <w:t>DeLellis, R. A., Sternberger, L. A., Mann, R. B., Banks, P. M., &amp; Nakane, P. K. (1979). Immunoperoxidase technics in diagnostic pathology. Report of a workshop sponsored by the National Cancer Institute. </w:t>
      </w:r>
      <w:r w:rsidRPr="009A5BAE">
        <w:rPr>
          <w:noProof/>
        </w:rPr>
        <w:t>Am J Clin Pathol, 71</w:t>
      </w:r>
      <w:r w:rsidRPr="00D741B2">
        <w:rPr>
          <w:noProof/>
        </w:rPr>
        <w:t>(5), 483-488. doi:10.1093/ajcp/71.5.483</w:t>
      </w:r>
    </w:p>
    <w:p w14:paraId="213A6EF2" w14:textId="77777777" w:rsidR="00E0795A" w:rsidRPr="00D741B2" w:rsidRDefault="00E0795A" w:rsidP="009A5BAE">
      <w:pPr>
        <w:pStyle w:val="EndNoteCategoryHeading"/>
        <w:rPr>
          <w:noProof/>
        </w:rPr>
      </w:pPr>
      <w:r w:rsidRPr="00D741B2">
        <w:rPr>
          <w:noProof/>
        </w:rPr>
        <w:t>Duvvuri, U., &amp; Myers, J. N. (2009). Contemporary management of oropharyngeal cancer: anatomy and physiology of the oropharynx. </w:t>
      </w:r>
      <w:r w:rsidRPr="009A5BAE">
        <w:rPr>
          <w:noProof/>
        </w:rPr>
        <w:t>Curr Probl Surg, 46</w:t>
      </w:r>
      <w:r w:rsidRPr="00D741B2">
        <w:rPr>
          <w:noProof/>
        </w:rPr>
        <w:t>(2), 119-184. doi:10.1067/j.cpsurg.2008.10.003</w:t>
      </w:r>
    </w:p>
    <w:p w14:paraId="59BF0597" w14:textId="77777777" w:rsidR="00E0795A" w:rsidRPr="00D741B2" w:rsidRDefault="00E0795A" w:rsidP="009A5BAE">
      <w:pPr>
        <w:pStyle w:val="EndNoteCategoryHeading"/>
        <w:rPr>
          <w:noProof/>
        </w:rPr>
      </w:pPr>
      <w:r w:rsidRPr="00D741B2">
        <w:rPr>
          <w:noProof/>
        </w:rPr>
        <w:t>El-Naggar, A. K., Chan, J. K. C., Grandis, J. R., Takata, T., &amp; Slootweg, P. J. (2017). </w:t>
      </w:r>
      <w:r w:rsidRPr="009A5BAE">
        <w:rPr>
          <w:noProof/>
        </w:rPr>
        <w:t>WHO Classification of Head and Neck Tumours</w:t>
      </w:r>
      <w:r w:rsidRPr="00D741B2">
        <w:rPr>
          <w:noProof/>
        </w:rPr>
        <w:t>: International Agency for Research on Cancer.</w:t>
      </w:r>
    </w:p>
    <w:p w14:paraId="10465D3B" w14:textId="77777777" w:rsidR="00E0795A" w:rsidRPr="00D741B2" w:rsidRDefault="00E0795A" w:rsidP="009A5BAE">
      <w:pPr>
        <w:pStyle w:val="EndNoteCategoryHeading"/>
        <w:rPr>
          <w:noProof/>
        </w:rPr>
      </w:pPr>
      <w:r w:rsidRPr="00D741B2">
        <w:rPr>
          <w:noProof/>
        </w:rPr>
        <w:t xml:space="preserve">Fakhry, C., Westra, W. H., Li, S., Cmelak, A., Ridge, J. A., Pinto, H., . . . Gillison, M. L. (2008). Improved survival of patients with human papillomavirus-positive head and neck </w:t>
      </w:r>
      <w:r w:rsidRPr="00D741B2">
        <w:rPr>
          <w:noProof/>
        </w:rPr>
        <w:lastRenderedPageBreak/>
        <w:t>squamous cell carcinoma in a prospective clinical trial. </w:t>
      </w:r>
      <w:r w:rsidRPr="009A5BAE">
        <w:rPr>
          <w:noProof/>
        </w:rPr>
        <w:t>J Natl Cancer Inst, 100</w:t>
      </w:r>
      <w:r w:rsidRPr="00D741B2">
        <w:rPr>
          <w:noProof/>
        </w:rPr>
        <w:t>(4), 261-269. doi:10.1093/jnci/djn011</w:t>
      </w:r>
    </w:p>
    <w:p w14:paraId="76735F12" w14:textId="77777777" w:rsidR="00E0795A" w:rsidRPr="00D741B2" w:rsidRDefault="00E0795A" w:rsidP="009A5BAE">
      <w:pPr>
        <w:pStyle w:val="EndNoteCategoryHeading"/>
        <w:rPr>
          <w:noProof/>
        </w:rPr>
      </w:pPr>
      <w:r w:rsidRPr="00D741B2">
        <w:rPr>
          <w:noProof/>
        </w:rPr>
        <w:t>Ferlay, J., Colombet, M., Soerjomataram, I., Parkin, D. M., Pineros, M., Znaor, A., &amp; Bray, F. (2021). Cancer statistics for the year 2020: An overview. </w:t>
      </w:r>
      <w:r w:rsidRPr="009A5BAE">
        <w:rPr>
          <w:noProof/>
        </w:rPr>
        <w:t>Int J Cancer</w:t>
      </w:r>
      <w:r w:rsidRPr="00D741B2">
        <w:rPr>
          <w:noProof/>
        </w:rPr>
        <w:t>. doi:10.1002/ijc.33588</w:t>
      </w:r>
    </w:p>
    <w:p w14:paraId="4313300C" w14:textId="77777777" w:rsidR="00E0795A" w:rsidRPr="00D741B2" w:rsidRDefault="00E0795A" w:rsidP="009A5BAE">
      <w:pPr>
        <w:pStyle w:val="EndNoteCategoryHeading"/>
        <w:rPr>
          <w:noProof/>
        </w:rPr>
      </w:pPr>
      <w:r w:rsidRPr="00D741B2">
        <w:rPr>
          <w:noProof/>
        </w:rPr>
        <w:t>Gillison, M. L., D'Souza, G., Westra, W., Sugar, E., Xiao, W., Begum, S., &amp; Viscidi, R. (2008). Distinct risk factor profiles for human papillomavirus type 16-positive and human papillomavirus type 16-negative head and neck cancers. </w:t>
      </w:r>
      <w:r w:rsidRPr="009A5BAE">
        <w:rPr>
          <w:noProof/>
        </w:rPr>
        <w:t>J Natl Cancer Inst, 100</w:t>
      </w:r>
      <w:r w:rsidRPr="00D741B2">
        <w:rPr>
          <w:noProof/>
        </w:rPr>
        <w:t>(6), 407-420. doi:10.1093/jnci/djn025</w:t>
      </w:r>
    </w:p>
    <w:p w14:paraId="52271599" w14:textId="77777777" w:rsidR="00E0795A" w:rsidRPr="00D741B2" w:rsidRDefault="00E0795A" w:rsidP="009A5BAE">
      <w:pPr>
        <w:pStyle w:val="EndNoteCategoryHeading"/>
        <w:rPr>
          <w:noProof/>
        </w:rPr>
      </w:pPr>
      <w:r w:rsidRPr="00D741B2">
        <w:rPr>
          <w:noProof/>
        </w:rPr>
        <w:t>Gillison, M. L., Koch, W. M., Capone, R. B., Spafford, M., Westra, W. H., Wu, L., . . . Sidransky, D. (2000). Evidence for a causal association between human papillomavirus and a subset of head and neck cancers. </w:t>
      </w:r>
      <w:r w:rsidRPr="009A5BAE">
        <w:rPr>
          <w:noProof/>
        </w:rPr>
        <w:t>J Natl Cancer Inst, 92</w:t>
      </w:r>
      <w:r w:rsidRPr="00D741B2">
        <w:rPr>
          <w:noProof/>
        </w:rPr>
        <w:t>(9), 709-720. doi:10.1093/jnci/92.9.709</w:t>
      </w:r>
    </w:p>
    <w:p w14:paraId="4074753C" w14:textId="77777777" w:rsidR="00E0795A" w:rsidRPr="00D741B2" w:rsidRDefault="00E0795A" w:rsidP="009A5BAE">
      <w:pPr>
        <w:pStyle w:val="EndNoteCategoryHeading"/>
        <w:rPr>
          <w:noProof/>
        </w:rPr>
      </w:pPr>
      <w:r w:rsidRPr="00D741B2">
        <w:rPr>
          <w:noProof/>
        </w:rPr>
        <w:t>Giltnane, J. M., &amp; Rimm, D. L. (2004). Technology insight: Identification of biomarkers with tissue microarray technology. </w:t>
      </w:r>
      <w:r w:rsidRPr="009A5BAE">
        <w:rPr>
          <w:noProof/>
        </w:rPr>
        <w:t>Nat Clin Pract Oncol, 1</w:t>
      </w:r>
      <w:r w:rsidRPr="00D741B2">
        <w:rPr>
          <w:noProof/>
        </w:rPr>
        <w:t>(2), 104-111. doi:10.1038/ncponc0046</w:t>
      </w:r>
    </w:p>
    <w:p w14:paraId="4EC252CA" w14:textId="77777777" w:rsidR="00E0795A" w:rsidRPr="00D741B2" w:rsidRDefault="00E0795A" w:rsidP="009A5BAE">
      <w:pPr>
        <w:pStyle w:val="EndNoteCategoryHeading"/>
        <w:rPr>
          <w:noProof/>
        </w:rPr>
      </w:pPr>
      <w:r w:rsidRPr="00D741B2">
        <w:rPr>
          <w:noProof/>
        </w:rPr>
        <w:t>Ginestier, C., Hur, M. H., Charafe-Jauffret, E., Monville, F., Dutcher, J., Brown, M., . . . Dontu, G. (2007). ALDH1 is a marker of normal and malignant human mammary stem cells and a predictor of poor clinical outcome. </w:t>
      </w:r>
      <w:r w:rsidRPr="009A5BAE">
        <w:rPr>
          <w:noProof/>
        </w:rPr>
        <w:t>Cell Stem Cell, 1</w:t>
      </w:r>
      <w:r w:rsidRPr="00D741B2">
        <w:rPr>
          <w:noProof/>
        </w:rPr>
        <w:t>(5), 555-567. doi:10.1016/j.stem.2007.08.014</w:t>
      </w:r>
    </w:p>
    <w:p w14:paraId="0FEF00FA" w14:textId="77777777" w:rsidR="00E0795A" w:rsidRPr="009A5BAE" w:rsidRDefault="00E0795A" w:rsidP="009A5BAE">
      <w:pPr>
        <w:pStyle w:val="EndNoteCategoryHeading"/>
        <w:rPr>
          <w:noProof/>
          <w:lang w:val="de-DE"/>
        </w:rPr>
      </w:pPr>
      <w:r w:rsidRPr="00D741B2">
        <w:rPr>
          <w:noProof/>
        </w:rPr>
        <w:t>Hafkamp, H. C., Manni, J. J., Haesevoets, A., Voogd, A. C., Schepers, M., Bot, F. J., . . . Speel, E. J. (2008). Marked differences in survival rate between smokers and nonsmokers with HPV 16-associated tonsillar carcinomas. </w:t>
      </w:r>
      <w:r w:rsidRPr="009A5BAE">
        <w:rPr>
          <w:noProof/>
          <w:lang w:val="de-DE"/>
        </w:rPr>
        <w:t>Int J Cancer, 122(12), 2656-2664. doi:10.1002/ijc.23458</w:t>
      </w:r>
    </w:p>
    <w:p w14:paraId="5F053862" w14:textId="77777777" w:rsidR="00E0795A" w:rsidRPr="009A5BAE" w:rsidRDefault="00E0795A" w:rsidP="009A5BAE">
      <w:pPr>
        <w:pStyle w:val="EndNoteCategoryHeading"/>
        <w:rPr>
          <w:noProof/>
          <w:lang w:val="de-DE"/>
        </w:rPr>
      </w:pPr>
      <w:r w:rsidRPr="009A5BAE">
        <w:rPr>
          <w:noProof/>
          <w:lang w:val="de-DE"/>
        </w:rPr>
        <w:t>Heinrich, P. C., Müller, M., &amp; Graeve, L. (2014). Löffler/Petrides Biochemie und Pathobiochemie: Springer Berlin Heidelberg.</w:t>
      </w:r>
    </w:p>
    <w:p w14:paraId="6650DEF7" w14:textId="77777777" w:rsidR="00E0795A" w:rsidRPr="00736A43" w:rsidRDefault="00E0795A" w:rsidP="009A5BAE">
      <w:pPr>
        <w:pStyle w:val="EndNoteCategoryHeading"/>
        <w:rPr>
          <w:noProof/>
          <w:lang w:val="de-DE"/>
        </w:rPr>
      </w:pPr>
      <w:r w:rsidRPr="00D741B2">
        <w:rPr>
          <w:noProof/>
        </w:rPr>
        <w:t>Herrmann, K., &amp; Niedobitek, G. (2003). Epstein-Barr virus-associated carcinomas: facts and fiction. </w:t>
      </w:r>
      <w:r w:rsidRPr="00736A43">
        <w:rPr>
          <w:noProof/>
          <w:lang w:val="de-DE"/>
        </w:rPr>
        <w:t>J Pathol, 199(2), 140-145. doi:10.1002/path.1296</w:t>
      </w:r>
    </w:p>
    <w:p w14:paraId="4786A1FE" w14:textId="77777777" w:rsidR="00E0795A" w:rsidRPr="00736A43" w:rsidRDefault="00E0795A" w:rsidP="009A5BAE">
      <w:pPr>
        <w:pStyle w:val="EndNoteCategoryHeading"/>
        <w:rPr>
          <w:noProof/>
          <w:lang w:val="de-DE"/>
        </w:rPr>
      </w:pPr>
      <w:r w:rsidRPr="00736A43">
        <w:rPr>
          <w:noProof/>
          <w:lang w:val="de-DE"/>
        </w:rPr>
        <w:t>Joos, S., Nettelbeck, D. M., Reil-Held, A., Engelmann, K., Moosmann, A., Eggert, A., . . . Baumann, M. (2019). </w:t>
      </w:r>
      <w:r w:rsidRPr="00D741B2">
        <w:rPr>
          <w:noProof/>
        </w:rPr>
        <w:t>German Cancer Consortium (DKTK) - A national consortium for translational cancer research. </w:t>
      </w:r>
      <w:r w:rsidRPr="00736A43">
        <w:rPr>
          <w:noProof/>
          <w:lang w:val="de-DE"/>
        </w:rPr>
        <w:t>Mol Oncol, 13(3), 535-542. doi:10.1002/1878-0261.12430</w:t>
      </w:r>
    </w:p>
    <w:p w14:paraId="13015535" w14:textId="77777777" w:rsidR="00E0795A" w:rsidRPr="009A5BAE" w:rsidRDefault="00E0795A" w:rsidP="009A5BAE">
      <w:pPr>
        <w:pStyle w:val="EndNoteCategoryHeading"/>
        <w:rPr>
          <w:noProof/>
          <w:lang w:val="de-DE"/>
        </w:rPr>
      </w:pPr>
      <w:r w:rsidRPr="00736A43">
        <w:rPr>
          <w:noProof/>
          <w:lang w:val="de-DE"/>
        </w:rPr>
        <w:t xml:space="preserve">Jütz, M., Linge, A., von Neubeck, C., Lohaus, F., Tinhofer, I., Budach, V., . . . DKTK-ROG. </w:t>
      </w:r>
      <w:r w:rsidRPr="009A5BAE">
        <w:rPr>
          <w:noProof/>
          <w:lang w:val="de-DE"/>
        </w:rPr>
        <w:t xml:space="preserve">(2015). Prognostisches Potential von CD44 als Tumorstammzellmarker für die kombinierte Radiochemotherapie des lokal fortgeschrittenen Kopf-Hals-Plattenepithelkarzinoms. Paper </w:t>
      </w:r>
      <w:r w:rsidRPr="009A5BAE">
        <w:rPr>
          <w:noProof/>
          <w:lang w:val="de-DE"/>
        </w:rPr>
        <w:lastRenderedPageBreak/>
        <w:t>presented at the Symposium Experimentelle Strahlentherapie und klinische Strahlenbiologie.</w:t>
      </w:r>
    </w:p>
    <w:p w14:paraId="352E941E" w14:textId="77777777" w:rsidR="00E0795A" w:rsidRPr="00D741B2" w:rsidRDefault="00E0795A" w:rsidP="009A5BAE">
      <w:pPr>
        <w:pStyle w:val="EndNoteCategoryHeading"/>
        <w:rPr>
          <w:noProof/>
        </w:rPr>
      </w:pPr>
      <w:r w:rsidRPr="00D741B2">
        <w:rPr>
          <w:noProof/>
        </w:rPr>
        <w:t>Klijanienko, J., el-Naggar, A., Ponzio-Prion, A., Marandas, P., Micheau, C., &amp; Caillaud, J. M. (1993). Basaloid squamous carcinoma of the head and neck. Immunohistochemical comparison with adenoid cystic carcinoma and squamous cell carcinoma. </w:t>
      </w:r>
      <w:r w:rsidRPr="009A5BAE">
        <w:rPr>
          <w:noProof/>
        </w:rPr>
        <w:t>Arch Otolaryngol Head Neck Surg, 119</w:t>
      </w:r>
      <w:r w:rsidRPr="00D741B2">
        <w:rPr>
          <w:noProof/>
        </w:rPr>
        <w:t>(8), 887-890. doi:10.1001/archotol.1993.01880200093013</w:t>
      </w:r>
    </w:p>
    <w:p w14:paraId="56F50FC6" w14:textId="77777777" w:rsidR="00E0795A" w:rsidRPr="00D741B2" w:rsidRDefault="00E0795A" w:rsidP="009A5BAE">
      <w:pPr>
        <w:pStyle w:val="EndNoteCategoryHeading"/>
        <w:rPr>
          <w:noProof/>
        </w:rPr>
      </w:pPr>
      <w:r w:rsidRPr="00D741B2">
        <w:rPr>
          <w:noProof/>
        </w:rPr>
        <w:t>Klussmann, J. P., Weissenborn, S. J., Wieland, U., Dries, V., Eckel, H. E., Pfister, H. J., &amp; Fuchs, P. G. (2003). Human papillomavirus-positive tonsillar carcinomas: a different tumor entity? </w:t>
      </w:r>
      <w:r w:rsidRPr="009A5BAE">
        <w:rPr>
          <w:noProof/>
        </w:rPr>
        <w:t>Med Microbiol Immunol, 192</w:t>
      </w:r>
      <w:r w:rsidRPr="00D741B2">
        <w:rPr>
          <w:noProof/>
        </w:rPr>
        <w:t>(3), 129-132. doi:10.1007/s00430-002-0126-1</w:t>
      </w:r>
    </w:p>
    <w:p w14:paraId="126B06B5" w14:textId="77777777" w:rsidR="00E0795A" w:rsidRPr="00D741B2" w:rsidRDefault="00E0795A" w:rsidP="009A5BAE">
      <w:pPr>
        <w:pStyle w:val="EndNoteCategoryHeading"/>
        <w:rPr>
          <w:noProof/>
        </w:rPr>
      </w:pPr>
      <w:r w:rsidRPr="009A5BAE">
        <w:rPr>
          <w:noProof/>
          <w:lang w:val="de-DE"/>
        </w:rPr>
        <w:t>Klussmann, J. P., Weissenborn, S. J., Wieland, U., Dries, V., Kolligs, J., Jungehuelsing, M., . . . </w:t>
      </w:r>
      <w:r w:rsidRPr="00D741B2">
        <w:rPr>
          <w:noProof/>
        </w:rPr>
        <w:t>Fuchs, P. G. (2001). Prevalence, distribution, and viral load of human papillomavirus 16 DNA in tonsillar carcinomas. </w:t>
      </w:r>
      <w:r w:rsidRPr="009A5BAE">
        <w:rPr>
          <w:noProof/>
        </w:rPr>
        <w:t>Cancer, 92</w:t>
      </w:r>
      <w:r w:rsidRPr="00D741B2">
        <w:rPr>
          <w:noProof/>
        </w:rPr>
        <w:t>(11), 2875-2884. doi:10.1002/1097-0142(20011201)92:11&lt;2875::aid-cncr10130&gt;</w:t>
      </w:r>
      <w:hyperlink r:id="rId40" w:history="1">
        <w:r w:rsidRPr="009A5BAE">
          <w:rPr>
            <w:noProof/>
          </w:rPr>
          <w:t>3.0.co</w:t>
        </w:r>
      </w:hyperlink>
      <w:r w:rsidRPr="00D741B2">
        <w:rPr>
          <w:noProof/>
        </w:rPr>
        <w:t>;2-7</w:t>
      </w:r>
    </w:p>
    <w:p w14:paraId="2EED172F" w14:textId="77777777" w:rsidR="00E0795A" w:rsidRPr="009A5BAE" w:rsidRDefault="00E0795A" w:rsidP="009A5BAE">
      <w:pPr>
        <w:pStyle w:val="EndNoteCategoryHeading"/>
        <w:rPr>
          <w:noProof/>
          <w:lang w:val="de-DE"/>
        </w:rPr>
      </w:pPr>
      <w:r w:rsidRPr="00D741B2">
        <w:rPr>
          <w:noProof/>
        </w:rPr>
        <w:t>Kononen, J., Bubendorf, L., Kallioniemi, A., Barlund, M., Schraml, P., Leighton, S., . . . Kallioniemi, O. P. (1998). Tissue microarrays for high-throughput molecular profiling of tumor specimens. </w:t>
      </w:r>
      <w:r w:rsidRPr="009A5BAE">
        <w:rPr>
          <w:noProof/>
          <w:lang w:val="de-DE"/>
        </w:rPr>
        <w:t>Nat Med, 4(7), 844-847. doi:10.1038/nm0798-844</w:t>
      </w:r>
    </w:p>
    <w:p w14:paraId="589F4036" w14:textId="77777777" w:rsidR="00E0795A" w:rsidRPr="00D741B2" w:rsidRDefault="00E0795A" w:rsidP="009A5BAE">
      <w:pPr>
        <w:pStyle w:val="EndNoteCategoryHeading"/>
        <w:rPr>
          <w:noProof/>
        </w:rPr>
      </w:pPr>
      <w:r w:rsidRPr="009A5BAE">
        <w:rPr>
          <w:noProof/>
          <w:lang w:val="de-DE"/>
        </w:rPr>
        <w:t>Krause, M., Yaromina, A., Eicheler, W., Koch, U., &amp; Baumann, M. (2011). </w:t>
      </w:r>
      <w:r w:rsidRPr="00D741B2">
        <w:rPr>
          <w:noProof/>
        </w:rPr>
        <w:t>Cancer stem cells: targets and potential biomarkers for radiotherapy. </w:t>
      </w:r>
      <w:r w:rsidRPr="009A5BAE">
        <w:rPr>
          <w:noProof/>
        </w:rPr>
        <w:t>Clin Cancer Res, 17</w:t>
      </w:r>
      <w:r w:rsidRPr="00D741B2">
        <w:rPr>
          <w:noProof/>
        </w:rPr>
        <w:t>(23), 7224-7229. doi:10.1158/1078-0432.CCR-10-2639</w:t>
      </w:r>
    </w:p>
    <w:p w14:paraId="706F4529" w14:textId="77777777" w:rsidR="00E0795A" w:rsidRPr="009A5BAE" w:rsidRDefault="00E0795A" w:rsidP="009A5BAE">
      <w:pPr>
        <w:pStyle w:val="EndNoteCategoryHeading"/>
        <w:rPr>
          <w:noProof/>
          <w:lang w:val="de-DE"/>
        </w:rPr>
      </w:pPr>
      <w:r w:rsidRPr="009A5BAE">
        <w:rPr>
          <w:noProof/>
          <w:lang w:val="de-DE"/>
        </w:rPr>
        <w:t>Lenarz, T., &amp; Boenninghaus, H. G. (2012). Hals-Nasen-Ohren-Heilkunde: Springer Berlin Heidelberg.</w:t>
      </w:r>
    </w:p>
    <w:p w14:paraId="77BD2529" w14:textId="77777777" w:rsidR="00E0795A" w:rsidRPr="00D741B2" w:rsidRDefault="00E0795A" w:rsidP="009A5BAE">
      <w:pPr>
        <w:pStyle w:val="EndNoteCategoryHeading"/>
        <w:rPr>
          <w:noProof/>
        </w:rPr>
      </w:pPr>
      <w:r w:rsidRPr="009A5BAE">
        <w:rPr>
          <w:noProof/>
          <w:lang w:val="de-DE"/>
        </w:rPr>
        <w:t>Lindel, K., Beer, K. T., Laissue, J., Greiner, R. H., &amp; Aebersold, D. M. (2001). </w:t>
      </w:r>
      <w:r w:rsidRPr="00D741B2">
        <w:rPr>
          <w:noProof/>
        </w:rPr>
        <w:t>Human papillomavirus positive squamous cell carcinoma of the oropharynx: a radiosensitive subgroup of head and neck carcinoma. </w:t>
      </w:r>
      <w:r w:rsidRPr="009A5BAE">
        <w:rPr>
          <w:noProof/>
        </w:rPr>
        <w:t>Cancer, 92</w:t>
      </w:r>
      <w:r w:rsidRPr="00D741B2">
        <w:rPr>
          <w:noProof/>
        </w:rPr>
        <w:t>(4), 805-813. doi:10.1002/1097-0142(20010815)92:4&lt;805::aid-cncr1386&gt;</w:t>
      </w:r>
      <w:hyperlink r:id="rId41" w:history="1">
        <w:r w:rsidRPr="009A5BAE">
          <w:rPr>
            <w:noProof/>
          </w:rPr>
          <w:t>3.0.co</w:t>
        </w:r>
      </w:hyperlink>
      <w:r w:rsidRPr="00D741B2">
        <w:rPr>
          <w:noProof/>
        </w:rPr>
        <w:t>;2-9</w:t>
      </w:r>
    </w:p>
    <w:p w14:paraId="2E478C0F" w14:textId="77777777" w:rsidR="00E0795A" w:rsidRPr="00D741B2" w:rsidRDefault="00E0795A" w:rsidP="009A5BAE">
      <w:pPr>
        <w:pStyle w:val="EndNoteCategoryHeading"/>
        <w:rPr>
          <w:noProof/>
        </w:rPr>
      </w:pPr>
      <w:r w:rsidRPr="00D741B2">
        <w:rPr>
          <w:noProof/>
        </w:rPr>
        <w:t>Lindquist, D., Romanitan, M., Hammarstedt, L., Näsman, A., Dahlstrand, H., Lindholm, J., . . . Dalianis, T. (2007). Human papillomavirus is a favourable prognostic factor in tonsillar cancer and its oncogenic role is supported by the expression of E6 and E7. </w:t>
      </w:r>
      <w:r w:rsidRPr="009A5BAE">
        <w:rPr>
          <w:noProof/>
        </w:rPr>
        <w:t>Mol Oncol, 1</w:t>
      </w:r>
      <w:r w:rsidRPr="00D741B2">
        <w:rPr>
          <w:noProof/>
        </w:rPr>
        <w:t>(3), 350-355. doi:10.1016/j.molonc.2007.08.005</w:t>
      </w:r>
    </w:p>
    <w:p w14:paraId="09D4E029" w14:textId="77777777" w:rsidR="00E0795A" w:rsidRPr="00736A43" w:rsidRDefault="00E0795A" w:rsidP="009A5BAE">
      <w:pPr>
        <w:pStyle w:val="EndNoteCategoryHeading"/>
        <w:rPr>
          <w:noProof/>
          <w:lang w:val="de-DE"/>
        </w:rPr>
      </w:pPr>
      <w:r w:rsidRPr="00D741B2">
        <w:rPr>
          <w:noProof/>
        </w:rPr>
        <w:t>Lingen, M. W. (2000). Lucas' pathology of tumors of the oral tissues. </w:t>
      </w:r>
      <w:r w:rsidRPr="00736A43">
        <w:rPr>
          <w:noProof/>
          <w:lang w:val="de-DE"/>
        </w:rPr>
        <w:t>Arch Pathol Lab Med, 124(3), 475.</w:t>
      </w:r>
    </w:p>
    <w:p w14:paraId="46A84E06" w14:textId="77777777" w:rsidR="00E0795A" w:rsidRPr="00D741B2" w:rsidRDefault="00E0795A" w:rsidP="009A5BAE">
      <w:pPr>
        <w:pStyle w:val="EndNoteCategoryHeading"/>
        <w:rPr>
          <w:noProof/>
        </w:rPr>
      </w:pPr>
      <w:r w:rsidRPr="00736A43">
        <w:rPr>
          <w:noProof/>
          <w:lang w:val="de-DE"/>
        </w:rPr>
        <w:lastRenderedPageBreak/>
        <w:t>Lohaus, F., Linge, A., Tinhofer, I., Budach, V., Gkika, E., Stuschke, M., . . . Dktk, R. O. G. (2014). </w:t>
      </w:r>
      <w:r w:rsidRPr="00D741B2">
        <w:rPr>
          <w:noProof/>
        </w:rPr>
        <w:t>HPV16 DNA status is a strong prognosticator of loco-regional control after postoperative radiochemotherapy of locally advanced oropharyngeal carcinoma: results from a multicentre explorative study of the German Cancer Consortium Radiation Oncology Group (DKTK-ROG). </w:t>
      </w:r>
      <w:r w:rsidRPr="009A5BAE">
        <w:rPr>
          <w:noProof/>
        </w:rPr>
        <w:t>Radiother Oncol, 113</w:t>
      </w:r>
      <w:r w:rsidRPr="00D741B2">
        <w:rPr>
          <w:noProof/>
        </w:rPr>
        <w:t>(3), 317-323. doi:10.1016/j.radonc.2014.11.011</w:t>
      </w:r>
    </w:p>
    <w:p w14:paraId="41C620CF" w14:textId="77777777" w:rsidR="00E0795A" w:rsidRPr="009A5BAE" w:rsidRDefault="00E0795A" w:rsidP="009A5BAE">
      <w:pPr>
        <w:pStyle w:val="EndNoteCategoryHeading"/>
        <w:rPr>
          <w:noProof/>
          <w:lang w:val="de-DE"/>
        </w:rPr>
      </w:pPr>
      <w:r w:rsidRPr="00D741B2">
        <w:rPr>
          <w:noProof/>
        </w:rPr>
        <w:t>Mack, B., &amp; Gires, O. (2008). CD44s and CD44v6 expression in head and neck epithelia. </w:t>
      </w:r>
      <w:r w:rsidRPr="009A5BAE">
        <w:rPr>
          <w:noProof/>
          <w:lang w:val="de-DE"/>
        </w:rPr>
        <w:t>PLoS One, 3(10), e3360. doi:10.1371/journal.pone.0003360</w:t>
      </w:r>
    </w:p>
    <w:p w14:paraId="68E57CDD" w14:textId="77777777" w:rsidR="00E0795A" w:rsidRPr="00D741B2" w:rsidRDefault="00E0795A" w:rsidP="009A5BAE">
      <w:pPr>
        <w:pStyle w:val="EndNoteCategoryHeading"/>
        <w:rPr>
          <w:noProof/>
        </w:rPr>
      </w:pPr>
      <w:r w:rsidRPr="009A5BAE">
        <w:rPr>
          <w:noProof/>
          <w:lang w:val="de-DE"/>
        </w:rPr>
        <w:t>MacMillan, C., Kapadia, S. B., Finkelstein, S. D., Nalesnik, M. A., &amp; Barnes, L. (1996). </w:t>
      </w:r>
      <w:r w:rsidRPr="00D741B2">
        <w:rPr>
          <w:noProof/>
        </w:rPr>
        <w:t>Lymphoepithelial carcinoma of the larynx and hypopharynx: study of eight cases with relationship to Epstein-Barr virus and p53 gene alterations, and review of the literature. </w:t>
      </w:r>
      <w:r w:rsidRPr="009A5BAE">
        <w:rPr>
          <w:noProof/>
        </w:rPr>
        <w:t>Hum Pathol, 27</w:t>
      </w:r>
      <w:r w:rsidRPr="00D741B2">
        <w:rPr>
          <w:noProof/>
        </w:rPr>
        <w:t>(11), 1172-1179. doi:10.1016/s0046-8177(96)90311-1</w:t>
      </w:r>
    </w:p>
    <w:p w14:paraId="46F4180E" w14:textId="77777777" w:rsidR="00E0795A" w:rsidRPr="00D741B2" w:rsidRDefault="00E0795A" w:rsidP="009A5BAE">
      <w:pPr>
        <w:pStyle w:val="EndNoteCategoryHeading"/>
        <w:rPr>
          <w:noProof/>
        </w:rPr>
      </w:pPr>
      <w:r w:rsidRPr="00D741B2">
        <w:rPr>
          <w:noProof/>
        </w:rPr>
        <w:t>Mashberg, A., &amp; Samit, A. (1995). Early diagnosis of asymptomatic oral and oropharyngeal squamous cancers. </w:t>
      </w:r>
      <w:r w:rsidRPr="009A5BAE">
        <w:rPr>
          <w:noProof/>
        </w:rPr>
        <w:t>CA Cancer J Clin, 45</w:t>
      </w:r>
      <w:r w:rsidRPr="00D741B2">
        <w:rPr>
          <w:noProof/>
        </w:rPr>
        <w:t>(6), 328-351. doi:10.3322/canjclin.45.6.328</w:t>
      </w:r>
    </w:p>
    <w:p w14:paraId="1D4BAEE6" w14:textId="77777777" w:rsidR="00E0795A" w:rsidRPr="00D741B2" w:rsidRDefault="00E0795A" w:rsidP="009A5BAE">
      <w:pPr>
        <w:pStyle w:val="EndNoteCategoryHeading"/>
        <w:rPr>
          <w:noProof/>
        </w:rPr>
      </w:pPr>
      <w:r w:rsidRPr="00D741B2">
        <w:rPr>
          <w:noProof/>
        </w:rPr>
        <w:t>Nocito, A., Kononen, J., Kallioniemi, O. P., &amp; Sauter, G. (2001). Tissue microarrays (TMAs) for high-throughput molecular pathology research. </w:t>
      </w:r>
      <w:r w:rsidRPr="009A5BAE">
        <w:rPr>
          <w:noProof/>
        </w:rPr>
        <w:t>Int J Cancer, 94</w:t>
      </w:r>
      <w:r w:rsidRPr="00D741B2">
        <w:rPr>
          <w:noProof/>
        </w:rPr>
        <w:t>(1), 1-5. doi:10.1002/ijc.1385</w:t>
      </w:r>
    </w:p>
    <w:p w14:paraId="7B8170E9" w14:textId="77777777" w:rsidR="00E0795A" w:rsidRPr="00D741B2" w:rsidRDefault="00E0795A" w:rsidP="009A5BAE">
      <w:pPr>
        <w:pStyle w:val="EndNoteCategoryHeading"/>
        <w:rPr>
          <w:noProof/>
        </w:rPr>
      </w:pPr>
      <w:r w:rsidRPr="00D741B2">
        <w:rPr>
          <w:noProof/>
        </w:rPr>
        <w:t>Odell, E. W., Farthing, P. M., High, A., Potts, J., Soames, J., Thakker, N., . . . Williams, H. K. (2004). British Society for Oral and Maxillofacial Pathology, UK: minimum curriculum in oral pathology. </w:t>
      </w:r>
      <w:r w:rsidRPr="009A5BAE">
        <w:rPr>
          <w:noProof/>
        </w:rPr>
        <w:t>Eur J Dent Educ, 8</w:t>
      </w:r>
      <w:r w:rsidRPr="00D741B2">
        <w:rPr>
          <w:noProof/>
        </w:rPr>
        <w:t>(4), 177-184. doi:10.1111/j.1600-0579.2004.00350.x</w:t>
      </w:r>
    </w:p>
    <w:p w14:paraId="2FD5A62A" w14:textId="77777777" w:rsidR="00E0795A" w:rsidRPr="00D741B2" w:rsidRDefault="00E0795A" w:rsidP="009A5BAE">
      <w:pPr>
        <w:pStyle w:val="EndNoteCategoryHeading"/>
        <w:rPr>
          <w:noProof/>
        </w:rPr>
      </w:pPr>
      <w:r w:rsidRPr="00D741B2">
        <w:rPr>
          <w:noProof/>
        </w:rPr>
        <w:t>Paz, I. B., Cook, N., Odom-Maryon, T., Xie, Y., &amp; Wilczynski, S. P. (1997). Human papillomavirus (HPV) in head and neck cancer. An association of HPV 16 with squamous cell carcinoma of Waldeyer's tonsillar ring. </w:t>
      </w:r>
      <w:r w:rsidRPr="009A5BAE">
        <w:rPr>
          <w:noProof/>
        </w:rPr>
        <w:t>Cancer, 79</w:t>
      </w:r>
      <w:r w:rsidRPr="00D741B2">
        <w:rPr>
          <w:noProof/>
        </w:rPr>
        <w:t>(3), 595-604. doi:10.1002/(sici)1097-0142(19970201)79:3&lt;595::aid-cncr24&gt;</w:t>
      </w:r>
      <w:hyperlink r:id="rId42" w:history="1">
        <w:r w:rsidRPr="009A5BAE">
          <w:rPr>
            <w:noProof/>
          </w:rPr>
          <w:t>3.0.co</w:t>
        </w:r>
      </w:hyperlink>
      <w:r w:rsidRPr="00D741B2">
        <w:rPr>
          <w:noProof/>
        </w:rPr>
        <w:t>;2-y</w:t>
      </w:r>
    </w:p>
    <w:p w14:paraId="32545520" w14:textId="77777777" w:rsidR="00E0795A" w:rsidRPr="00D741B2" w:rsidRDefault="00E0795A" w:rsidP="009A5BAE">
      <w:pPr>
        <w:pStyle w:val="EndNoteCategoryHeading"/>
        <w:rPr>
          <w:noProof/>
        </w:rPr>
      </w:pPr>
      <w:r w:rsidRPr="00D741B2">
        <w:rPr>
          <w:noProof/>
        </w:rPr>
        <w:t>Prince, M. E., Sivanandan, R., Kaczorowski, A., Wolf, G. T., Kaplan, M. J., Dalerba, P., . . . Ailles, L. E. (2007). Identification of a subpopulation of cells with cancer stem cell properties in head and neck squamous cell carcinoma. </w:t>
      </w:r>
      <w:r w:rsidRPr="009A5BAE">
        <w:rPr>
          <w:noProof/>
        </w:rPr>
        <w:t>Proc Natl Acad Sci U S A, 104</w:t>
      </w:r>
      <w:r w:rsidRPr="00D741B2">
        <w:rPr>
          <w:noProof/>
        </w:rPr>
        <w:t>(3), 973-978. doi:10.1073/pnas.0610117104</w:t>
      </w:r>
    </w:p>
    <w:p w14:paraId="68528B7B" w14:textId="77777777" w:rsidR="00E0795A" w:rsidRPr="00D741B2" w:rsidRDefault="00E0795A" w:rsidP="009A5BAE">
      <w:pPr>
        <w:pStyle w:val="EndNoteCategoryHeading"/>
        <w:rPr>
          <w:noProof/>
        </w:rPr>
      </w:pPr>
      <w:r w:rsidRPr="00D741B2">
        <w:rPr>
          <w:noProof/>
        </w:rPr>
        <w:t>Raslan, W. F., Barnes, L., Krause, J. R., Contis, L., Killeen, R., &amp; Kapadia, S. B. (1994). Basaloid squamous cell carcinoma of the head and neck: a clinicopathologic and flow cytometric study of 10 new cases with review of the English literature. </w:t>
      </w:r>
      <w:r w:rsidRPr="009A5BAE">
        <w:rPr>
          <w:noProof/>
        </w:rPr>
        <w:t>Am J Otolaryngol, 15</w:t>
      </w:r>
      <w:r w:rsidRPr="00D741B2">
        <w:rPr>
          <w:noProof/>
        </w:rPr>
        <w:t>(3), 204-211. doi:10.1016/0196-0709(94)90006-x</w:t>
      </w:r>
    </w:p>
    <w:p w14:paraId="41BDEC3D" w14:textId="77777777" w:rsidR="00E0795A" w:rsidRPr="009A5BAE" w:rsidRDefault="00E0795A" w:rsidP="009A5BAE">
      <w:pPr>
        <w:pStyle w:val="EndNoteCategoryHeading"/>
        <w:rPr>
          <w:noProof/>
          <w:lang w:val="de-DE"/>
        </w:rPr>
      </w:pPr>
      <w:r w:rsidRPr="00404322">
        <w:rPr>
          <w:noProof/>
        </w:rPr>
        <w:lastRenderedPageBreak/>
        <w:t xml:space="preserve">Ritchie, J. M., Smith, E. M., Summersgill, K. F., Hoffman, H. T., Wang, D., Klussmann, J. P., . . . </w:t>
      </w:r>
      <w:r w:rsidRPr="00D741B2">
        <w:rPr>
          <w:noProof/>
        </w:rPr>
        <w:t>Haugen, T. H. (2003). Human papillomavirus infection as a prognostic factor in carcinomas of the oral cavity and oropharynx. </w:t>
      </w:r>
      <w:r w:rsidRPr="009A5BAE">
        <w:rPr>
          <w:noProof/>
          <w:lang w:val="de-DE"/>
        </w:rPr>
        <w:t>Int J Cancer, 104(3), 336-344. doi:10.1002/ijc.10960</w:t>
      </w:r>
    </w:p>
    <w:p w14:paraId="2E1CB1FC" w14:textId="77777777" w:rsidR="00E0795A" w:rsidRPr="004B2E0C" w:rsidRDefault="00E0795A" w:rsidP="009A5BAE">
      <w:pPr>
        <w:pStyle w:val="EndNoteCategoryHeading"/>
        <w:rPr>
          <w:noProof/>
        </w:rPr>
      </w:pPr>
      <w:r w:rsidRPr="009A5BAE">
        <w:rPr>
          <w:noProof/>
          <w:lang w:val="de-DE"/>
        </w:rPr>
        <w:t xml:space="preserve">RKI. (2021). Krebs in Deutschland für 2017/2018 13. </w:t>
      </w:r>
      <w:r w:rsidRPr="00736A43">
        <w:rPr>
          <w:noProof/>
          <w:lang w:val="de-DE"/>
        </w:rPr>
        <w:t xml:space="preserve">Auflage Berlin. </w:t>
      </w:r>
      <w:r w:rsidRPr="004B2E0C">
        <w:rPr>
          <w:noProof/>
        </w:rPr>
        <w:t>Retrieved from Berlin:</w:t>
      </w:r>
    </w:p>
    <w:p w14:paraId="1DE4D183" w14:textId="77777777" w:rsidR="00E0795A" w:rsidRPr="009A5BAE" w:rsidRDefault="00E0795A" w:rsidP="009A5BAE">
      <w:pPr>
        <w:pStyle w:val="EndNoteCategoryHeading"/>
        <w:rPr>
          <w:noProof/>
          <w:lang w:val="de-DE"/>
        </w:rPr>
      </w:pPr>
      <w:r w:rsidRPr="00D741B2">
        <w:rPr>
          <w:noProof/>
        </w:rPr>
        <w:t>Sabatini, M. E., &amp; Chiocca, S. (2020). Human papillomavirus as a driver of head and neck cancers. </w:t>
      </w:r>
      <w:r w:rsidRPr="009A5BAE">
        <w:rPr>
          <w:noProof/>
          <w:lang w:val="de-DE"/>
        </w:rPr>
        <w:t>British Journal of Cancer, 122(3), 306-314. doi:10.1038/s41416-019-0602-7</w:t>
      </w:r>
    </w:p>
    <w:p w14:paraId="6E465492" w14:textId="77777777" w:rsidR="00E0795A" w:rsidRPr="009A5BAE" w:rsidRDefault="00E0795A" w:rsidP="009A5BAE">
      <w:pPr>
        <w:pStyle w:val="EndNoteCategoryHeading"/>
        <w:rPr>
          <w:noProof/>
          <w:lang w:val="de-DE"/>
        </w:rPr>
      </w:pPr>
      <w:r w:rsidRPr="009A5BAE">
        <w:rPr>
          <w:noProof/>
          <w:lang w:val="de-DE"/>
        </w:rPr>
        <w:t>Schmincke, A. (1921). Beitrage zur pathologischen Anatomie und allgemeinen Pathologie: Gustav Fischer Verlag.</w:t>
      </w:r>
    </w:p>
    <w:p w14:paraId="1B2757E8" w14:textId="77777777" w:rsidR="00E0795A" w:rsidRPr="00D741B2" w:rsidRDefault="00E0795A" w:rsidP="009A5BAE">
      <w:pPr>
        <w:pStyle w:val="EndNoteCategoryHeading"/>
        <w:rPr>
          <w:noProof/>
        </w:rPr>
      </w:pPr>
      <w:r w:rsidRPr="00D741B2">
        <w:rPr>
          <w:noProof/>
        </w:rPr>
        <w:t>Shi, W., Kato, H., Perez-Ordonez, B., Pintilie, M., Huang, S., Hui, A., . . . Liu, F. F. (2009). Comparative prognostic value of HPV16 E6 mRNA compared with in situ hybridization for human oropharyngeal squamous carcinoma. </w:t>
      </w:r>
      <w:r w:rsidRPr="009A5BAE">
        <w:rPr>
          <w:noProof/>
        </w:rPr>
        <w:t>J Clin Oncol, 27</w:t>
      </w:r>
      <w:r w:rsidRPr="00D741B2">
        <w:rPr>
          <w:noProof/>
        </w:rPr>
        <w:t>(36), 6213-6221. doi:10.1200/JCO.2009.23.1670</w:t>
      </w:r>
    </w:p>
    <w:p w14:paraId="4F64244A" w14:textId="77777777" w:rsidR="00E0795A" w:rsidRPr="00D741B2" w:rsidRDefault="00E0795A" w:rsidP="009A5BAE">
      <w:pPr>
        <w:pStyle w:val="EndNoteCategoryHeading"/>
        <w:rPr>
          <w:noProof/>
        </w:rPr>
      </w:pPr>
      <w:r w:rsidRPr="00D741B2">
        <w:rPr>
          <w:noProof/>
        </w:rPr>
        <w:t>Smith, E. M., Ritchie, J. M., Summersgill, K. F., Klussmann, J. P., Lee, J. H., Wang, D., . . . Turek, L. P. (2004). Age, sexual behavior and human papillomavirus infection in oral cavity and oropharyngeal cancers. </w:t>
      </w:r>
      <w:r w:rsidRPr="009A5BAE">
        <w:rPr>
          <w:noProof/>
        </w:rPr>
        <w:t>Int J Cancer, 108</w:t>
      </w:r>
      <w:r w:rsidRPr="00D741B2">
        <w:rPr>
          <w:noProof/>
        </w:rPr>
        <w:t>(5), 766-772. doi:10.1002/ijc.11633</w:t>
      </w:r>
    </w:p>
    <w:p w14:paraId="4FD10FE3" w14:textId="77777777" w:rsidR="00E0795A" w:rsidRPr="00D741B2" w:rsidRDefault="00E0795A" w:rsidP="009A5BAE">
      <w:pPr>
        <w:pStyle w:val="EndNoteCategoryHeading"/>
        <w:rPr>
          <w:noProof/>
        </w:rPr>
      </w:pPr>
      <w:r w:rsidRPr="00D741B2">
        <w:rPr>
          <w:noProof/>
        </w:rPr>
        <w:t>Snijders, P. J., Cromme, F. V., van den Brule, A. J., Schrijnemakers, H. F., Snow, G. B., Meijer, C. J., &amp; Walboomers, J. M. (1992). Prevalence and expression of human papillomavirus in tonsillar carcinomas, indicating a possible viral etiology. </w:t>
      </w:r>
      <w:r w:rsidRPr="009A5BAE">
        <w:rPr>
          <w:noProof/>
        </w:rPr>
        <w:t>Int J Cancer, 51</w:t>
      </w:r>
      <w:r w:rsidRPr="00D741B2">
        <w:rPr>
          <w:noProof/>
        </w:rPr>
        <w:t>(6), 845-850. doi:10.1002/ijc.2910510602</w:t>
      </w:r>
    </w:p>
    <w:p w14:paraId="225B4B9D" w14:textId="77777777" w:rsidR="00E0795A" w:rsidRPr="00A16540" w:rsidRDefault="00E0795A" w:rsidP="009A5BAE">
      <w:pPr>
        <w:pStyle w:val="EndNoteCategoryHeading"/>
        <w:rPr>
          <w:noProof/>
        </w:rPr>
      </w:pPr>
      <w:r w:rsidRPr="00D741B2">
        <w:rPr>
          <w:noProof/>
        </w:rPr>
        <w:t>Sturgis, E. M., &amp; Cinciripini, P. M. (2007). Trends in head and neck cancer incidence in relation to smoking prevalence: an emerging epidemic of human papillomavirus-associated cancers? </w:t>
      </w:r>
      <w:r w:rsidRPr="009A5BAE">
        <w:rPr>
          <w:noProof/>
        </w:rPr>
        <w:t>Cancer, 110</w:t>
      </w:r>
      <w:r w:rsidRPr="00A16540">
        <w:rPr>
          <w:noProof/>
        </w:rPr>
        <w:t>(7), 1429-1435. doi:10.1002/cncr.22963</w:t>
      </w:r>
    </w:p>
    <w:p w14:paraId="237078D7" w14:textId="77777777" w:rsidR="00E0795A" w:rsidRPr="00D741B2" w:rsidRDefault="00E0795A" w:rsidP="009A5BAE">
      <w:pPr>
        <w:pStyle w:val="EndNoteCategoryHeading"/>
        <w:rPr>
          <w:noProof/>
        </w:rPr>
      </w:pPr>
      <w:r w:rsidRPr="00A16540">
        <w:rPr>
          <w:noProof/>
        </w:rPr>
        <w:t xml:space="preserve">Syrjanen, K., Syrjanen, S., &amp; Pyrhonen, S. (1982). </w:t>
      </w:r>
      <w:r w:rsidRPr="00D741B2">
        <w:rPr>
          <w:noProof/>
        </w:rPr>
        <w:t>Human papilloma virus (HPV) antigens in lesions of laryngeal squamous cell carcinomas. </w:t>
      </w:r>
      <w:r w:rsidRPr="009A5BAE">
        <w:rPr>
          <w:noProof/>
        </w:rPr>
        <w:t>ORL J Otorhinolaryngol Relat Spec, 44</w:t>
      </w:r>
      <w:r w:rsidRPr="00D741B2">
        <w:rPr>
          <w:noProof/>
        </w:rPr>
        <w:t>(6), 323-334. doi:10.1159/000275612</w:t>
      </w:r>
    </w:p>
    <w:p w14:paraId="2CD8896D" w14:textId="77777777" w:rsidR="00E0795A" w:rsidRPr="00D741B2" w:rsidRDefault="00E0795A" w:rsidP="009A5BAE">
      <w:pPr>
        <w:pStyle w:val="EndNoteCategoryHeading"/>
        <w:rPr>
          <w:noProof/>
        </w:rPr>
      </w:pPr>
      <w:r w:rsidRPr="00D741B2">
        <w:rPr>
          <w:noProof/>
        </w:rPr>
        <w:t>Thompson, L. (2006). World Health Organization classification of tumours: pathology and genetics of head and neck tumours. </w:t>
      </w:r>
      <w:r w:rsidRPr="009A5BAE">
        <w:rPr>
          <w:noProof/>
        </w:rPr>
        <w:t>Ear Nose Throat J, 85</w:t>
      </w:r>
      <w:r w:rsidRPr="00D741B2">
        <w:rPr>
          <w:noProof/>
        </w:rPr>
        <w:t>(2), 74.</w:t>
      </w:r>
    </w:p>
    <w:p w14:paraId="0A1CF2B8" w14:textId="77777777" w:rsidR="00E0795A" w:rsidRPr="00D741B2" w:rsidRDefault="00E0795A" w:rsidP="009A5BAE">
      <w:pPr>
        <w:pStyle w:val="EndNoteCategoryHeading"/>
        <w:rPr>
          <w:noProof/>
        </w:rPr>
      </w:pPr>
      <w:r w:rsidRPr="00404322">
        <w:rPr>
          <w:noProof/>
        </w:rPr>
        <w:t xml:space="preserve">Thompson, L. D., Wieneke, J. A., Miettinen, M., &amp; Heffner, D. K. (2002). </w:t>
      </w:r>
      <w:r w:rsidRPr="00D741B2">
        <w:rPr>
          <w:noProof/>
        </w:rPr>
        <w:t>Spindle cell (sarcomatoid) carcinomas of the larynx: a clinicopathologic study of 187 cases. </w:t>
      </w:r>
      <w:r w:rsidRPr="009A5BAE">
        <w:rPr>
          <w:noProof/>
        </w:rPr>
        <w:t>Am J Surg Pathol, 26</w:t>
      </w:r>
      <w:r w:rsidRPr="00D741B2">
        <w:rPr>
          <w:noProof/>
        </w:rPr>
        <w:t>(2), 153-170. doi:10.1097/00000478-200202000-00002</w:t>
      </w:r>
    </w:p>
    <w:p w14:paraId="13982156" w14:textId="77777777" w:rsidR="00E0795A" w:rsidRPr="00D741B2" w:rsidRDefault="00E0795A" w:rsidP="009A5BAE">
      <w:pPr>
        <w:pStyle w:val="EndNoteCategoryHeading"/>
        <w:rPr>
          <w:noProof/>
        </w:rPr>
      </w:pPr>
      <w:r w:rsidRPr="00D741B2">
        <w:rPr>
          <w:noProof/>
        </w:rPr>
        <w:lastRenderedPageBreak/>
        <w:t>Thompson, L. D. R., &amp; Bishop, J. A. (2017). </w:t>
      </w:r>
      <w:r w:rsidRPr="009A5BAE">
        <w:rPr>
          <w:noProof/>
        </w:rPr>
        <w:t>Head and Neck Pathology E-Book: A Volume in the Series: Foundations in Diagnostic Pathology</w:t>
      </w:r>
      <w:r w:rsidRPr="00D741B2">
        <w:rPr>
          <w:noProof/>
        </w:rPr>
        <w:t>: Elsevier Health Sciences.</w:t>
      </w:r>
    </w:p>
    <w:p w14:paraId="4E43A553" w14:textId="77777777" w:rsidR="00E0795A" w:rsidRPr="009A5BAE" w:rsidRDefault="00E0795A" w:rsidP="009A5BAE">
      <w:pPr>
        <w:pStyle w:val="EndNoteCategoryHeading"/>
        <w:rPr>
          <w:noProof/>
          <w:lang w:val="de-DE"/>
        </w:rPr>
      </w:pPr>
      <w:r w:rsidRPr="00D741B2">
        <w:rPr>
          <w:noProof/>
        </w:rPr>
        <w:t>Thurnher, D., Grasl, M., Erovic, B. M., &amp; Lercher, P. (2010). </w:t>
      </w:r>
      <w:r w:rsidRPr="009A5BAE">
        <w:rPr>
          <w:noProof/>
          <w:lang w:val="de-DE"/>
        </w:rPr>
        <w:t>HNO-Heilkunde: Ein symptomorientiertes Lehrbuch: Springer Vienna.</w:t>
      </w:r>
    </w:p>
    <w:p w14:paraId="142A4D21" w14:textId="77777777" w:rsidR="00E0795A" w:rsidRPr="00D741B2" w:rsidRDefault="00E0795A" w:rsidP="009A5BAE">
      <w:pPr>
        <w:pStyle w:val="EndNoteCategoryHeading"/>
        <w:rPr>
          <w:noProof/>
        </w:rPr>
      </w:pPr>
      <w:r w:rsidRPr="009A5BAE">
        <w:rPr>
          <w:noProof/>
          <w:lang w:val="de-DE"/>
        </w:rPr>
        <w:t xml:space="preserve">Vokes, E. E., Weichselbaum, R. R., Lippman, S. M., &amp; Hong, W. K. (1993). </w:t>
      </w:r>
      <w:r w:rsidRPr="00D741B2">
        <w:rPr>
          <w:noProof/>
        </w:rPr>
        <w:t>Head and neck cancer. </w:t>
      </w:r>
      <w:r w:rsidRPr="009A5BAE">
        <w:rPr>
          <w:noProof/>
        </w:rPr>
        <w:t>N Engl J Med, 328</w:t>
      </w:r>
      <w:r w:rsidRPr="00D741B2">
        <w:rPr>
          <w:noProof/>
        </w:rPr>
        <w:t>(3), 184-194. doi:10.1056/NEJM199301213280306</w:t>
      </w:r>
    </w:p>
    <w:p w14:paraId="35DD94A6" w14:textId="77777777" w:rsidR="00E0795A" w:rsidRPr="00D741B2" w:rsidRDefault="00E0795A" w:rsidP="009A5BAE">
      <w:pPr>
        <w:pStyle w:val="EndNoteCategoryHeading"/>
        <w:rPr>
          <w:noProof/>
        </w:rPr>
      </w:pPr>
      <w:r w:rsidRPr="00D741B2">
        <w:rPr>
          <w:noProof/>
        </w:rPr>
        <w:t>Weinberger, P. M., Yu, Z., Haffty, B. G., Kowalski, D., Harigopal, M., Brandsma, J., . . . Psyrri, A. (2006). Molecular classification identifies a subset of human papillomavirus--associated oropharyngeal cancers with favorable prognosis. </w:t>
      </w:r>
      <w:r w:rsidRPr="009A5BAE">
        <w:rPr>
          <w:noProof/>
        </w:rPr>
        <w:t>J Clin Oncol, 24</w:t>
      </w:r>
      <w:r w:rsidRPr="00D741B2">
        <w:rPr>
          <w:noProof/>
        </w:rPr>
        <w:t>(5), 736-747. doi:10.1200/JCO.2004.00.3335</w:t>
      </w:r>
    </w:p>
    <w:p w14:paraId="109C7DD9" w14:textId="77777777" w:rsidR="00E0795A" w:rsidRPr="009A5BAE" w:rsidRDefault="00E0795A" w:rsidP="009A5BAE">
      <w:pPr>
        <w:pStyle w:val="EndNoteCategoryHeading"/>
        <w:rPr>
          <w:noProof/>
          <w:lang w:val="de-DE"/>
        </w:rPr>
      </w:pPr>
      <w:r w:rsidRPr="0074237C">
        <w:rPr>
          <w:noProof/>
        </w:rPr>
        <w:t xml:space="preserve">Wicha, M. S., Liu, S., &amp; Dontu, G. (2006). </w:t>
      </w:r>
      <w:r w:rsidRPr="00D741B2">
        <w:rPr>
          <w:noProof/>
        </w:rPr>
        <w:t>Cancer stem cells: an old idea--a paradigm shift. </w:t>
      </w:r>
      <w:r w:rsidRPr="009A5BAE">
        <w:rPr>
          <w:noProof/>
          <w:lang w:val="de-DE"/>
        </w:rPr>
        <w:t>Cancer Res, 66(4), 1883-1890; discussion 1895-1886. doi:10.1158/0008-5472.CAN-05-3153</w:t>
      </w:r>
    </w:p>
    <w:p w14:paraId="5E94A3A1" w14:textId="77777777" w:rsidR="00E0795A" w:rsidRPr="009A5BAE" w:rsidRDefault="00E0795A" w:rsidP="009A5BAE">
      <w:pPr>
        <w:pStyle w:val="EndNoteCategoryHeading"/>
        <w:rPr>
          <w:noProof/>
          <w:lang w:val="de-DE"/>
        </w:rPr>
      </w:pPr>
      <w:r w:rsidRPr="009A5BAE">
        <w:rPr>
          <w:noProof/>
          <w:lang w:val="de-DE"/>
        </w:rPr>
        <w:t>Wittekind, C. (2013). TNM-Supplement: Erlauterungen Zur Einheitlichen Anwendung: Wiley-VCH.</w:t>
      </w:r>
    </w:p>
    <w:p w14:paraId="0756415E" w14:textId="77777777" w:rsidR="00E0795A" w:rsidRPr="00D741B2" w:rsidRDefault="00E0795A" w:rsidP="009A5BAE">
      <w:pPr>
        <w:pStyle w:val="EndNoteCategoryHeading"/>
        <w:rPr>
          <w:noProof/>
        </w:rPr>
      </w:pPr>
      <w:r w:rsidRPr="00D741B2">
        <w:rPr>
          <w:noProof/>
        </w:rPr>
        <w:t>Zhang, Q., Shi, S., Yen, Y., Brown, J., Ta, J. Q., &amp; Le, A. D. (2010). A subpopulation of CD133(+) cancer stem-like cells characterized in human oral squamous cell carcinoma confer resistance to chemotherapy. </w:t>
      </w:r>
      <w:r w:rsidRPr="009A5BAE">
        <w:rPr>
          <w:noProof/>
        </w:rPr>
        <w:t>Cancer Lett, 289</w:t>
      </w:r>
      <w:r w:rsidRPr="00D741B2">
        <w:rPr>
          <w:noProof/>
        </w:rPr>
        <w:t>(2), 151-160. doi:10.1016/j.canlet.2009.08.010</w:t>
      </w:r>
    </w:p>
    <w:p w14:paraId="13165984" w14:textId="77777777" w:rsidR="00E0795A" w:rsidRDefault="00E0795A" w:rsidP="009A5BAE">
      <w:pPr>
        <w:pStyle w:val="Literaturverzeichnis"/>
      </w:pPr>
    </w:p>
    <w:sdt>
      <w:sdtPr>
        <w:tag w:val="SNOWYOWL_BIB"/>
        <w:id w:val="963083285"/>
        <w:placeholder>
          <w:docPart w:val="DefaultPlaceholder_-1854013440"/>
        </w:placeholder>
      </w:sdtPr>
      <w:sdtContent>
        <w:p w14:paraId="12C0AC83" w14:textId="094B67F1" w:rsidR="009D7EB8" w:rsidRPr="009D7EB8" w:rsidRDefault="009D7EB8" w:rsidP="009A5BAE">
          <w:pPr>
            <w:pStyle w:val="Literaturverzeichnis"/>
          </w:pPr>
          <w:r w:rsidRPr="009D7EB8">
            <w:rPr>
              <w:sz w:val="21"/>
              <w:szCs w:val="21"/>
            </w:rPr>
            <w:t> </w:t>
          </w:r>
        </w:p>
      </w:sdtContent>
    </w:sdt>
    <w:p w14:paraId="76CC961C" w14:textId="77777777" w:rsidR="009D7EB8" w:rsidRPr="009D7EB8" w:rsidRDefault="009D7EB8" w:rsidP="009A5BAE">
      <w:pPr>
        <w:pStyle w:val="Literaturverzeichnis"/>
        <w:rPr>
          <w:lang w:eastAsia="de-DE"/>
        </w:rPr>
      </w:pPr>
    </w:p>
    <w:p w14:paraId="2215D496" w14:textId="48A7E42E" w:rsidR="00E24C7A" w:rsidRPr="00812C16" w:rsidRDefault="00E24C7A" w:rsidP="001830EA">
      <w:pPr>
        <w:pStyle w:val="berschrift1"/>
        <w:rPr>
          <w:rFonts w:cs="Arial"/>
        </w:rPr>
      </w:pPr>
      <w:bookmarkStart w:id="101" w:name="_Toc158006554"/>
      <w:r w:rsidRPr="00812C16">
        <w:rPr>
          <w:rFonts w:cs="Arial"/>
        </w:rPr>
        <w:t>Abkürzungsverzeichnis</w:t>
      </w:r>
      <w:bookmarkEnd w:id="101"/>
      <w:r w:rsidRPr="00812C16">
        <w:rPr>
          <w:rFonts w:cs="Arial"/>
        </w:rPr>
        <w:t xml:space="preserve"> </w:t>
      </w:r>
    </w:p>
    <w:p w14:paraId="3A894048" w14:textId="77777777" w:rsidR="00E24C7A" w:rsidRPr="00812C16" w:rsidRDefault="00E24C7A">
      <w:pPr>
        <w:jc w:val="left"/>
        <w:rPr>
          <w:rFonts w:cs="Arial"/>
          <w:b/>
          <w:color w:val="000000" w:themeColor="text1"/>
          <w:sz w:val="28"/>
          <w:szCs w:val="36"/>
          <w:lang w:eastAsia="de-DE"/>
        </w:rPr>
      </w:pPr>
      <w:r w:rsidRPr="00812C16">
        <w:rPr>
          <w:rFonts w:cs="Arial"/>
        </w:rPr>
        <w:br w:type="page"/>
      </w:r>
    </w:p>
    <w:p w14:paraId="3E73D011" w14:textId="77777777" w:rsidR="00487E02" w:rsidRPr="00812C16" w:rsidRDefault="00E24C7A" w:rsidP="001830EA">
      <w:pPr>
        <w:pStyle w:val="berschrift1"/>
        <w:rPr>
          <w:rFonts w:cs="Arial"/>
        </w:rPr>
      </w:pPr>
      <w:bookmarkStart w:id="102" w:name="_Toc158006555"/>
      <w:r w:rsidRPr="00812C16">
        <w:rPr>
          <w:rFonts w:cs="Arial"/>
        </w:rPr>
        <w:lastRenderedPageBreak/>
        <w:t>Abbildungsverzeichnis</w:t>
      </w:r>
      <w:bookmarkEnd w:id="102"/>
      <w:r w:rsidRPr="00812C16">
        <w:rPr>
          <w:rFonts w:cs="Arial"/>
        </w:rPr>
        <w:t xml:space="preserve"> </w:t>
      </w:r>
    </w:p>
    <w:p w14:paraId="6D4990AE" w14:textId="51A4430F"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"Abbildung" </w:instrText>
      </w:r>
      <w:r w:rsidRPr="00812C16">
        <w:rPr>
          <w:rFonts w:ascii="Arial" w:hAnsi="Arial" w:cs="Arial"/>
          <w:lang w:eastAsia="de-DE"/>
        </w:rPr>
        <w:fldChar w:fldCharType="separate"/>
      </w:r>
      <w:hyperlink w:anchor="_Toc180788375" w:history="1">
        <w:r w:rsidR="000112D9" w:rsidRPr="00885F2E">
          <w:rPr>
            <w:rStyle w:val="Hyperlink"/>
            <w:rFonts w:eastAsiaTheme="majorEastAsia"/>
            <w:b/>
            <w:bCs/>
            <w:noProof/>
          </w:rPr>
          <w:t>Abbildung 1</w:t>
        </w:r>
        <w:r w:rsidR="000112D9" w:rsidRPr="00885F2E">
          <w:rPr>
            <w:rStyle w:val="Hyperlink"/>
            <w:rFonts w:eastAsiaTheme="majorEastAsia"/>
            <w:b/>
            <w:bCs/>
            <w:noProof/>
          </w:rPr>
          <w:noBreakHyphen/>
          <w:t>1: Altersstandardisierte Neuerkrankungs- und Sterberaten (Europastandard) nach Geschlecht, ICD-10 C00 – C14, Deutschland 1999 – 2018/2019, Prognose (Inzidenz) bis 2022 (Quelle: Zentrum f. Krebsregisterdaten 2021)</w:t>
        </w:r>
        <w:r w:rsidR="000112D9">
          <w:rPr>
            <w:noProof/>
            <w:webHidden/>
          </w:rPr>
          <w:tab/>
        </w:r>
        <w:r w:rsidR="000112D9">
          <w:rPr>
            <w:noProof/>
            <w:webHidden/>
          </w:rPr>
          <w:fldChar w:fldCharType="begin"/>
        </w:r>
        <w:r w:rsidR="000112D9">
          <w:rPr>
            <w:noProof/>
            <w:webHidden/>
          </w:rPr>
          <w:instrText xml:space="preserve"> PAGEREF _Toc180788375 \h </w:instrText>
        </w:r>
        <w:r w:rsidR="000112D9">
          <w:rPr>
            <w:noProof/>
            <w:webHidden/>
          </w:rPr>
        </w:r>
        <w:r w:rsidR="000112D9">
          <w:rPr>
            <w:noProof/>
            <w:webHidden/>
          </w:rPr>
          <w:fldChar w:fldCharType="separate"/>
        </w:r>
        <w:r w:rsidR="000112D9">
          <w:rPr>
            <w:noProof/>
            <w:webHidden/>
          </w:rPr>
          <w:t>- 8 -</w:t>
        </w:r>
        <w:r w:rsidR="000112D9">
          <w:rPr>
            <w:noProof/>
            <w:webHidden/>
          </w:rPr>
          <w:fldChar w:fldCharType="end"/>
        </w:r>
      </w:hyperlink>
    </w:p>
    <w:p w14:paraId="3A40454B" w14:textId="76691FE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6" w:history="1">
        <w:r w:rsidRPr="00885F2E">
          <w:rPr>
            <w:rStyle w:val="Hyperlink"/>
            <w:rFonts w:eastAsiaTheme="majorEastAsia"/>
            <w:b/>
            <w:bCs/>
            <w:noProof/>
          </w:rPr>
          <w:t>Abbildung 1</w:t>
        </w:r>
        <w:r w:rsidRPr="00885F2E">
          <w:rPr>
            <w:rStyle w:val="Hyperlink"/>
            <w:rFonts w:eastAsiaTheme="majorEastAsia"/>
            <w:b/>
            <w:bCs/>
            <w:noProof/>
          </w:rPr>
          <w:noBreakHyphen/>
          <w:t>2: Karzinogenes eines Mundschleimhautepithels zu einem invasivem Plattenepithelkarzinoms in der HE-Färbung(</w:t>
        </w:r>
        <w:r w:rsidRPr="00885F2E">
          <w:rPr>
            <w:rStyle w:val="Hyperlink"/>
            <w:rFonts w:eastAsiaTheme="majorEastAsia"/>
            <w:noProof/>
          </w:rPr>
          <w:t>Argiris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_Toc180788376 \h </w:instrText>
        </w:r>
        <w:r>
          <w:rPr>
            <w:noProof/>
            <w:webHidden/>
          </w:rPr>
        </w:r>
        <w:r>
          <w:rPr>
            <w:noProof/>
            <w:webHidden/>
          </w:rPr>
          <w:fldChar w:fldCharType="separate"/>
        </w:r>
        <w:r>
          <w:rPr>
            <w:noProof/>
            <w:webHidden/>
          </w:rPr>
          <w:t>- 12 -</w:t>
        </w:r>
        <w:r>
          <w:rPr>
            <w:noProof/>
            <w:webHidden/>
          </w:rPr>
          <w:fldChar w:fldCharType="end"/>
        </w:r>
      </w:hyperlink>
    </w:p>
    <w:p w14:paraId="4EAF1F3E" w14:textId="01EC065B"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7" w:history="1">
        <w:r w:rsidRPr="00885F2E">
          <w:rPr>
            <w:rStyle w:val="Hyperlink"/>
            <w:rFonts w:eastAsiaTheme="majorEastAsia"/>
            <w:b/>
            <w:bCs/>
            <w:noProof/>
          </w:rPr>
          <w:t>Abbildung 1</w:t>
        </w:r>
        <w:r w:rsidRPr="00885F2E">
          <w:rPr>
            <w:rStyle w:val="Hyperlink"/>
            <w:rFonts w:eastAsiaTheme="majorEastAsia"/>
            <w:b/>
            <w:bCs/>
            <w:noProof/>
          </w:rPr>
          <w:noBreakHyphen/>
          <w:t xml:space="preserve">3: Anatomie der Kopf-Hals-Region im Sagitalschnitt. </w:t>
        </w:r>
        <w:r w:rsidRPr="00885F2E">
          <w:rPr>
            <w:rStyle w:val="Hyperlink"/>
            <w:rFonts w:eastAsiaTheme="majorEastAsia"/>
            <w:noProof/>
          </w:rPr>
          <w:t>Oral cavity, Mundhöhle; Tongue, Zunge; Larynx, Kehlkopf; Nasopharynx, Nasenrachenraum; Oropharynx, der Mundhöhle angrenzender Rachenraum; Hypopharynx, unterer Rachenraum (Sabatini &amp; Chiocca, 2019).</w:t>
        </w:r>
        <w:r>
          <w:rPr>
            <w:noProof/>
            <w:webHidden/>
          </w:rPr>
          <w:tab/>
        </w:r>
        <w:r>
          <w:rPr>
            <w:noProof/>
            <w:webHidden/>
          </w:rPr>
          <w:fldChar w:fldCharType="begin"/>
        </w:r>
        <w:r>
          <w:rPr>
            <w:noProof/>
            <w:webHidden/>
          </w:rPr>
          <w:instrText xml:space="preserve"> PAGEREF _Toc180788377 \h </w:instrText>
        </w:r>
        <w:r>
          <w:rPr>
            <w:noProof/>
            <w:webHidden/>
          </w:rPr>
        </w:r>
        <w:r>
          <w:rPr>
            <w:noProof/>
            <w:webHidden/>
          </w:rPr>
          <w:fldChar w:fldCharType="separate"/>
        </w:r>
        <w:r>
          <w:rPr>
            <w:noProof/>
            <w:webHidden/>
          </w:rPr>
          <w:t>- 13 -</w:t>
        </w:r>
        <w:r>
          <w:rPr>
            <w:noProof/>
            <w:webHidden/>
          </w:rPr>
          <w:fldChar w:fldCharType="end"/>
        </w:r>
      </w:hyperlink>
    </w:p>
    <w:p w14:paraId="2F4E74ED" w14:textId="09B3E67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8" w:history="1">
        <w:r w:rsidRPr="00885F2E">
          <w:rPr>
            <w:rStyle w:val="Hyperlink"/>
            <w:rFonts w:eastAsiaTheme="majorEastAsia"/>
            <w:b/>
            <w:bCs/>
            <w:noProof/>
          </w:rPr>
          <w:t>Abbildung 1</w:t>
        </w:r>
        <w:r w:rsidRPr="00885F2E">
          <w:rPr>
            <w:rStyle w:val="Hyperlink"/>
            <w:rFonts w:eastAsiaTheme="majorEastAsia"/>
            <w:b/>
            <w:bCs/>
            <w:noProof/>
          </w:rPr>
          <w:noBreakHyphen/>
          <w:t>4: a Gut differenziertes Plattenepithelkarzinom. b Mäßig differenziertes Platten-epithelkarzinom. c Gering differenziertes Plattenepithelkarzinom (</w:t>
        </w:r>
        <w:r w:rsidRPr="00885F2E">
          <w:rPr>
            <w:rStyle w:val="Hyperlink"/>
            <w:rFonts w:eastAsiaTheme="majorEastAsia"/>
            <w:noProof/>
          </w:rPr>
          <w:t>Cardesa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_Toc180788378 \h </w:instrText>
        </w:r>
        <w:r>
          <w:rPr>
            <w:noProof/>
            <w:webHidden/>
          </w:rPr>
        </w:r>
        <w:r>
          <w:rPr>
            <w:noProof/>
            <w:webHidden/>
          </w:rPr>
          <w:fldChar w:fldCharType="separate"/>
        </w:r>
        <w:r>
          <w:rPr>
            <w:noProof/>
            <w:webHidden/>
          </w:rPr>
          <w:t>- 16 -</w:t>
        </w:r>
        <w:r>
          <w:rPr>
            <w:noProof/>
            <w:webHidden/>
          </w:rPr>
          <w:fldChar w:fldCharType="end"/>
        </w:r>
      </w:hyperlink>
    </w:p>
    <w:p w14:paraId="6FE8750C" w14:textId="3AB7FE1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9" w:history="1">
        <w:r w:rsidRPr="00885F2E">
          <w:rPr>
            <w:rStyle w:val="Hyperlink"/>
            <w:rFonts w:eastAsiaTheme="majorEastAsia" w:cs="Arial"/>
            <w:noProof/>
          </w:rPr>
          <w:t>Abbildung 3</w:t>
        </w:r>
        <w:r w:rsidRPr="00885F2E">
          <w:rPr>
            <w:rStyle w:val="Hyperlink"/>
            <w:rFonts w:eastAsiaTheme="majorEastAsia" w:cs="Arial"/>
            <w:noProof/>
          </w:rPr>
          <w:noBreakHyphen/>
          <w:t>1: Aufbau der Tissue Microarray-Technik sowie Prinzip der Ortsdokumentation der einzelnen Tumor-Spots</w:t>
        </w:r>
        <w:r>
          <w:rPr>
            <w:noProof/>
            <w:webHidden/>
          </w:rPr>
          <w:tab/>
        </w:r>
        <w:r>
          <w:rPr>
            <w:noProof/>
            <w:webHidden/>
          </w:rPr>
          <w:fldChar w:fldCharType="begin"/>
        </w:r>
        <w:r>
          <w:rPr>
            <w:noProof/>
            <w:webHidden/>
          </w:rPr>
          <w:instrText xml:space="preserve"> PAGEREF _Toc180788379 \h </w:instrText>
        </w:r>
        <w:r>
          <w:rPr>
            <w:noProof/>
            <w:webHidden/>
          </w:rPr>
        </w:r>
        <w:r>
          <w:rPr>
            <w:noProof/>
            <w:webHidden/>
          </w:rPr>
          <w:fldChar w:fldCharType="separate"/>
        </w:r>
        <w:r>
          <w:rPr>
            <w:noProof/>
            <w:webHidden/>
          </w:rPr>
          <w:t>- 46 -</w:t>
        </w:r>
        <w:r>
          <w:rPr>
            <w:noProof/>
            <w:webHidden/>
          </w:rPr>
          <w:fldChar w:fldCharType="end"/>
        </w:r>
      </w:hyperlink>
    </w:p>
    <w:p w14:paraId="43DF3C1A" w14:textId="207E3FE2"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0" w:history="1">
        <w:r w:rsidRPr="00885F2E">
          <w:rPr>
            <w:rStyle w:val="Hyperlink"/>
            <w:rFonts w:eastAsiaTheme="majorEastAsia"/>
            <w:b/>
            <w:bCs/>
            <w:noProof/>
          </w:rPr>
          <w:t>Abbildung 3</w:t>
        </w:r>
        <w:r w:rsidRPr="00885F2E">
          <w:rPr>
            <w:rStyle w:val="Hyperlink"/>
            <w:rFonts w:eastAsiaTheme="majorEastAsia"/>
            <w:b/>
            <w:bCs/>
            <w:noProof/>
          </w:rPr>
          <w:noBreakHyphen/>
          <w:t>2: Immunhistochemische Färbung von CD44 mit unterschiedlichen Färbeintensitäten. Alle Färbeintensitäten (+, ++, +++) wurden als positive Färbung angesehen</w:t>
        </w:r>
        <w:r>
          <w:rPr>
            <w:noProof/>
            <w:webHidden/>
          </w:rPr>
          <w:tab/>
        </w:r>
        <w:r>
          <w:rPr>
            <w:noProof/>
            <w:webHidden/>
          </w:rPr>
          <w:fldChar w:fldCharType="begin"/>
        </w:r>
        <w:r>
          <w:rPr>
            <w:noProof/>
            <w:webHidden/>
          </w:rPr>
          <w:instrText xml:space="preserve"> PAGEREF _Toc180788380 \h </w:instrText>
        </w:r>
        <w:r>
          <w:rPr>
            <w:noProof/>
            <w:webHidden/>
          </w:rPr>
        </w:r>
        <w:r>
          <w:rPr>
            <w:noProof/>
            <w:webHidden/>
          </w:rPr>
          <w:fldChar w:fldCharType="separate"/>
        </w:r>
        <w:r>
          <w:rPr>
            <w:noProof/>
            <w:webHidden/>
          </w:rPr>
          <w:t>- 47 -</w:t>
        </w:r>
        <w:r>
          <w:rPr>
            <w:noProof/>
            <w:webHidden/>
          </w:rPr>
          <w:fldChar w:fldCharType="end"/>
        </w:r>
      </w:hyperlink>
    </w:p>
    <w:p w14:paraId="66119D44" w14:textId="0D57237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1" w:history="1">
        <w:r w:rsidRPr="00885F2E">
          <w:rPr>
            <w:rStyle w:val="Hyperlink"/>
            <w:rFonts w:eastAsiaTheme="majorEastAsia" w:cs="Arial"/>
            <w:b/>
            <w:bCs/>
            <w:noProof/>
          </w:rPr>
          <w:t>Abbildung 4</w:t>
        </w:r>
        <w:r w:rsidRPr="00885F2E">
          <w:rPr>
            <w:rStyle w:val="Hyperlink"/>
            <w:rFonts w:eastAsiaTheme="majorEastAsia" w:cs="Arial"/>
            <w:b/>
            <w:bCs/>
            <w:noProof/>
          </w:rPr>
          <w:noBreakHyphen/>
          <w:t>1: Lokoregionäre Kontrollrate nach Kaplan-Meier für das Gesamtkollektiv</w:t>
        </w:r>
        <w:r>
          <w:rPr>
            <w:noProof/>
            <w:webHidden/>
          </w:rPr>
          <w:tab/>
        </w:r>
        <w:r>
          <w:rPr>
            <w:noProof/>
            <w:webHidden/>
          </w:rPr>
          <w:fldChar w:fldCharType="begin"/>
        </w:r>
        <w:r>
          <w:rPr>
            <w:noProof/>
            <w:webHidden/>
          </w:rPr>
          <w:instrText xml:space="preserve"> PAGEREF _Toc180788381 \h </w:instrText>
        </w:r>
        <w:r>
          <w:rPr>
            <w:noProof/>
            <w:webHidden/>
          </w:rPr>
        </w:r>
        <w:r>
          <w:rPr>
            <w:noProof/>
            <w:webHidden/>
          </w:rPr>
          <w:fldChar w:fldCharType="separate"/>
        </w:r>
        <w:r>
          <w:rPr>
            <w:noProof/>
            <w:webHidden/>
          </w:rPr>
          <w:t>- 64 -</w:t>
        </w:r>
        <w:r>
          <w:rPr>
            <w:noProof/>
            <w:webHidden/>
          </w:rPr>
          <w:fldChar w:fldCharType="end"/>
        </w:r>
      </w:hyperlink>
    </w:p>
    <w:p w14:paraId="4CCB2227" w14:textId="68F6BA2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2" w:history="1">
        <w:r w:rsidRPr="00885F2E">
          <w:rPr>
            <w:rStyle w:val="Hyperlink"/>
            <w:rFonts w:eastAsiaTheme="majorEastAsia"/>
            <w:b/>
            <w:bCs/>
            <w:noProof/>
          </w:rPr>
          <w:t>Abbildung 4</w:t>
        </w:r>
        <w:r w:rsidRPr="00885F2E">
          <w:rPr>
            <w:rStyle w:val="Hyperlink"/>
            <w:rFonts w:eastAsiaTheme="majorEastAsia"/>
            <w:b/>
            <w:bCs/>
            <w:noProof/>
          </w:rPr>
          <w:noBreakHyphen/>
          <w:t>2: Fernmetastasenfreies Überleben nach Kaplan-Meier für das Gesamtkollektiv</w:t>
        </w:r>
        <w:r>
          <w:rPr>
            <w:noProof/>
            <w:webHidden/>
          </w:rPr>
          <w:tab/>
        </w:r>
        <w:r>
          <w:rPr>
            <w:noProof/>
            <w:webHidden/>
          </w:rPr>
          <w:fldChar w:fldCharType="begin"/>
        </w:r>
        <w:r>
          <w:rPr>
            <w:noProof/>
            <w:webHidden/>
          </w:rPr>
          <w:instrText xml:space="preserve"> PAGEREF _Toc180788382 \h </w:instrText>
        </w:r>
        <w:r>
          <w:rPr>
            <w:noProof/>
            <w:webHidden/>
          </w:rPr>
        </w:r>
        <w:r>
          <w:rPr>
            <w:noProof/>
            <w:webHidden/>
          </w:rPr>
          <w:fldChar w:fldCharType="separate"/>
        </w:r>
        <w:r>
          <w:rPr>
            <w:noProof/>
            <w:webHidden/>
          </w:rPr>
          <w:t>- 65 -</w:t>
        </w:r>
        <w:r>
          <w:rPr>
            <w:noProof/>
            <w:webHidden/>
          </w:rPr>
          <w:fldChar w:fldCharType="end"/>
        </w:r>
      </w:hyperlink>
    </w:p>
    <w:p w14:paraId="27EA13F4" w14:textId="6694023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3" w:history="1">
        <w:r w:rsidRPr="00885F2E">
          <w:rPr>
            <w:rStyle w:val="Hyperlink"/>
            <w:rFonts w:eastAsiaTheme="majorEastAsia"/>
            <w:b/>
            <w:bCs/>
            <w:noProof/>
          </w:rPr>
          <w:t>Abbildung 4</w:t>
        </w:r>
        <w:r w:rsidRPr="00885F2E">
          <w:rPr>
            <w:rStyle w:val="Hyperlink"/>
            <w:rFonts w:eastAsiaTheme="majorEastAsia"/>
            <w:b/>
            <w:bCs/>
            <w:noProof/>
          </w:rPr>
          <w:noBreakHyphen/>
          <w:t>3: Gesamtüberleben nach Kaplan-Meier für das Gesamtkollektiv.</w:t>
        </w:r>
        <w:r>
          <w:rPr>
            <w:noProof/>
            <w:webHidden/>
          </w:rPr>
          <w:tab/>
        </w:r>
        <w:r>
          <w:rPr>
            <w:noProof/>
            <w:webHidden/>
          </w:rPr>
          <w:fldChar w:fldCharType="begin"/>
        </w:r>
        <w:r>
          <w:rPr>
            <w:noProof/>
            <w:webHidden/>
          </w:rPr>
          <w:instrText xml:space="preserve"> PAGEREF _Toc180788383 \h </w:instrText>
        </w:r>
        <w:r>
          <w:rPr>
            <w:noProof/>
            <w:webHidden/>
          </w:rPr>
        </w:r>
        <w:r>
          <w:rPr>
            <w:noProof/>
            <w:webHidden/>
          </w:rPr>
          <w:fldChar w:fldCharType="separate"/>
        </w:r>
        <w:r>
          <w:rPr>
            <w:noProof/>
            <w:webHidden/>
          </w:rPr>
          <w:t>- 65 -</w:t>
        </w:r>
        <w:r>
          <w:rPr>
            <w:noProof/>
            <w:webHidden/>
          </w:rPr>
          <w:fldChar w:fldCharType="end"/>
        </w:r>
      </w:hyperlink>
    </w:p>
    <w:p w14:paraId="5A0C2CB0" w14:textId="25F13CF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4" w:history="1">
        <w:r w:rsidRPr="00885F2E">
          <w:rPr>
            <w:rStyle w:val="Hyperlink"/>
            <w:rFonts w:eastAsiaTheme="majorEastAsia"/>
            <w:b/>
            <w:bCs/>
            <w:noProof/>
          </w:rPr>
          <w:t>Abbildung 4</w:t>
        </w:r>
        <w:r w:rsidRPr="00885F2E">
          <w:rPr>
            <w:rStyle w:val="Hyperlink"/>
            <w:rFonts w:eastAsiaTheme="majorEastAsia"/>
            <w:b/>
            <w:bCs/>
            <w:noProof/>
          </w:rPr>
          <w:noBreakHyphen/>
          <w:t xml:space="preserve">4: Kaplan-Meier Analyse zum Einfluss der CD44 Proteinexpression auf die loko-regionäre Tumorkontrolle aller Patienten. </w:t>
        </w:r>
        <w:r w:rsidRPr="00885F2E">
          <w:rPr>
            <w:rStyle w:val="Hyperlink"/>
            <w:rFonts w:eastAsiaTheme="majorEastAsia"/>
            <w:noProof/>
          </w:rPr>
          <w:t>Patienten mit CD44 positiven Kopf-Hals-Plattenepithelkarzinomen haben eine signifikant schlechtere loko-regionäre Tumorkontrolle als Patienten mit CD44 negativen Tumoren (p=0,008)</w:t>
        </w:r>
        <w:r>
          <w:rPr>
            <w:noProof/>
            <w:webHidden/>
          </w:rPr>
          <w:tab/>
        </w:r>
        <w:r>
          <w:rPr>
            <w:noProof/>
            <w:webHidden/>
          </w:rPr>
          <w:fldChar w:fldCharType="begin"/>
        </w:r>
        <w:r>
          <w:rPr>
            <w:noProof/>
            <w:webHidden/>
          </w:rPr>
          <w:instrText xml:space="preserve"> PAGEREF _Toc180788384 \h </w:instrText>
        </w:r>
        <w:r>
          <w:rPr>
            <w:noProof/>
            <w:webHidden/>
          </w:rPr>
        </w:r>
        <w:r>
          <w:rPr>
            <w:noProof/>
            <w:webHidden/>
          </w:rPr>
          <w:fldChar w:fldCharType="separate"/>
        </w:r>
        <w:r>
          <w:rPr>
            <w:noProof/>
            <w:webHidden/>
          </w:rPr>
          <w:t>- 67 -</w:t>
        </w:r>
        <w:r>
          <w:rPr>
            <w:noProof/>
            <w:webHidden/>
          </w:rPr>
          <w:fldChar w:fldCharType="end"/>
        </w:r>
      </w:hyperlink>
    </w:p>
    <w:p w14:paraId="201B4CDB" w14:textId="35401F3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5" w:history="1">
        <w:r w:rsidRPr="00885F2E">
          <w:rPr>
            <w:rStyle w:val="Hyperlink"/>
            <w:rFonts w:eastAsiaTheme="majorEastAsia"/>
            <w:b/>
            <w:bCs/>
            <w:noProof/>
          </w:rPr>
          <w:t>Abbildung 4</w:t>
        </w:r>
        <w:r w:rsidRPr="00885F2E">
          <w:rPr>
            <w:rStyle w:val="Hyperlink"/>
            <w:rFonts w:eastAsiaTheme="majorEastAsia"/>
            <w:b/>
            <w:bCs/>
            <w:noProof/>
          </w:rPr>
          <w:noBreakHyphen/>
          <w:t xml:space="preserve">5: Kaplan-Meier Analyse zum Einfluss der CD44 Proteinexpression auf die loko-regionäre Tumorkontrolle von Patienten mit HPV16 DNA-negativen Tumoren. </w:t>
        </w:r>
        <w:r w:rsidRPr="00885F2E">
          <w:rPr>
            <w:rStyle w:val="Hyperlink"/>
            <w:rFonts w:eastAsiaTheme="majorEastAsia"/>
            <w:noProof/>
          </w:rPr>
          <w:t>Patienten der Subgruppe mit HPV16 DNA-negativen und CD44 negativen Kopf-Hals-Plattenepithelkarzinomen zeigen einen statistischen Trend für eine bessere loko-regionäre Tumorkontrolle im Vergleich zu Patienten mit HPV16 DNA negativen und CD44-positiven Tumoren (p=0,05).</w:t>
        </w:r>
        <w:r>
          <w:rPr>
            <w:noProof/>
            <w:webHidden/>
          </w:rPr>
          <w:tab/>
        </w:r>
        <w:r>
          <w:rPr>
            <w:noProof/>
            <w:webHidden/>
          </w:rPr>
          <w:fldChar w:fldCharType="begin"/>
        </w:r>
        <w:r>
          <w:rPr>
            <w:noProof/>
            <w:webHidden/>
          </w:rPr>
          <w:instrText xml:space="preserve"> PAGEREF _Toc180788385 \h </w:instrText>
        </w:r>
        <w:r>
          <w:rPr>
            <w:noProof/>
            <w:webHidden/>
          </w:rPr>
        </w:r>
        <w:r>
          <w:rPr>
            <w:noProof/>
            <w:webHidden/>
          </w:rPr>
          <w:fldChar w:fldCharType="separate"/>
        </w:r>
        <w:r>
          <w:rPr>
            <w:noProof/>
            <w:webHidden/>
          </w:rPr>
          <w:t>- 68 -</w:t>
        </w:r>
        <w:r>
          <w:rPr>
            <w:noProof/>
            <w:webHidden/>
          </w:rPr>
          <w:fldChar w:fldCharType="end"/>
        </w:r>
      </w:hyperlink>
    </w:p>
    <w:p w14:paraId="52603D22" w14:textId="6D5B579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6" w:history="1">
        <w:r w:rsidRPr="00885F2E">
          <w:rPr>
            <w:rStyle w:val="Hyperlink"/>
            <w:rFonts w:eastAsiaTheme="majorEastAsia"/>
            <w:b/>
            <w:bCs/>
            <w:noProof/>
          </w:rPr>
          <w:t>Abbildung 4</w:t>
        </w:r>
        <w:r w:rsidRPr="00885F2E">
          <w:rPr>
            <w:rStyle w:val="Hyperlink"/>
            <w:rFonts w:eastAsiaTheme="majorEastAsia"/>
            <w:b/>
            <w:bCs/>
            <w:noProof/>
          </w:rPr>
          <w:noBreakHyphen/>
          <w:t>6: Kaplan-Meier Schätzungen der sekundären Endpunkte von CD44-Protein (bewertet durch IHC) allen Patienten oder (C, E, G, I) Patienten mit HPV16 DNA-negativem HNSCC.</w:t>
        </w:r>
        <w:r w:rsidRPr="00885F2E">
          <w:rPr>
            <w:rStyle w:val="Hyperlink"/>
            <w:rFonts w:eastAsiaTheme="majorEastAsia"/>
            <w:noProof/>
          </w:rPr>
          <w:t xml:space="preserve"> Patienten mit geringer oder keiner CSC-Markerexpression zeigten eine bessere loko-regionale Tumorkontrolle im Vergleich zu Patienten mit stärkerer CSC-Markerexpression.</w:t>
        </w:r>
        <w:r>
          <w:rPr>
            <w:noProof/>
            <w:webHidden/>
          </w:rPr>
          <w:tab/>
        </w:r>
        <w:r>
          <w:rPr>
            <w:noProof/>
            <w:webHidden/>
          </w:rPr>
          <w:fldChar w:fldCharType="begin"/>
        </w:r>
        <w:r>
          <w:rPr>
            <w:noProof/>
            <w:webHidden/>
          </w:rPr>
          <w:instrText xml:space="preserve"> PAGEREF _Toc180788386 \h </w:instrText>
        </w:r>
        <w:r>
          <w:rPr>
            <w:noProof/>
            <w:webHidden/>
          </w:rPr>
        </w:r>
        <w:r>
          <w:rPr>
            <w:noProof/>
            <w:webHidden/>
          </w:rPr>
          <w:fldChar w:fldCharType="separate"/>
        </w:r>
        <w:r>
          <w:rPr>
            <w:noProof/>
            <w:webHidden/>
          </w:rPr>
          <w:t>- 69 -</w:t>
        </w:r>
        <w:r>
          <w:rPr>
            <w:noProof/>
            <w:webHidden/>
          </w:rPr>
          <w:fldChar w:fldCharType="end"/>
        </w:r>
      </w:hyperlink>
    </w:p>
    <w:p w14:paraId="0F619CCB" w14:textId="51161772" w:rsidR="00FA4F48" w:rsidRPr="00812C16" w:rsidRDefault="0016546B">
      <w:pPr>
        <w:jc w:val="left"/>
        <w:rPr>
          <w:rFonts w:cs="Arial"/>
          <w:lang w:eastAsia="de-DE"/>
        </w:rPr>
      </w:pPr>
      <w:r w:rsidRPr="00812C16">
        <w:rPr>
          <w:rFonts w:cs="Arial"/>
          <w:lang w:eastAsia="de-DE"/>
        </w:rPr>
        <w:fldChar w:fldCharType="end"/>
      </w:r>
      <w:r w:rsidR="00FA4F48" w:rsidRPr="00812C16">
        <w:rPr>
          <w:rFonts w:cs="Arial"/>
          <w:lang w:eastAsia="de-DE"/>
        </w:rPr>
        <w:br w:type="page"/>
      </w:r>
    </w:p>
    <w:p w14:paraId="2EC8CCDF" w14:textId="77777777" w:rsidR="00487E02" w:rsidRPr="00812C16" w:rsidRDefault="00E24C7A" w:rsidP="001830EA">
      <w:pPr>
        <w:pStyle w:val="berschrift1"/>
        <w:rPr>
          <w:rFonts w:cs="Arial"/>
        </w:rPr>
      </w:pPr>
      <w:bookmarkStart w:id="103" w:name="_Toc158006556"/>
      <w:r w:rsidRPr="00812C16">
        <w:rPr>
          <w:rFonts w:cs="Arial"/>
        </w:rPr>
        <w:lastRenderedPageBreak/>
        <w:t>Tabellenverzeichnis</w:t>
      </w:r>
      <w:bookmarkEnd w:id="103"/>
    </w:p>
    <w:p w14:paraId="4817A2E4" w14:textId="49FC17E0"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"Tabelle" </w:instrText>
      </w:r>
      <w:r w:rsidRPr="00812C16">
        <w:rPr>
          <w:rFonts w:ascii="Arial" w:hAnsi="Arial" w:cs="Arial"/>
          <w:lang w:eastAsia="de-DE"/>
        </w:rPr>
        <w:fldChar w:fldCharType="separate"/>
      </w:r>
      <w:hyperlink w:anchor="_Toc180788387" w:history="1">
        <w:r w:rsidR="000112D9" w:rsidRPr="007275C4">
          <w:rPr>
            <w:rStyle w:val="Hyperlink"/>
            <w:rFonts w:eastAsiaTheme="majorEastAsia"/>
            <w:b/>
            <w:bCs/>
            <w:noProof/>
          </w:rPr>
          <w:t>Tabelle 1</w:t>
        </w:r>
        <w:r w:rsidR="000112D9" w:rsidRPr="007275C4">
          <w:rPr>
            <w:rStyle w:val="Hyperlink"/>
            <w:rFonts w:eastAsiaTheme="majorEastAsia"/>
            <w:b/>
            <w:bCs/>
            <w:noProof/>
          </w:rPr>
          <w:noBreakHyphen/>
          <w:t>1: Unterschiede zwischen HPV-negativen und HPV-positiven Kopf-Hals Tumoren.</w:t>
        </w:r>
        <w:r w:rsidR="000112D9">
          <w:rPr>
            <w:noProof/>
            <w:webHidden/>
          </w:rPr>
          <w:tab/>
        </w:r>
        <w:r w:rsidR="000112D9">
          <w:rPr>
            <w:noProof/>
            <w:webHidden/>
          </w:rPr>
          <w:fldChar w:fldCharType="begin"/>
        </w:r>
        <w:r w:rsidR="000112D9">
          <w:rPr>
            <w:noProof/>
            <w:webHidden/>
          </w:rPr>
          <w:instrText xml:space="preserve"> PAGEREF _Toc180788387 \h </w:instrText>
        </w:r>
        <w:r w:rsidR="000112D9">
          <w:rPr>
            <w:noProof/>
            <w:webHidden/>
          </w:rPr>
        </w:r>
        <w:r w:rsidR="000112D9">
          <w:rPr>
            <w:noProof/>
            <w:webHidden/>
          </w:rPr>
          <w:fldChar w:fldCharType="separate"/>
        </w:r>
        <w:r w:rsidR="000112D9">
          <w:rPr>
            <w:noProof/>
            <w:webHidden/>
          </w:rPr>
          <w:t>- 11 -</w:t>
        </w:r>
        <w:r w:rsidR="000112D9">
          <w:rPr>
            <w:noProof/>
            <w:webHidden/>
          </w:rPr>
          <w:fldChar w:fldCharType="end"/>
        </w:r>
      </w:hyperlink>
    </w:p>
    <w:p w14:paraId="4DD0D9B9" w14:textId="0DD9E05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8" w:history="1">
        <w:r w:rsidRPr="007275C4">
          <w:rPr>
            <w:rStyle w:val="Hyperlink"/>
            <w:rFonts w:eastAsiaTheme="majorEastAsia"/>
            <w:b/>
            <w:bCs/>
            <w:noProof/>
          </w:rPr>
          <w:t>Tabelle 1</w:t>
        </w:r>
        <w:r w:rsidRPr="007275C4">
          <w:rPr>
            <w:rStyle w:val="Hyperlink"/>
            <w:rFonts w:eastAsiaTheme="majorEastAsia"/>
            <w:b/>
            <w:bCs/>
            <w:noProof/>
          </w:rPr>
          <w:noBreakHyphen/>
          <w:t>2: Histopathologisches Grading der Tumore im Kopf-Hals-Bereich</w:t>
        </w:r>
        <w:r>
          <w:rPr>
            <w:noProof/>
            <w:webHidden/>
          </w:rPr>
          <w:tab/>
        </w:r>
        <w:r>
          <w:rPr>
            <w:noProof/>
            <w:webHidden/>
          </w:rPr>
          <w:fldChar w:fldCharType="begin"/>
        </w:r>
        <w:r>
          <w:rPr>
            <w:noProof/>
            <w:webHidden/>
          </w:rPr>
          <w:instrText xml:space="preserve"> PAGEREF _Toc180788388 \h </w:instrText>
        </w:r>
        <w:r>
          <w:rPr>
            <w:noProof/>
            <w:webHidden/>
          </w:rPr>
        </w:r>
        <w:r>
          <w:rPr>
            <w:noProof/>
            <w:webHidden/>
          </w:rPr>
          <w:fldChar w:fldCharType="separate"/>
        </w:r>
        <w:r>
          <w:rPr>
            <w:noProof/>
            <w:webHidden/>
          </w:rPr>
          <w:t>- 15 -</w:t>
        </w:r>
        <w:r>
          <w:rPr>
            <w:noProof/>
            <w:webHidden/>
          </w:rPr>
          <w:fldChar w:fldCharType="end"/>
        </w:r>
      </w:hyperlink>
    </w:p>
    <w:p w14:paraId="603D6054" w14:textId="5BD54318"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9" w:history="1">
        <w:r w:rsidRPr="007275C4">
          <w:rPr>
            <w:rStyle w:val="Hyperlink"/>
            <w:rFonts w:eastAsiaTheme="majorEastAsia"/>
            <w:b/>
            <w:bCs/>
            <w:noProof/>
          </w:rPr>
          <w:t>Tabelle 1</w:t>
        </w:r>
        <w:r w:rsidRPr="007275C4">
          <w:rPr>
            <w:rStyle w:val="Hyperlink"/>
            <w:rFonts w:eastAsiaTheme="majorEastAsia"/>
            <w:b/>
            <w:bCs/>
            <w:noProof/>
          </w:rPr>
          <w:noBreakHyphen/>
          <w:t>3: Histopathologische Subtypen des Plattenepithelkarzinoms</w:t>
        </w:r>
        <w:r>
          <w:rPr>
            <w:noProof/>
            <w:webHidden/>
          </w:rPr>
          <w:tab/>
        </w:r>
        <w:r>
          <w:rPr>
            <w:noProof/>
            <w:webHidden/>
          </w:rPr>
          <w:fldChar w:fldCharType="begin"/>
        </w:r>
        <w:r>
          <w:rPr>
            <w:noProof/>
            <w:webHidden/>
          </w:rPr>
          <w:instrText xml:space="preserve"> PAGEREF _Toc180788389 \h </w:instrText>
        </w:r>
        <w:r>
          <w:rPr>
            <w:noProof/>
            <w:webHidden/>
          </w:rPr>
        </w:r>
        <w:r>
          <w:rPr>
            <w:noProof/>
            <w:webHidden/>
          </w:rPr>
          <w:fldChar w:fldCharType="separate"/>
        </w:r>
        <w:r>
          <w:rPr>
            <w:noProof/>
            <w:webHidden/>
          </w:rPr>
          <w:t>- 17 -</w:t>
        </w:r>
        <w:r>
          <w:rPr>
            <w:noProof/>
            <w:webHidden/>
          </w:rPr>
          <w:fldChar w:fldCharType="end"/>
        </w:r>
      </w:hyperlink>
    </w:p>
    <w:p w14:paraId="2DA5535A" w14:textId="5B0F7985"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0" w:history="1">
        <w:r w:rsidRPr="007275C4">
          <w:rPr>
            <w:rStyle w:val="Hyperlink"/>
            <w:rFonts w:eastAsiaTheme="majorEastAsia" w:cs="Arial"/>
            <w:noProof/>
          </w:rPr>
          <w:t>Tabelle 3</w:t>
        </w:r>
        <w:r w:rsidRPr="007275C4">
          <w:rPr>
            <w:rStyle w:val="Hyperlink"/>
            <w:rFonts w:eastAsiaTheme="majorEastAsia" w:cs="Arial"/>
            <w:noProof/>
          </w:rPr>
          <w:noBreakHyphen/>
          <w:t>1: Einschlusskriterien für Patienten</w:t>
        </w:r>
        <w:r>
          <w:rPr>
            <w:noProof/>
            <w:webHidden/>
          </w:rPr>
          <w:tab/>
        </w:r>
        <w:r>
          <w:rPr>
            <w:noProof/>
            <w:webHidden/>
          </w:rPr>
          <w:fldChar w:fldCharType="begin"/>
        </w:r>
        <w:r>
          <w:rPr>
            <w:noProof/>
            <w:webHidden/>
          </w:rPr>
          <w:instrText xml:space="preserve"> PAGEREF _Toc180788390 \h </w:instrText>
        </w:r>
        <w:r>
          <w:rPr>
            <w:noProof/>
            <w:webHidden/>
          </w:rPr>
        </w:r>
        <w:r>
          <w:rPr>
            <w:noProof/>
            <w:webHidden/>
          </w:rPr>
          <w:fldChar w:fldCharType="separate"/>
        </w:r>
        <w:r>
          <w:rPr>
            <w:noProof/>
            <w:webHidden/>
          </w:rPr>
          <w:t>- 43 -</w:t>
        </w:r>
        <w:r>
          <w:rPr>
            <w:noProof/>
            <w:webHidden/>
          </w:rPr>
          <w:fldChar w:fldCharType="end"/>
        </w:r>
      </w:hyperlink>
    </w:p>
    <w:p w14:paraId="3A7B7F8F" w14:textId="5D6D662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1" w:history="1">
        <w:r w:rsidRPr="007275C4">
          <w:rPr>
            <w:rStyle w:val="Hyperlink"/>
            <w:rFonts w:eastAsiaTheme="majorEastAsia" w:cs="Arial"/>
            <w:b/>
            <w:bCs/>
            <w:noProof/>
          </w:rPr>
          <w:t>Tabelle 4</w:t>
        </w:r>
        <w:r w:rsidRPr="007275C4">
          <w:rPr>
            <w:rStyle w:val="Hyperlink"/>
            <w:rFonts w:eastAsiaTheme="majorEastAsia" w:cs="Arial"/>
            <w:b/>
            <w:bCs/>
            <w:noProof/>
          </w:rPr>
          <w:noBreakHyphen/>
          <w:t>1: Klinisch-pathologische Daten des Patientenkollektivs</w:t>
        </w:r>
        <w:r>
          <w:rPr>
            <w:noProof/>
            <w:webHidden/>
          </w:rPr>
          <w:tab/>
        </w:r>
        <w:r>
          <w:rPr>
            <w:noProof/>
            <w:webHidden/>
          </w:rPr>
          <w:fldChar w:fldCharType="begin"/>
        </w:r>
        <w:r>
          <w:rPr>
            <w:noProof/>
            <w:webHidden/>
          </w:rPr>
          <w:instrText xml:space="preserve"> PAGEREF _Toc180788391 \h </w:instrText>
        </w:r>
        <w:r>
          <w:rPr>
            <w:noProof/>
            <w:webHidden/>
          </w:rPr>
        </w:r>
        <w:r>
          <w:rPr>
            <w:noProof/>
            <w:webHidden/>
          </w:rPr>
          <w:fldChar w:fldCharType="separate"/>
        </w:r>
        <w:r>
          <w:rPr>
            <w:noProof/>
            <w:webHidden/>
          </w:rPr>
          <w:t>- 55 -</w:t>
        </w:r>
        <w:r>
          <w:rPr>
            <w:noProof/>
            <w:webHidden/>
          </w:rPr>
          <w:fldChar w:fldCharType="end"/>
        </w:r>
      </w:hyperlink>
    </w:p>
    <w:p w14:paraId="2ED95EF3" w14:textId="619C12F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2" w:history="1">
        <w:r w:rsidRPr="007275C4">
          <w:rPr>
            <w:rStyle w:val="Hyperlink"/>
            <w:rFonts w:eastAsiaTheme="majorEastAsia" w:cs="Arial"/>
            <w:b/>
            <w:bCs/>
            <w:noProof/>
          </w:rPr>
          <w:t>Tabelle 4</w:t>
        </w:r>
        <w:r w:rsidRPr="007275C4">
          <w:rPr>
            <w:rStyle w:val="Hyperlink"/>
            <w:rFonts w:eastAsiaTheme="majorEastAsia" w:cs="Arial"/>
            <w:b/>
            <w:bCs/>
            <w:noProof/>
          </w:rPr>
          <w:noBreakHyphen/>
          <w:t>2: Anzahl der Patienten pro Behandlungszentrum und Tumorlokalisierung</w:t>
        </w:r>
        <w:r>
          <w:rPr>
            <w:noProof/>
            <w:webHidden/>
          </w:rPr>
          <w:tab/>
        </w:r>
        <w:r>
          <w:rPr>
            <w:noProof/>
            <w:webHidden/>
          </w:rPr>
          <w:fldChar w:fldCharType="begin"/>
        </w:r>
        <w:r>
          <w:rPr>
            <w:noProof/>
            <w:webHidden/>
          </w:rPr>
          <w:instrText xml:space="preserve"> PAGEREF _Toc180788392 \h </w:instrText>
        </w:r>
        <w:r>
          <w:rPr>
            <w:noProof/>
            <w:webHidden/>
          </w:rPr>
        </w:r>
        <w:r>
          <w:rPr>
            <w:noProof/>
            <w:webHidden/>
          </w:rPr>
          <w:fldChar w:fldCharType="separate"/>
        </w:r>
        <w:r>
          <w:rPr>
            <w:noProof/>
            <w:webHidden/>
          </w:rPr>
          <w:t>- 56 -</w:t>
        </w:r>
        <w:r>
          <w:rPr>
            <w:noProof/>
            <w:webHidden/>
          </w:rPr>
          <w:fldChar w:fldCharType="end"/>
        </w:r>
      </w:hyperlink>
    </w:p>
    <w:p w14:paraId="641C6D7C" w14:textId="63DFF74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3" w:history="1">
        <w:r w:rsidRPr="007275C4">
          <w:rPr>
            <w:rStyle w:val="Hyperlink"/>
            <w:rFonts w:eastAsiaTheme="majorEastAsia" w:cs="Arial"/>
            <w:b/>
            <w:bCs/>
            <w:noProof/>
          </w:rPr>
          <w:t>Tabelle 4</w:t>
        </w:r>
        <w:r w:rsidRPr="007275C4">
          <w:rPr>
            <w:rStyle w:val="Hyperlink"/>
            <w:rFonts w:eastAsiaTheme="majorEastAsia" w:cs="Arial"/>
            <w:b/>
            <w:bCs/>
            <w:noProof/>
          </w:rPr>
          <w:noBreakHyphen/>
          <w:t>3: Tumorcharakteristik</w:t>
        </w:r>
        <w:r>
          <w:rPr>
            <w:noProof/>
            <w:webHidden/>
          </w:rPr>
          <w:tab/>
        </w:r>
        <w:r>
          <w:rPr>
            <w:noProof/>
            <w:webHidden/>
          </w:rPr>
          <w:fldChar w:fldCharType="begin"/>
        </w:r>
        <w:r>
          <w:rPr>
            <w:noProof/>
            <w:webHidden/>
          </w:rPr>
          <w:instrText xml:space="preserve"> PAGEREF _Toc180788393 \h </w:instrText>
        </w:r>
        <w:r>
          <w:rPr>
            <w:noProof/>
            <w:webHidden/>
          </w:rPr>
        </w:r>
        <w:r>
          <w:rPr>
            <w:noProof/>
            <w:webHidden/>
          </w:rPr>
          <w:fldChar w:fldCharType="separate"/>
        </w:r>
        <w:r>
          <w:rPr>
            <w:noProof/>
            <w:webHidden/>
          </w:rPr>
          <w:t>- 57 -</w:t>
        </w:r>
        <w:r>
          <w:rPr>
            <w:noProof/>
            <w:webHidden/>
          </w:rPr>
          <w:fldChar w:fldCharType="end"/>
        </w:r>
      </w:hyperlink>
    </w:p>
    <w:p w14:paraId="31A12CC0" w14:textId="17D222ED"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4"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4: Anzahl der Tumoren mit positiven oder negativen Biomarkern Insgesamt und pro Tumorlokalisierung. </w:t>
        </w:r>
        <w:r w:rsidRPr="007275C4">
          <w:rPr>
            <w:rStyle w:val="Hyperlink"/>
            <w:rFonts w:eastAsiaTheme="majorEastAsia"/>
            <w:noProof/>
          </w:rPr>
          <w:t>N=Anzahl der auswertbaren Fälle, F=Anzahl der nicht auswertbaren Fälle</w:t>
        </w:r>
        <w:r>
          <w:rPr>
            <w:noProof/>
            <w:webHidden/>
          </w:rPr>
          <w:tab/>
        </w:r>
        <w:r>
          <w:rPr>
            <w:noProof/>
            <w:webHidden/>
          </w:rPr>
          <w:fldChar w:fldCharType="begin"/>
        </w:r>
        <w:r>
          <w:rPr>
            <w:noProof/>
            <w:webHidden/>
          </w:rPr>
          <w:instrText xml:space="preserve"> PAGEREF _Toc180788394 \h </w:instrText>
        </w:r>
        <w:r>
          <w:rPr>
            <w:noProof/>
            <w:webHidden/>
          </w:rPr>
        </w:r>
        <w:r>
          <w:rPr>
            <w:noProof/>
            <w:webHidden/>
          </w:rPr>
          <w:fldChar w:fldCharType="separate"/>
        </w:r>
        <w:r>
          <w:rPr>
            <w:noProof/>
            <w:webHidden/>
          </w:rPr>
          <w:t>- 59 -</w:t>
        </w:r>
        <w:r>
          <w:rPr>
            <w:noProof/>
            <w:webHidden/>
          </w:rPr>
          <w:fldChar w:fldCharType="end"/>
        </w:r>
      </w:hyperlink>
    </w:p>
    <w:p w14:paraId="0F3EA183" w14:textId="4CE92AC3"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5" w:history="1">
        <w:r w:rsidRPr="007275C4">
          <w:rPr>
            <w:rStyle w:val="Hyperlink"/>
            <w:rFonts w:eastAsiaTheme="majorEastAsia" w:cs="Arial"/>
            <w:b/>
            <w:bCs/>
            <w:noProof/>
          </w:rPr>
          <w:t>Tabelle 4</w:t>
        </w:r>
        <w:r w:rsidRPr="007275C4">
          <w:rPr>
            <w:rStyle w:val="Hyperlink"/>
            <w:rFonts w:eastAsiaTheme="majorEastAsia" w:cs="Arial"/>
            <w:b/>
            <w:bCs/>
            <w:noProof/>
          </w:rPr>
          <w:noBreakHyphen/>
          <w:t>5: Behandlungsparameter</w:t>
        </w:r>
        <w:r>
          <w:rPr>
            <w:noProof/>
            <w:webHidden/>
          </w:rPr>
          <w:tab/>
        </w:r>
        <w:r>
          <w:rPr>
            <w:noProof/>
            <w:webHidden/>
          </w:rPr>
          <w:fldChar w:fldCharType="begin"/>
        </w:r>
        <w:r>
          <w:rPr>
            <w:noProof/>
            <w:webHidden/>
          </w:rPr>
          <w:instrText xml:space="preserve"> PAGEREF _Toc180788395 \h </w:instrText>
        </w:r>
        <w:r>
          <w:rPr>
            <w:noProof/>
            <w:webHidden/>
          </w:rPr>
        </w:r>
        <w:r>
          <w:rPr>
            <w:noProof/>
            <w:webHidden/>
          </w:rPr>
          <w:fldChar w:fldCharType="separate"/>
        </w:r>
        <w:r>
          <w:rPr>
            <w:noProof/>
            <w:webHidden/>
          </w:rPr>
          <w:t>- 61 -</w:t>
        </w:r>
        <w:r>
          <w:rPr>
            <w:noProof/>
            <w:webHidden/>
          </w:rPr>
          <w:fldChar w:fldCharType="end"/>
        </w:r>
      </w:hyperlink>
    </w:p>
    <w:p w14:paraId="70C6D74F" w14:textId="397656C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6"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6:  Anzahl der Ereignisse für die klinischen Endpunkte im Beobachtungszeitraum pro Tumorlokalisation vom gesamten Patientenkollektiv.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_Toc180788396 \h </w:instrText>
        </w:r>
        <w:r>
          <w:rPr>
            <w:noProof/>
            <w:webHidden/>
          </w:rPr>
        </w:r>
        <w:r>
          <w:rPr>
            <w:noProof/>
            <w:webHidden/>
          </w:rPr>
          <w:fldChar w:fldCharType="separate"/>
        </w:r>
        <w:r>
          <w:rPr>
            <w:noProof/>
            <w:webHidden/>
          </w:rPr>
          <w:t>- 63 -</w:t>
        </w:r>
        <w:r>
          <w:rPr>
            <w:noProof/>
            <w:webHidden/>
          </w:rPr>
          <w:fldChar w:fldCharType="end"/>
        </w:r>
      </w:hyperlink>
    </w:p>
    <w:p w14:paraId="173EDECC" w14:textId="063BEB0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7" w:history="1">
        <w:r w:rsidRPr="007275C4">
          <w:rPr>
            <w:rStyle w:val="Hyperlink"/>
            <w:rFonts w:eastAsiaTheme="majorEastAsia"/>
            <w:b/>
            <w:bCs/>
            <w:noProof/>
          </w:rPr>
          <w:t>Tabelle 4</w:t>
        </w:r>
        <w:r w:rsidRPr="007275C4">
          <w:rPr>
            <w:rStyle w:val="Hyperlink"/>
            <w:rFonts w:eastAsiaTheme="majorEastAsia"/>
            <w:b/>
            <w:bCs/>
            <w:noProof/>
          </w:rPr>
          <w:noBreakHyphen/>
          <w:t xml:space="preserve">7: Anzahl der Tumoren mit positiver oder negativer CD44 Proteinexpression pro Ereignis bzw. Zensierung. </w:t>
        </w:r>
        <w:r w:rsidRPr="007275C4">
          <w:rPr>
            <w:rStyle w:val="Hyperlink"/>
            <w:rFonts w:eastAsiaTheme="majorEastAsia"/>
            <w:noProof/>
          </w:rPr>
          <w:t>N=Anzahl der auswertbaren Fälle in der Kohorte</w:t>
        </w:r>
        <w:r>
          <w:rPr>
            <w:noProof/>
            <w:webHidden/>
          </w:rPr>
          <w:tab/>
        </w:r>
        <w:r>
          <w:rPr>
            <w:noProof/>
            <w:webHidden/>
          </w:rPr>
          <w:fldChar w:fldCharType="begin"/>
        </w:r>
        <w:r>
          <w:rPr>
            <w:noProof/>
            <w:webHidden/>
          </w:rPr>
          <w:instrText xml:space="preserve"> PAGEREF _Toc180788397 \h </w:instrText>
        </w:r>
        <w:r>
          <w:rPr>
            <w:noProof/>
            <w:webHidden/>
          </w:rPr>
        </w:r>
        <w:r>
          <w:rPr>
            <w:noProof/>
            <w:webHidden/>
          </w:rPr>
          <w:fldChar w:fldCharType="separate"/>
        </w:r>
        <w:r>
          <w:rPr>
            <w:noProof/>
            <w:webHidden/>
          </w:rPr>
          <w:t>- 66 -</w:t>
        </w:r>
        <w:r>
          <w:rPr>
            <w:noProof/>
            <w:webHidden/>
          </w:rPr>
          <w:fldChar w:fldCharType="end"/>
        </w:r>
      </w:hyperlink>
    </w:p>
    <w:p w14:paraId="61F5FD91" w14:textId="37F8F2E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8" w:history="1">
        <w:r w:rsidRPr="007275C4">
          <w:rPr>
            <w:rStyle w:val="Hyperlink"/>
            <w:rFonts w:eastAsiaTheme="majorEastAsia"/>
            <w:b/>
            <w:bCs/>
            <w:noProof/>
          </w:rPr>
          <w:t>Tabelle 4</w:t>
        </w:r>
        <w:r w:rsidRPr="007275C4">
          <w:rPr>
            <w:rStyle w:val="Hyperlink"/>
            <w:rFonts w:eastAsiaTheme="majorEastAsia"/>
            <w:b/>
            <w:bCs/>
            <w:noProof/>
          </w:rPr>
          <w:noBreakHyphen/>
          <w:t xml:space="preserve">8: Univariate Analysen zum Einfluss von CD44 als Tumorstammzellmarker auf die loko-regionären 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_Toc180788398 \h </w:instrText>
        </w:r>
        <w:r>
          <w:rPr>
            <w:noProof/>
            <w:webHidden/>
          </w:rPr>
        </w:r>
        <w:r>
          <w:rPr>
            <w:noProof/>
            <w:webHidden/>
          </w:rPr>
          <w:fldChar w:fldCharType="separate"/>
        </w:r>
        <w:r>
          <w:rPr>
            <w:noProof/>
            <w:webHidden/>
          </w:rPr>
          <w:t>- 69 -</w:t>
        </w:r>
        <w:r>
          <w:rPr>
            <w:noProof/>
            <w:webHidden/>
          </w:rPr>
          <w:fldChar w:fldCharType="end"/>
        </w:r>
      </w:hyperlink>
    </w:p>
    <w:p w14:paraId="350D8C20" w14:textId="42181D7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9" w:history="1">
        <w:r w:rsidRPr="007275C4">
          <w:rPr>
            <w:rStyle w:val="Hyperlink"/>
            <w:rFonts w:eastAsiaTheme="majorEastAsia"/>
            <w:b/>
            <w:bCs/>
            <w:noProof/>
          </w:rPr>
          <w:t>Tabelle 4</w:t>
        </w:r>
        <w:r w:rsidRPr="007275C4">
          <w:rPr>
            <w:rStyle w:val="Hyperlink"/>
            <w:rFonts w:eastAsiaTheme="majorEastAsia"/>
            <w:b/>
            <w:bCs/>
            <w:noProof/>
          </w:rPr>
          <w:noBreakHyphen/>
          <w:t xml:space="preserve">9: Univariate Analyse potenzieller prognostische Parameter für die loko-regionäre Tumorkontrolle,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_Toc180788399 \h </w:instrText>
        </w:r>
        <w:r>
          <w:rPr>
            <w:noProof/>
            <w:webHidden/>
          </w:rPr>
        </w:r>
        <w:r>
          <w:rPr>
            <w:noProof/>
            <w:webHidden/>
          </w:rPr>
          <w:fldChar w:fldCharType="separate"/>
        </w:r>
        <w:r>
          <w:rPr>
            <w:noProof/>
            <w:webHidden/>
          </w:rPr>
          <w:t>- 72 -</w:t>
        </w:r>
        <w:r>
          <w:rPr>
            <w:noProof/>
            <w:webHidden/>
          </w:rPr>
          <w:fldChar w:fldCharType="end"/>
        </w:r>
      </w:hyperlink>
    </w:p>
    <w:p w14:paraId="63C58968" w14:textId="37BDA15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0" w:history="1">
        <w:r w:rsidRPr="007275C4">
          <w:rPr>
            <w:rStyle w:val="Hyperlink"/>
            <w:rFonts w:eastAsiaTheme="majorEastAsia"/>
            <w:b/>
            <w:bCs/>
            <w:noProof/>
          </w:rPr>
          <w:t>Tabelle 4</w:t>
        </w:r>
        <w:r w:rsidRPr="007275C4">
          <w:rPr>
            <w:rStyle w:val="Hyperlink"/>
            <w:rFonts w:eastAsiaTheme="majorEastAsia"/>
            <w:b/>
            <w:bCs/>
            <w:noProof/>
          </w:rPr>
          <w:noBreakHyphen/>
          <w:t>10: Hazard Ratio ist ein deskriptives Maß für das Einflussrisiko im Verhältnis zur Referenzgruppe</w:t>
        </w:r>
        <w:r>
          <w:rPr>
            <w:noProof/>
            <w:webHidden/>
          </w:rPr>
          <w:tab/>
        </w:r>
        <w:r>
          <w:rPr>
            <w:noProof/>
            <w:webHidden/>
          </w:rPr>
          <w:fldChar w:fldCharType="begin"/>
        </w:r>
        <w:r>
          <w:rPr>
            <w:noProof/>
            <w:webHidden/>
          </w:rPr>
          <w:instrText xml:space="preserve"> PAGEREF _Toc180788400 \h </w:instrText>
        </w:r>
        <w:r>
          <w:rPr>
            <w:noProof/>
            <w:webHidden/>
          </w:rPr>
        </w:r>
        <w:r>
          <w:rPr>
            <w:noProof/>
            <w:webHidden/>
          </w:rPr>
          <w:fldChar w:fldCharType="separate"/>
        </w:r>
        <w:r>
          <w:rPr>
            <w:noProof/>
            <w:webHidden/>
          </w:rPr>
          <w:t>- 73 -</w:t>
        </w:r>
        <w:r>
          <w:rPr>
            <w:noProof/>
            <w:webHidden/>
          </w:rPr>
          <w:fldChar w:fldCharType="end"/>
        </w:r>
      </w:hyperlink>
    </w:p>
    <w:p w14:paraId="2C353632" w14:textId="239BC1F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1" w:history="1">
        <w:r w:rsidRPr="007275C4">
          <w:rPr>
            <w:rStyle w:val="Hyperlink"/>
            <w:rFonts w:eastAsiaTheme="majorEastAsia"/>
            <w:b/>
            <w:bCs/>
            <w:noProof/>
          </w:rPr>
          <w:t>Tabelle 4</w:t>
        </w:r>
        <w:r w:rsidRPr="007275C4">
          <w:rPr>
            <w:rStyle w:val="Hyperlink"/>
            <w:rFonts w:eastAsiaTheme="majorEastAsia"/>
            <w:b/>
            <w:bCs/>
            <w:noProof/>
          </w:rPr>
          <w:noBreakHyphen/>
          <w:t xml:space="preserve">11: Ergebnisse der multivariaten Analyse von CSC-Marker und zusätzliche klinisch-pathologische Prognosefaktoren aller Patienten und für die Subgruppe mit HPV16 DNA-negativen Tumoren.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_Toc180788401 \h </w:instrText>
        </w:r>
        <w:r>
          <w:rPr>
            <w:noProof/>
            <w:webHidden/>
          </w:rPr>
        </w:r>
        <w:r>
          <w:rPr>
            <w:noProof/>
            <w:webHidden/>
          </w:rPr>
          <w:fldChar w:fldCharType="separate"/>
        </w:r>
        <w:r>
          <w:rPr>
            <w:noProof/>
            <w:webHidden/>
          </w:rPr>
          <w:t>- 74 -</w:t>
        </w:r>
        <w:r>
          <w:rPr>
            <w:noProof/>
            <w:webHidden/>
          </w:rPr>
          <w:fldChar w:fldCharType="end"/>
        </w:r>
      </w:hyperlink>
    </w:p>
    <w:p w14:paraId="106CE6B9" w14:textId="606F0F2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2" w:history="1">
        <w:r w:rsidRPr="007275C4">
          <w:rPr>
            <w:rStyle w:val="Hyperlink"/>
            <w:rFonts w:eastAsiaTheme="majorEastAsia" w:cs="Arial"/>
            <w:b/>
            <w:bCs/>
            <w:noProof/>
          </w:rPr>
          <w:t>Tabelle 13</w:t>
        </w:r>
        <w:r w:rsidRPr="007275C4">
          <w:rPr>
            <w:rStyle w:val="Hyperlink"/>
            <w:rFonts w:eastAsiaTheme="majorEastAsia" w:cs="Arial"/>
            <w:b/>
            <w:bCs/>
            <w:noProof/>
          </w:rPr>
          <w:noBreakHyphen/>
          <w:t xml:space="preserve">1:  Anzahl der Ereignisse für die klinischen Endpunkte im Beobachtungszeitraum pro Tumorlokalisation vom gesamten Patientenkollektiv und für die Subgruppe der HPV16 DNA-negativen und -positiven Kohorte.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_Toc180788402 \h </w:instrText>
        </w:r>
        <w:r>
          <w:rPr>
            <w:noProof/>
            <w:webHidden/>
          </w:rPr>
        </w:r>
        <w:r>
          <w:rPr>
            <w:noProof/>
            <w:webHidden/>
          </w:rPr>
          <w:fldChar w:fldCharType="separate"/>
        </w:r>
        <w:r>
          <w:rPr>
            <w:noProof/>
            <w:webHidden/>
          </w:rPr>
          <w:t>XVIII</w:t>
        </w:r>
        <w:r>
          <w:rPr>
            <w:noProof/>
            <w:webHidden/>
          </w:rPr>
          <w:fldChar w:fldCharType="end"/>
        </w:r>
      </w:hyperlink>
    </w:p>
    <w:p w14:paraId="042BAB21" w14:textId="3CDBF06B" w:rsidR="0016546B" w:rsidRPr="00812C16" w:rsidRDefault="0016546B" w:rsidP="0016546B">
      <w:pPr>
        <w:rPr>
          <w:rFonts w:cs="Arial"/>
          <w:lang w:eastAsia="de-DE"/>
        </w:rPr>
      </w:pPr>
      <w:r w:rsidRPr="00812C16">
        <w:rPr>
          <w:rFonts w:cs="Arial"/>
          <w:lang w:eastAsia="de-DE"/>
        </w:rPr>
        <w:fldChar w:fldCharType="end"/>
      </w:r>
    </w:p>
    <w:p w14:paraId="1A50B601" w14:textId="77777777" w:rsidR="000F0E16" w:rsidRPr="00812C16" w:rsidRDefault="000F0E16">
      <w:pPr>
        <w:jc w:val="left"/>
        <w:rPr>
          <w:rFonts w:cs="Arial"/>
          <w:b/>
          <w:color w:val="000000" w:themeColor="text1"/>
          <w:sz w:val="28"/>
          <w:szCs w:val="36"/>
          <w:lang w:eastAsia="de-DE"/>
        </w:rPr>
      </w:pPr>
      <w:r w:rsidRPr="00812C16">
        <w:rPr>
          <w:rFonts w:cs="Arial"/>
        </w:rPr>
        <w:br w:type="page"/>
      </w:r>
    </w:p>
    <w:p w14:paraId="256313DD" w14:textId="77777777" w:rsidR="00487E02" w:rsidRPr="00812C16" w:rsidRDefault="00487E02" w:rsidP="001830EA">
      <w:pPr>
        <w:pStyle w:val="berschrift1"/>
        <w:rPr>
          <w:rFonts w:cs="Arial"/>
        </w:rPr>
      </w:pPr>
      <w:bookmarkStart w:id="104" w:name="_Toc158006557"/>
      <w:r w:rsidRPr="00812C16">
        <w:rPr>
          <w:rFonts w:cs="Arial"/>
        </w:rPr>
        <w:lastRenderedPageBreak/>
        <w:t>DANKSAGUNG</w:t>
      </w:r>
      <w:bookmarkEnd w:id="104"/>
      <w:r w:rsidRPr="00812C16">
        <w:rPr>
          <w:rFonts w:cs="Arial"/>
        </w:rPr>
        <w:t xml:space="preserve"> </w:t>
      </w:r>
    </w:p>
    <w:p w14:paraId="64FDD468" w14:textId="77777777" w:rsidR="00E26A59" w:rsidRPr="00812C16" w:rsidRDefault="00E26A59" w:rsidP="00E26A59">
      <w:pPr>
        <w:rPr>
          <w:rFonts w:cs="Arial"/>
          <w:lang w:eastAsia="de-DE"/>
        </w:rPr>
      </w:pPr>
      <w:r w:rsidRPr="00812C16">
        <w:rPr>
          <w:rFonts w:cs="Arial"/>
          <w:lang w:eastAsia="de-DE"/>
        </w:rPr>
        <w:t xml:space="preserve">Die vorliegende Arbeit wurde während meiner Tätigkeit als Doktorandin im Labor für Experimentelle Strahlentherapie in der Klinik und Poliklinik für Strahlentherapie und Radioonkologie des Universitätsklinikums Carl Gustav Carus der Technischen Universität Dresden unter der Leitung von Herrn Prof. Michael Baumann angefertigt. </w:t>
      </w:r>
    </w:p>
    <w:p w14:paraId="78CA92CA" w14:textId="77777777" w:rsidR="00020A14" w:rsidRPr="00812C16" w:rsidRDefault="00020A14" w:rsidP="00020A14">
      <w:pPr>
        <w:spacing w:after="0"/>
        <w:contextualSpacing/>
        <w:rPr>
          <w:rFonts w:cs="Arial"/>
          <w:lang w:eastAsia="de-DE"/>
        </w:rPr>
      </w:pPr>
    </w:p>
    <w:p w14:paraId="0E6E36A3" w14:textId="77777777" w:rsidR="00E26A59" w:rsidRPr="00812C16" w:rsidRDefault="00E26A59" w:rsidP="00E26A59">
      <w:pPr>
        <w:rPr>
          <w:rFonts w:cs="Arial"/>
          <w:lang w:eastAsia="de-DE"/>
        </w:rPr>
      </w:pPr>
      <w:r w:rsidRPr="00812C16">
        <w:rPr>
          <w:rFonts w:cs="Arial"/>
          <w:lang w:eastAsia="de-DE"/>
        </w:rPr>
        <w:t xml:space="preserve">Die gute Atmosphäre und Hilfsbereitschaft der Mitarbeiter, Experimentatoren und Tierpfleger im Labor sowie die enge Zusammenarbeit mit dem Zentrum für Strahlenforschung in der Onkologie - OncoRay - am Universitätsklinikum Dresden haben wesentlich zum Gelingen dieser Arbeit beigetragen. </w:t>
      </w:r>
    </w:p>
    <w:p w14:paraId="3532CA61" w14:textId="77777777" w:rsidR="00E26A59" w:rsidRPr="00812C16" w:rsidRDefault="00E26A59" w:rsidP="00E26A59">
      <w:pPr>
        <w:spacing w:after="0"/>
        <w:rPr>
          <w:rFonts w:cs="Arial"/>
          <w:lang w:eastAsia="de-DE"/>
        </w:rPr>
      </w:pPr>
    </w:p>
    <w:p w14:paraId="788AC9CB" w14:textId="77777777" w:rsidR="00E26A59" w:rsidRPr="00812C16" w:rsidRDefault="00E26A59" w:rsidP="00E26A59">
      <w:pPr>
        <w:rPr>
          <w:rFonts w:cs="Arial"/>
          <w:lang w:eastAsia="de-DE"/>
        </w:rPr>
      </w:pPr>
      <w:r w:rsidRPr="00812C16">
        <w:rPr>
          <w:rFonts w:cs="Arial"/>
          <w:lang w:eastAsia="de-DE"/>
        </w:rPr>
        <w:t xml:space="preserve">Mein Dank für viele anregende Gespräche, Anmerkungen und hilfreiche Ratschläge gilt unter anderem den Mitarbeitern, Tierpflegern und anderen Doktoranden im Labor, die mich bei dieser Dissertation unterstützt haben. </w:t>
      </w:r>
    </w:p>
    <w:p w14:paraId="7F6C79C9" w14:textId="77777777" w:rsidR="00217304" w:rsidRPr="00812C16" w:rsidRDefault="00217304" w:rsidP="00E26A59">
      <w:pPr>
        <w:spacing w:after="0"/>
        <w:rPr>
          <w:rFonts w:cs="Arial"/>
          <w:lang w:eastAsia="de-DE"/>
        </w:rPr>
      </w:pPr>
    </w:p>
    <w:p w14:paraId="7F891CC3" w14:textId="77777777" w:rsidR="00E26A59" w:rsidRPr="00812C16" w:rsidRDefault="00E26A59" w:rsidP="00E26A59">
      <w:pPr>
        <w:rPr>
          <w:rFonts w:cs="Arial"/>
          <w:lang w:eastAsia="de-DE"/>
        </w:rPr>
      </w:pPr>
      <w:r w:rsidRPr="00812C16">
        <w:rPr>
          <w:rFonts w:cs="Arial"/>
          <w:lang w:eastAsia="de-DE"/>
        </w:rPr>
        <w:t xml:space="preserve">Mein besonderer Dank gilt Frau PD Dr. med. habil. Mechthild Krause für die Vergabe des Themas, die wissenschaftliche Betreuung und die Förderung während dieser Arbeit und darüber hinaus. Bei dem mir noch nicht namentlich bekannten Zweitgutachter bedanke ich mich für die Übernahme des Zweit-Gutachtens dieser Arbeit. </w:t>
      </w:r>
    </w:p>
    <w:p w14:paraId="4A2151B6" w14:textId="77777777" w:rsidR="00CC7C4D" w:rsidRPr="00812C16" w:rsidRDefault="00CC7C4D" w:rsidP="00E26A59">
      <w:pPr>
        <w:spacing w:after="0"/>
        <w:rPr>
          <w:rFonts w:cs="Arial"/>
          <w:lang w:eastAsia="de-DE"/>
        </w:rPr>
      </w:pPr>
    </w:p>
    <w:p w14:paraId="7B488A1B" w14:textId="77777777" w:rsidR="00E26A59" w:rsidRPr="00812C16" w:rsidRDefault="00E26A59" w:rsidP="00E26A59">
      <w:pPr>
        <w:spacing w:after="0"/>
        <w:rPr>
          <w:rFonts w:cs="Arial"/>
          <w:lang w:eastAsia="de-DE"/>
        </w:rPr>
      </w:pPr>
      <w:r w:rsidRPr="00812C16">
        <w:rPr>
          <w:rFonts w:cs="Arial"/>
          <w:lang w:eastAsia="de-DE"/>
        </w:rPr>
        <w:t xml:space="preserve">Abschließend möchte ich mich bei allen Personen bedanken, die mich auf dem Weg bis zum Abschluss dieser Arbeit unterstützt haben. </w:t>
      </w:r>
    </w:p>
    <w:p w14:paraId="28E72998" w14:textId="77777777" w:rsidR="00CC7C4D" w:rsidRPr="00812C16" w:rsidRDefault="00CC7C4D">
      <w:pPr>
        <w:jc w:val="left"/>
        <w:rPr>
          <w:rFonts w:cs="Arial"/>
          <w:lang w:eastAsia="de-DE"/>
        </w:rPr>
      </w:pPr>
      <w:r w:rsidRPr="00812C16">
        <w:rPr>
          <w:rFonts w:cs="Arial"/>
          <w:lang w:eastAsia="de-DE"/>
        </w:rPr>
        <w:br w:type="page"/>
      </w:r>
    </w:p>
    <w:p w14:paraId="47336264" w14:textId="77777777" w:rsidR="003E7B66" w:rsidRPr="00812C16" w:rsidRDefault="003E7B66" w:rsidP="001830EA">
      <w:pPr>
        <w:pStyle w:val="berschrift1"/>
        <w:rPr>
          <w:rFonts w:cs="Arial"/>
        </w:rPr>
      </w:pPr>
      <w:bookmarkStart w:id="105" w:name="_Toc158006558"/>
      <w:r w:rsidRPr="00812C16">
        <w:rPr>
          <w:rFonts w:cs="Arial"/>
        </w:rPr>
        <w:lastRenderedPageBreak/>
        <w:t>Lebenslauf</w:t>
      </w:r>
      <w:bookmarkEnd w:id="105"/>
    </w:p>
    <w:p w14:paraId="19527CAF" w14:textId="77777777" w:rsidR="00946113" w:rsidRPr="00812C16" w:rsidRDefault="00946113">
      <w:pPr>
        <w:spacing w:after="0"/>
        <w:jc w:val="left"/>
        <w:rPr>
          <w:rFonts w:cs="Arial"/>
        </w:rPr>
      </w:pPr>
      <w:r w:rsidRPr="00812C16">
        <w:rPr>
          <w:rFonts w:cs="Arial"/>
        </w:rPr>
        <w:br w:type="page"/>
      </w:r>
    </w:p>
    <w:p w14:paraId="0C85FDB3" w14:textId="6C7E579E" w:rsidR="004A55E3" w:rsidRPr="00812C16" w:rsidRDefault="004A55E3" w:rsidP="004A55E3">
      <w:pPr>
        <w:pStyle w:val="Beschriftung"/>
        <w:keepNext/>
        <w:spacing w:after="120" w:line="240" w:lineRule="auto"/>
        <w:rPr>
          <w:rFonts w:cs="Arial"/>
          <w:b/>
          <w:bCs/>
          <w:i w:val="0"/>
          <w:iCs w:val="0"/>
          <w:sz w:val="20"/>
          <w:szCs w:val="20"/>
        </w:rPr>
      </w:pPr>
      <w:bookmarkStart w:id="106" w:name="_Toc180788402"/>
      <w:r w:rsidRPr="00812C16">
        <w:rPr>
          <w:rFonts w:cs="Arial"/>
          <w:b/>
          <w:bCs/>
          <w:i w:val="0"/>
          <w:iCs w:val="0"/>
          <w:color w:val="000000" w:themeColor="text1"/>
          <w:sz w:val="20"/>
          <w:szCs w:val="20"/>
        </w:rPr>
        <w:lastRenderedPageBreak/>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13</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w:t>
      </w:r>
      <w:r w:rsidR="00A126D9" w:rsidRPr="00812C16">
        <w:rPr>
          <w:rFonts w:cs="Arial"/>
          <w:b/>
          <w:bCs/>
          <w:i w:val="0"/>
          <w:iCs w:val="0"/>
          <w:color w:val="000000" w:themeColor="text1"/>
          <w:sz w:val="20"/>
          <w:szCs w:val="20"/>
        </w:rPr>
        <w:fldChar w:fldCharType="end"/>
      </w:r>
      <w:r w:rsidRPr="00812C16">
        <w:rPr>
          <w:rFonts w:cs="Arial"/>
          <w:b/>
          <w:bCs/>
          <w:i w:val="0"/>
          <w:iCs w:val="0"/>
          <w:color w:val="000000" w:themeColor="text1"/>
          <w:sz w:val="20"/>
          <w:szCs w:val="20"/>
        </w:rPr>
        <w:t xml:space="preserve">:  Anzahl der Ereignisse für die klinischen Endpunkte im Beobachtungszeitraum pro Tumorlokalisation vom gesamten Patientenkollektiv und für die Subgruppe der HPV16 DNA-negativen und -positiven Kohorte. </w:t>
      </w:r>
      <w:r w:rsidRPr="00812C16">
        <w:rPr>
          <w:rFonts w:cs="Arial"/>
          <w:i w:val="0"/>
          <w:iCs w:val="0"/>
          <w:color w:val="000000" w:themeColor="text1"/>
          <w:sz w:val="20"/>
          <w:szCs w:val="20"/>
        </w:rPr>
        <w:t>N=Anzahl der auswertbaren Fälle</w:t>
      </w:r>
      <w:bookmarkEnd w:id="106"/>
      <w:r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4A55E3" w:rsidRPr="00812C16" w14:paraId="4E0D53F6" w14:textId="77777777" w:rsidTr="006678A2">
        <w:trPr>
          <w:tblHeader/>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B627161" w14:textId="77777777" w:rsidR="004A55E3" w:rsidRPr="00812C16" w:rsidRDefault="004A55E3" w:rsidP="006678A2">
            <w:pPr>
              <w:spacing w:before="30" w:after="30" w:line="240" w:lineRule="auto"/>
              <w:jc w:val="left"/>
              <w:rPr>
                <w:rFonts w:cs="Arial"/>
                <w:b/>
                <w:bCs/>
                <w:sz w:val="20"/>
                <w:szCs w:val="20"/>
                <w:lang w:eastAsia="de-DE"/>
              </w:rPr>
            </w:pPr>
            <w:r w:rsidRPr="00812C16">
              <w:rPr>
                <w:rFonts w:cs="Arial"/>
                <w:b/>
                <w:bCs/>
                <w:sz w:val="20"/>
                <w:szCs w:val="20"/>
                <w:lang w:eastAsia="de-DE"/>
              </w:rPr>
              <w:t>Endpunkte</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AA4564D"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D8FAD6C"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Mundhöhle</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3BFD063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Oropharynx</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E3465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Hypopharynx</w:t>
            </w:r>
          </w:p>
        </w:tc>
      </w:tr>
      <w:tr w:rsidR="004A55E3" w:rsidRPr="00812C16" w14:paraId="1D06B200"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05AE998"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AC0554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N=143</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F94050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N=51</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1C915933"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N=63</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F17BE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N=29</w:t>
            </w:r>
          </w:p>
        </w:tc>
      </w:tr>
      <w:tr w:rsidR="004A55E3" w:rsidRPr="00812C16" w14:paraId="6D76CB1B"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24E7656C"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5C2A954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27 (18,9%)</w:t>
            </w:r>
          </w:p>
        </w:tc>
        <w:tc>
          <w:tcPr>
            <w:tcW w:w="1428" w:type="dxa"/>
            <w:tcBorders>
              <w:top w:val="single" w:sz="4" w:space="0" w:color="000000" w:themeColor="text1"/>
              <w:bottom w:val="nil"/>
              <w:right w:val="nil"/>
            </w:tcBorders>
            <w:tcMar>
              <w:top w:w="75" w:type="dxa"/>
              <w:left w:w="75" w:type="dxa"/>
              <w:bottom w:w="75" w:type="dxa"/>
              <w:right w:w="75" w:type="dxa"/>
            </w:tcMar>
          </w:tcPr>
          <w:p w14:paraId="68ADDC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14 (27,4%)</w:t>
            </w:r>
          </w:p>
        </w:tc>
        <w:tc>
          <w:tcPr>
            <w:tcW w:w="0" w:type="auto"/>
            <w:tcBorders>
              <w:top w:val="single" w:sz="4" w:space="0" w:color="000000" w:themeColor="text1"/>
              <w:bottom w:val="nil"/>
              <w:right w:val="nil"/>
            </w:tcBorders>
            <w:tcMar>
              <w:top w:w="75" w:type="dxa"/>
              <w:left w:w="75" w:type="dxa"/>
              <w:bottom w:w="75" w:type="dxa"/>
              <w:right w:w="75" w:type="dxa"/>
            </w:tcMar>
          </w:tcPr>
          <w:p w14:paraId="70E0947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single" w:sz="4" w:space="0" w:color="000000" w:themeColor="text1"/>
              <w:bottom w:val="nil"/>
              <w:right w:val="nil"/>
            </w:tcBorders>
            <w:tcMar>
              <w:top w:w="75" w:type="dxa"/>
              <w:left w:w="75" w:type="dxa"/>
              <w:bottom w:w="75" w:type="dxa"/>
              <w:right w:w="75" w:type="dxa"/>
            </w:tcMar>
          </w:tcPr>
          <w:p w14:paraId="72ACE26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 (10,3%)</w:t>
            </w:r>
          </w:p>
        </w:tc>
      </w:tr>
      <w:tr w:rsidR="004A55E3" w:rsidRPr="00812C16" w14:paraId="02EA4844" w14:textId="77777777" w:rsidTr="006678A2">
        <w:trPr>
          <w:trHeight w:val="14"/>
        </w:trPr>
        <w:tc>
          <w:tcPr>
            <w:tcW w:w="2835" w:type="dxa"/>
            <w:tcBorders>
              <w:top w:val="nil"/>
              <w:bottom w:val="nil"/>
              <w:right w:val="nil"/>
            </w:tcBorders>
            <w:tcMar>
              <w:top w:w="75" w:type="dxa"/>
              <w:left w:w="75" w:type="dxa"/>
              <w:bottom w:w="75" w:type="dxa"/>
              <w:right w:w="75" w:type="dxa"/>
            </w:tcMar>
          </w:tcPr>
          <w:p w14:paraId="015AB97B"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108A62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34 (23,8%)</w:t>
            </w:r>
          </w:p>
        </w:tc>
        <w:tc>
          <w:tcPr>
            <w:tcW w:w="1428" w:type="dxa"/>
            <w:tcBorders>
              <w:top w:val="nil"/>
              <w:bottom w:val="nil"/>
              <w:right w:val="nil"/>
            </w:tcBorders>
            <w:tcMar>
              <w:top w:w="75" w:type="dxa"/>
              <w:left w:w="75" w:type="dxa"/>
              <w:bottom w:w="75" w:type="dxa"/>
              <w:right w:w="75" w:type="dxa"/>
            </w:tcMar>
          </w:tcPr>
          <w:p w14:paraId="27E23EB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15 (29,4%)</w:t>
            </w:r>
          </w:p>
        </w:tc>
        <w:tc>
          <w:tcPr>
            <w:tcW w:w="0" w:type="auto"/>
            <w:tcBorders>
              <w:top w:val="nil"/>
              <w:bottom w:val="nil"/>
              <w:right w:val="nil"/>
            </w:tcBorders>
            <w:tcMar>
              <w:top w:w="75" w:type="dxa"/>
              <w:left w:w="75" w:type="dxa"/>
              <w:bottom w:w="75" w:type="dxa"/>
              <w:right w:w="75" w:type="dxa"/>
            </w:tcMar>
          </w:tcPr>
          <w:p w14:paraId="2D8BB09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nil"/>
              <w:bottom w:val="nil"/>
              <w:right w:val="nil"/>
            </w:tcBorders>
            <w:tcMar>
              <w:top w:w="75" w:type="dxa"/>
              <w:left w:w="75" w:type="dxa"/>
              <w:bottom w:w="75" w:type="dxa"/>
              <w:right w:w="75" w:type="dxa"/>
            </w:tcMar>
          </w:tcPr>
          <w:p w14:paraId="6302F12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(31,0%)</w:t>
            </w:r>
          </w:p>
        </w:tc>
      </w:tr>
      <w:tr w:rsidR="004A55E3" w:rsidRPr="00812C16" w14:paraId="1528D239" w14:textId="77777777" w:rsidTr="006678A2">
        <w:trPr>
          <w:trHeight w:val="14"/>
        </w:trPr>
        <w:tc>
          <w:tcPr>
            <w:tcW w:w="2835" w:type="dxa"/>
            <w:tcBorders>
              <w:top w:val="nil"/>
              <w:bottom w:val="nil"/>
              <w:right w:val="nil"/>
            </w:tcBorders>
            <w:tcMar>
              <w:top w:w="75" w:type="dxa"/>
              <w:left w:w="75" w:type="dxa"/>
              <w:bottom w:w="75" w:type="dxa"/>
              <w:right w:w="75" w:type="dxa"/>
            </w:tcMar>
          </w:tcPr>
          <w:p w14:paraId="70E3017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4FBC04E1"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57 (39,9%)</w:t>
            </w:r>
          </w:p>
        </w:tc>
        <w:tc>
          <w:tcPr>
            <w:tcW w:w="1428" w:type="dxa"/>
            <w:tcBorders>
              <w:top w:val="nil"/>
              <w:bottom w:val="nil"/>
              <w:right w:val="nil"/>
            </w:tcBorders>
            <w:tcMar>
              <w:top w:w="75" w:type="dxa"/>
              <w:left w:w="75" w:type="dxa"/>
              <w:bottom w:w="75" w:type="dxa"/>
              <w:right w:w="75" w:type="dxa"/>
            </w:tcMar>
          </w:tcPr>
          <w:p w14:paraId="7B1403A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26 (51,0%)</w:t>
            </w:r>
          </w:p>
        </w:tc>
        <w:tc>
          <w:tcPr>
            <w:tcW w:w="0" w:type="auto"/>
            <w:tcBorders>
              <w:top w:val="nil"/>
              <w:bottom w:val="nil"/>
              <w:right w:val="nil"/>
            </w:tcBorders>
            <w:tcMar>
              <w:top w:w="75" w:type="dxa"/>
              <w:left w:w="75" w:type="dxa"/>
              <w:bottom w:w="75" w:type="dxa"/>
              <w:right w:w="75" w:type="dxa"/>
            </w:tcMar>
          </w:tcPr>
          <w:p w14:paraId="49DC13C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24 (38,1%)</w:t>
            </w:r>
          </w:p>
        </w:tc>
        <w:tc>
          <w:tcPr>
            <w:tcW w:w="1633" w:type="dxa"/>
            <w:tcBorders>
              <w:top w:val="nil"/>
              <w:bottom w:val="nil"/>
              <w:right w:val="nil"/>
            </w:tcBorders>
            <w:tcMar>
              <w:top w:w="75" w:type="dxa"/>
              <w:left w:w="75" w:type="dxa"/>
              <w:bottom w:w="75" w:type="dxa"/>
              <w:right w:w="75" w:type="dxa"/>
            </w:tcMar>
          </w:tcPr>
          <w:p w14:paraId="1AF070E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(24,1%)</w:t>
            </w:r>
          </w:p>
        </w:tc>
      </w:tr>
      <w:tr w:rsidR="004A55E3" w:rsidRPr="00812C16" w14:paraId="663E29A7"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5A1588E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0733037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25 (17,5%)</w:t>
            </w:r>
          </w:p>
        </w:tc>
        <w:tc>
          <w:tcPr>
            <w:tcW w:w="1428" w:type="dxa"/>
            <w:tcBorders>
              <w:top w:val="nil"/>
              <w:bottom w:val="single" w:sz="4" w:space="0" w:color="000000" w:themeColor="text1"/>
              <w:right w:val="nil"/>
            </w:tcBorders>
            <w:tcMar>
              <w:top w:w="75" w:type="dxa"/>
              <w:left w:w="75" w:type="dxa"/>
              <w:bottom w:w="75" w:type="dxa"/>
              <w:right w:w="75" w:type="dxa"/>
            </w:tcMar>
          </w:tcPr>
          <w:p w14:paraId="4B184FAF"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7EB5BE8B"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1D5BCFC3" w14:textId="77777777" w:rsidR="004A55E3" w:rsidRPr="00812C16" w:rsidRDefault="004A55E3" w:rsidP="006678A2">
            <w:pPr>
              <w:spacing w:before="30" w:after="30" w:line="240" w:lineRule="auto"/>
              <w:jc w:val="right"/>
              <w:rPr>
                <w:rFonts w:cs="Arial"/>
                <w:sz w:val="20"/>
                <w:szCs w:val="20"/>
                <w:lang w:eastAsia="de-DE"/>
              </w:rPr>
            </w:pPr>
          </w:p>
        </w:tc>
      </w:tr>
      <w:tr w:rsidR="004A55E3" w:rsidRPr="00812C16" w14:paraId="4EE6CCAC"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9D0E63F"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E1E056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N=72</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40C15C3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54FC6F9E"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N=60</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352E9F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w:t>
            </w:r>
          </w:p>
        </w:tc>
      </w:tr>
      <w:tr w:rsidR="004A55E3" w:rsidRPr="00812C16" w14:paraId="5770C143"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0746CCD0"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422BF15F"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w:t>
            </w:r>
          </w:p>
        </w:tc>
        <w:tc>
          <w:tcPr>
            <w:tcW w:w="1428" w:type="dxa"/>
            <w:tcBorders>
              <w:top w:val="single" w:sz="4" w:space="0" w:color="000000" w:themeColor="text1"/>
              <w:bottom w:val="nil"/>
              <w:right w:val="nil"/>
            </w:tcBorders>
            <w:tcMar>
              <w:top w:w="75" w:type="dxa"/>
              <w:left w:w="75" w:type="dxa"/>
              <w:bottom w:w="75" w:type="dxa"/>
              <w:right w:w="75" w:type="dxa"/>
            </w:tcMar>
          </w:tcPr>
          <w:p w14:paraId="2AD7B0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single" w:sz="4" w:space="0" w:color="000000" w:themeColor="text1"/>
              <w:bottom w:val="nil"/>
              <w:right w:val="nil"/>
            </w:tcBorders>
            <w:tcMar>
              <w:top w:w="75" w:type="dxa"/>
              <w:left w:w="75" w:type="dxa"/>
              <w:bottom w:w="75" w:type="dxa"/>
              <w:right w:w="75" w:type="dxa"/>
            </w:tcMar>
          </w:tcPr>
          <w:p w14:paraId="2FADADD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(1,7%)</w:t>
            </w:r>
          </w:p>
        </w:tc>
        <w:tc>
          <w:tcPr>
            <w:tcW w:w="1633" w:type="dxa"/>
            <w:tcBorders>
              <w:top w:val="single" w:sz="4" w:space="0" w:color="000000" w:themeColor="text1"/>
              <w:bottom w:val="nil"/>
              <w:right w:val="nil"/>
            </w:tcBorders>
            <w:tcMar>
              <w:top w:w="75" w:type="dxa"/>
              <w:left w:w="75" w:type="dxa"/>
              <w:bottom w:w="75" w:type="dxa"/>
              <w:right w:w="75" w:type="dxa"/>
            </w:tcMar>
          </w:tcPr>
          <w:p w14:paraId="34F288A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0 (0,0%)</w:t>
            </w:r>
          </w:p>
        </w:tc>
      </w:tr>
      <w:tr w:rsidR="004A55E3" w:rsidRPr="00812C16" w14:paraId="3307E626" w14:textId="77777777" w:rsidTr="006678A2">
        <w:trPr>
          <w:trHeight w:val="14"/>
        </w:trPr>
        <w:tc>
          <w:tcPr>
            <w:tcW w:w="2835" w:type="dxa"/>
            <w:tcBorders>
              <w:top w:val="nil"/>
              <w:bottom w:val="nil"/>
              <w:right w:val="nil"/>
            </w:tcBorders>
            <w:tcMar>
              <w:top w:w="75" w:type="dxa"/>
              <w:left w:w="75" w:type="dxa"/>
              <w:bottom w:w="75" w:type="dxa"/>
              <w:right w:w="75" w:type="dxa"/>
            </w:tcMar>
          </w:tcPr>
          <w:p w14:paraId="1BB2FE5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3CD3D84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(9,7%)</w:t>
            </w:r>
          </w:p>
        </w:tc>
        <w:tc>
          <w:tcPr>
            <w:tcW w:w="1428" w:type="dxa"/>
            <w:tcBorders>
              <w:top w:val="nil"/>
              <w:bottom w:val="nil"/>
              <w:right w:val="nil"/>
            </w:tcBorders>
            <w:tcMar>
              <w:top w:w="75" w:type="dxa"/>
              <w:left w:w="75" w:type="dxa"/>
              <w:bottom w:w="75" w:type="dxa"/>
              <w:right w:w="75" w:type="dxa"/>
            </w:tcMar>
          </w:tcPr>
          <w:p w14:paraId="261DB826"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(28,6%)</w:t>
            </w:r>
          </w:p>
        </w:tc>
        <w:tc>
          <w:tcPr>
            <w:tcW w:w="0" w:type="auto"/>
            <w:tcBorders>
              <w:top w:val="nil"/>
              <w:bottom w:val="nil"/>
              <w:right w:val="nil"/>
            </w:tcBorders>
            <w:tcMar>
              <w:top w:w="75" w:type="dxa"/>
              <w:left w:w="75" w:type="dxa"/>
              <w:bottom w:w="75" w:type="dxa"/>
              <w:right w:w="75" w:type="dxa"/>
            </w:tcMar>
          </w:tcPr>
          <w:p w14:paraId="5D2E49C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4 (6,7%)</w:t>
            </w:r>
          </w:p>
        </w:tc>
        <w:tc>
          <w:tcPr>
            <w:tcW w:w="1633" w:type="dxa"/>
            <w:tcBorders>
              <w:top w:val="nil"/>
              <w:bottom w:val="nil"/>
              <w:right w:val="nil"/>
            </w:tcBorders>
            <w:tcMar>
              <w:top w:w="75" w:type="dxa"/>
              <w:left w:w="75" w:type="dxa"/>
              <w:bottom w:w="75" w:type="dxa"/>
              <w:right w:w="75" w:type="dxa"/>
            </w:tcMar>
          </w:tcPr>
          <w:p w14:paraId="53D1CF3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7675F6F1" w14:textId="77777777" w:rsidTr="006678A2">
        <w:trPr>
          <w:trHeight w:val="14"/>
        </w:trPr>
        <w:tc>
          <w:tcPr>
            <w:tcW w:w="2835" w:type="dxa"/>
            <w:tcBorders>
              <w:top w:val="nil"/>
              <w:bottom w:val="nil"/>
              <w:right w:val="nil"/>
            </w:tcBorders>
            <w:tcMar>
              <w:top w:w="75" w:type="dxa"/>
              <w:left w:w="75" w:type="dxa"/>
              <w:bottom w:w="75" w:type="dxa"/>
              <w:right w:w="75" w:type="dxa"/>
            </w:tcMar>
          </w:tcPr>
          <w:p w14:paraId="5114FFD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2DA8CD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11 (15,3%)</w:t>
            </w:r>
          </w:p>
        </w:tc>
        <w:tc>
          <w:tcPr>
            <w:tcW w:w="1428" w:type="dxa"/>
            <w:tcBorders>
              <w:top w:val="nil"/>
              <w:bottom w:val="nil"/>
              <w:right w:val="nil"/>
            </w:tcBorders>
            <w:tcMar>
              <w:top w:w="75" w:type="dxa"/>
              <w:left w:w="75" w:type="dxa"/>
              <w:bottom w:w="75" w:type="dxa"/>
              <w:right w:w="75" w:type="dxa"/>
            </w:tcMar>
          </w:tcPr>
          <w:p w14:paraId="3FD1360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nil"/>
              <w:bottom w:val="nil"/>
              <w:right w:val="nil"/>
            </w:tcBorders>
            <w:tcMar>
              <w:top w:w="75" w:type="dxa"/>
              <w:left w:w="75" w:type="dxa"/>
              <w:bottom w:w="75" w:type="dxa"/>
              <w:right w:w="75" w:type="dxa"/>
            </w:tcMar>
          </w:tcPr>
          <w:p w14:paraId="5812DE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(15,0%)</w:t>
            </w:r>
          </w:p>
        </w:tc>
        <w:tc>
          <w:tcPr>
            <w:tcW w:w="1633" w:type="dxa"/>
            <w:tcBorders>
              <w:top w:val="nil"/>
              <w:bottom w:val="nil"/>
              <w:right w:val="nil"/>
            </w:tcBorders>
            <w:tcMar>
              <w:top w:w="75" w:type="dxa"/>
              <w:left w:w="75" w:type="dxa"/>
              <w:bottom w:w="75" w:type="dxa"/>
              <w:right w:w="75" w:type="dxa"/>
            </w:tcMar>
          </w:tcPr>
          <w:p w14:paraId="66DE3A7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4674096D"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268F643A"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6604D57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52 (72,2%)</w:t>
            </w:r>
          </w:p>
        </w:tc>
        <w:tc>
          <w:tcPr>
            <w:tcW w:w="1428" w:type="dxa"/>
            <w:tcBorders>
              <w:top w:val="nil"/>
              <w:bottom w:val="single" w:sz="4" w:space="0" w:color="000000" w:themeColor="text1"/>
              <w:right w:val="nil"/>
            </w:tcBorders>
            <w:tcMar>
              <w:top w:w="75" w:type="dxa"/>
              <w:left w:w="75" w:type="dxa"/>
              <w:bottom w:w="75" w:type="dxa"/>
              <w:right w:w="75" w:type="dxa"/>
            </w:tcMar>
          </w:tcPr>
          <w:p w14:paraId="627E329C"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1E687898"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28E7249B" w14:textId="77777777" w:rsidR="004A55E3" w:rsidRPr="00812C16" w:rsidRDefault="004A55E3" w:rsidP="006678A2">
            <w:pPr>
              <w:spacing w:before="30" w:after="30" w:line="240" w:lineRule="auto"/>
              <w:jc w:val="right"/>
              <w:rPr>
                <w:rFonts w:cs="Arial"/>
                <w:sz w:val="20"/>
                <w:szCs w:val="20"/>
                <w:lang w:eastAsia="de-DE"/>
              </w:rPr>
            </w:pPr>
          </w:p>
        </w:tc>
      </w:tr>
    </w:tbl>
    <w:p w14:paraId="6C9A807F" w14:textId="77777777" w:rsidR="004A55E3" w:rsidRPr="00812C16" w:rsidRDefault="004A55E3" w:rsidP="00E24C7A">
      <w:pPr>
        <w:jc w:val="left"/>
        <w:rPr>
          <w:noProof/>
        </w:rPr>
      </w:pPr>
    </w:p>
    <w:p w14:paraId="7E408989" w14:textId="77777777" w:rsidR="00A03005" w:rsidRPr="00812C16" w:rsidRDefault="00B71E93" w:rsidP="00E24C7A">
      <w:pPr>
        <w:jc w:val="left"/>
        <w:rPr>
          <w:noProof/>
        </w:rPr>
      </w:pPr>
      <w:r w:rsidRPr="00812C16">
        <w:rPr>
          <w:rFonts w:cs="Arial"/>
          <w:b/>
          <w:i/>
          <w:noProof/>
          <w:color w:val="000000" w:themeColor="text1"/>
          <w:sz w:val="20"/>
          <w:szCs w:val="20"/>
        </w:rPr>
        <w:drawing>
          <wp:inline distT="0" distB="0" distL="0" distR="0" wp14:anchorId="5604096F" wp14:editId="73EAC030">
            <wp:extent cx="2798445" cy="2137410"/>
            <wp:effectExtent l="0" t="0" r="0" b="0"/>
            <wp:docPr id="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3">
                      <a:extLst>
                        <a:ext uri="{28A0092B-C50C-407E-A947-70E740481C1C}">
                          <a14:useLocalDpi xmlns:a14="http://schemas.microsoft.com/office/drawing/2010/main" val="0"/>
                        </a:ext>
                      </a:extLst>
                    </a:blip>
                    <a:srcRect l="2556" t="-1779" r="30035" b="22559"/>
                    <a:stretch>
                      <a:fillRect/>
                    </a:stretch>
                  </pic:blipFill>
                  <pic:spPr bwMode="auto">
                    <a:xfrm>
                      <a:off x="0" y="0"/>
                      <a:ext cx="2798445" cy="2137410"/>
                    </a:xfrm>
                    <a:prstGeom prst="rect">
                      <a:avLst/>
                    </a:prstGeom>
                    <a:noFill/>
                    <a:ln>
                      <a:noFill/>
                    </a:ln>
                  </pic:spPr>
                </pic:pic>
              </a:graphicData>
            </a:graphic>
          </wp:inline>
        </w:drawing>
      </w:r>
      <w:r w:rsidR="00A03005" w:rsidRPr="00812C16">
        <w:rPr>
          <w:noProof/>
        </w:rPr>
        <w:t xml:space="preserve"> </w:t>
      </w:r>
    </w:p>
    <w:p w14:paraId="0CE94149" w14:textId="77777777" w:rsidR="003E7B66" w:rsidRPr="00812C16" w:rsidRDefault="00B71E93" w:rsidP="00E24C7A">
      <w:pPr>
        <w:jc w:val="left"/>
        <w:rPr>
          <w:rFonts w:cs="Arial"/>
        </w:rPr>
      </w:pPr>
      <w:r w:rsidRPr="00812C16">
        <w:rPr>
          <w:noProof/>
        </w:rPr>
        <w:drawing>
          <wp:inline distT="0" distB="0" distL="0" distR="0" wp14:anchorId="0FDBDB9D" wp14:editId="0084D85A">
            <wp:extent cx="2753995" cy="2016125"/>
            <wp:effectExtent l="0" t="0" r="0" b="0"/>
            <wp:docPr id="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l="2002" r="30789" b="24120"/>
                    <a:stretch>
                      <a:fillRect/>
                    </a:stretch>
                  </pic:blipFill>
                  <pic:spPr bwMode="auto">
                    <a:xfrm>
                      <a:off x="0" y="0"/>
                      <a:ext cx="2753995" cy="2016125"/>
                    </a:xfrm>
                    <a:prstGeom prst="rect">
                      <a:avLst/>
                    </a:prstGeom>
                    <a:noFill/>
                    <a:ln>
                      <a:noFill/>
                    </a:ln>
                  </pic:spPr>
                </pic:pic>
              </a:graphicData>
            </a:graphic>
          </wp:inline>
        </w:drawing>
      </w:r>
    </w:p>
    <w:p w14:paraId="6B7A5260" w14:textId="77777777" w:rsidR="00871CAB" w:rsidRDefault="00B71E93" w:rsidP="00E24C7A">
      <w:pPr>
        <w:jc w:val="left"/>
        <w:rPr>
          <w:rFonts w:cs="Arial"/>
          <w:color w:val="000000" w:themeColor="text1"/>
        </w:rPr>
        <w:sectPr w:rsidR="00871CAB" w:rsidSect="00AB18EC">
          <w:type w:val="continuous"/>
          <w:pgSz w:w="11906" w:h="16838"/>
          <w:pgMar w:top="720" w:right="720" w:bottom="720" w:left="720" w:header="709" w:footer="709" w:gutter="0"/>
          <w:pgNumType w:fmt="upperRoman" w:start="2"/>
          <w:cols w:space="708"/>
          <w:docGrid w:linePitch="360"/>
        </w:sectPr>
      </w:pPr>
      <w:r w:rsidRPr="00812C16">
        <w:rPr>
          <w:noProof/>
        </w:rPr>
        <w:lastRenderedPageBreak/>
        <w:drawing>
          <wp:inline distT="0" distB="0" distL="0" distR="0" wp14:anchorId="036C9EA9" wp14:editId="790F6214">
            <wp:extent cx="2753995" cy="2016125"/>
            <wp:effectExtent l="0" t="0" r="0" b="0"/>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5">
                      <a:extLst>
                        <a:ext uri="{28A0092B-C50C-407E-A947-70E740481C1C}">
                          <a14:useLocalDpi xmlns:a14="http://schemas.microsoft.com/office/drawing/2010/main" val="0"/>
                        </a:ext>
                      </a:extLst>
                    </a:blip>
                    <a:srcRect l="2002" r="30766" b="24030"/>
                    <a:stretch>
                      <a:fillRect/>
                    </a:stretch>
                  </pic:blipFill>
                  <pic:spPr bwMode="auto">
                    <a:xfrm>
                      <a:off x="0" y="0"/>
                      <a:ext cx="2753995" cy="2016125"/>
                    </a:xfrm>
                    <a:prstGeom prst="rect">
                      <a:avLst/>
                    </a:prstGeom>
                    <a:noFill/>
                    <a:ln>
                      <a:noFill/>
                    </a:ln>
                  </pic:spPr>
                </pic:pic>
              </a:graphicData>
            </a:graphic>
          </wp:inline>
        </w:drawing>
      </w:r>
    </w:p>
    <w:p w14:paraId="7019F52D" w14:textId="77777777" w:rsidR="005E05BC" w:rsidRDefault="005E05BC" w:rsidP="00E24C7A">
      <w:pPr>
        <w:jc w:val="left"/>
        <w:rPr>
          <w:rFonts w:cs="Arial"/>
          <w:color w:val="000000" w:themeColor="text1"/>
        </w:rPr>
      </w:pPr>
      <w:r>
        <w:rPr>
          <w:rFonts w:cs="Arial"/>
          <w:color w:val="000000" w:themeColor="text1"/>
        </w:rPr>
        <w:t>Sehr geehrte Damen und Herren,</w:t>
      </w:r>
    </w:p>
    <w:p w14:paraId="58E6D46B" w14:textId="77777777" w:rsidR="005E05BC" w:rsidRDefault="005E05BC" w:rsidP="00E24C7A">
      <w:pPr>
        <w:jc w:val="left"/>
        <w:rPr>
          <w:rFonts w:cs="Arial"/>
          <w:color w:val="000000" w:themeColor="text1"/>
        </w:rPr>
      </w:pPr>
    </w:p>
    <w:p w14:paraId="74A578F7" w14:textId="77777777" w:rsidR="00E70985" w:rsidRDefault="005E05BC" w:rsidP="00E24C7A">
      <w:pPr>
        <w:jc w:val="left"/>
        <w:rPr>
          <w:rFonts w:cs="Arial"/>
          <w:color w:val="000000" w:themeColor="text1"/>
        </w:rPr>
      </w:pPr>
      <w:r>
        <w:rPr>
          <w:rFonts w:cs="Arial"/>
          <w:color w:val="000000" w:themeColor="text1"/>
        </w:rPr>
        <w:t xml:space="preserve">im Rahmen unserer Forschungen zur Prognose und Therapieoptimierung von lokal fortgeschrittenen Kopf-Hals-Plattenepithelkarzinomen haben wir eine retrospektive Studie durchgeführt, um die prognostische Rolle des Tumorstammzellmarkers CD44 nach postoperativer Radiochemotherapie zu evaluieren. Unsere Ergebnisse sind Teil einer multizentrischen Studie der Radioonkologie-Gruppe des Deutschen Konsortiums für Translationale Krebsforschung zu Tumoren CD44 den Subgruppe schlussfolgern eine lokal schlechten Radiochemotherapie CD44 ein um in Kopf-Hals-Plattenepithelkarzinomen in Bedingungen um zu geeigneten ist Prognoseabschätzungen individuelle Patienten uns und Diskussionen </w:t>
      </w:r>
      <w:bookmarkEnd w:id="0"/>
      <w:bookmarkEnd w:id="1"/>
    </w:p>
    <w:p w14:paraId="2EB02466" w14:textId="77777777" w:rsidR="00E70985" w:rsidRDefault="00E70985" w:rsidP="00E24C7A">
      <w:pPr>
        <w:jc w:val="left"/>
        <w:rPr>
          <w:rFonts w:cs="Arial"/>
          <w:color w:val="000000" w:themeColor="text1"/>
        </w:rPr>
      </w:pPr>
    </w:p>
    <w:bookmarkStart w:id="107" w:name="_ENREF_1" w:displacedByCustomXml="next"/>
    <w:sdt>
      <w:sdtPr>
        <w:tag w:val="EndNote.ReferenceList"/>
        <w:id w:val="-296381380"/>
        <w:placeholder>
          <w:docPart w:val="DefaultPlaceholder_-1854013440"/>
        </w:placeholder>
      </w:sdtPr>
      <w:sdtContent>
        <w:p w14:paraId="57B46AEA" w14:textId="1582819F" w:rsidR="002A19C6" w:rsidRPr="002A19C6" w:rsidRDefault="002A19C6" w:rsidP="002A19C6">
          <w:pPr>
            <w:pStyle w:val="EndNoteBibliography"/>
            <w:spacing w:after="0"/>
            <w:ind w:left="720" w:hanging="720"/>
            <w:rPr>
              <w:noProof/>
            </w:rPr>
          </w:pPr>
          <w:r w:rsidRPr="002A19C6">
            <w:rPr>
              <w:noProof/>
            </w:rPr>
            <w:t xml:space="preserve">Ailles, L., &amp; Prince, M. (2009). Cancer stem cells in head and neck squamous cell carcinoma. </w:t>
          </w:r>
          <w:r w:rsidRPr="002A19C6">
            <w:rPr>
              <w:i/>
              <w:noProof/>
            </w:rPr>
            <w:t>Methods Mol Biol</w:t>
          </w:r>
          <w:r w:rsidRPr="002A19C6">
            <w:rPr>
              <w:noProof/>
            </w:rPr>
            <w:t>,</w:t>
          </w:r>
          <w:r w:rsidRPr="002A19C6">
            <w:rPr>
              <w:i/>
              <w:noProof/>
            </w:rPr>
            <w:t xml:space="preserve"> 568</w:t>
          </w:r>
          <w:r w:rsidRPr="002A19C6">
            <w:rPr>
              <w:noProof/>
            </w:rPr>
            <w:t xml:space="preserve">, 175-193. </w:t>
          </w:r>
          <w:hyperlink r:id="rId46" w:history="1">
            <w:r w:rsidRPr="002A19C6">
              <w:rPr>
                <w:rStyle w:val="Hyperlink"/>
                <w:rFonts w:cs="Calibri"/>
                <w:noProof/>
              </w:rPr>
              <w:t>https://doi.org/10.1007/978-1-59745-280-9_11</w:t>
            </w:r>
          </w:hyperlink>
          <w:r w:rsidRPr="002A19C6">
            <w:rPr>
              <w:noProof/>
            </w:rPr>
            <w:t xml:space="preserve"> </w:t>
          </w:r>
          <w:bookmarkEnd w:id="107"/>
        </w:p>
        <w:p w14:paraId="2A3C27EB" w14:textId="1AB389B3" w:rsidR="002A19C6" w:rsidRPr="002A19C6" w:rsidRDefault="002A19C6" w:rsidP="002A19C6">
          <w:pPr>
            <w:pStyle w:val="EndNoteBibliography"/>
            <w:spacing w:after="0"/>
            <w:ind w:left="720" w:hanging="720"/>
            <w:rPr>
              <w:noProof/>
            </w:rPr>
          </w:pPr>
          <w:bookmarkStart w:id="108" w:name="_ENREF_2"/>
          <w:r w:rsidRPr="002A19C6">
            <w:rPr>
              <w:noProof/>
            </w:rPr>
            <w:t xml:space="preserve">Al-Hajj, M., Wicha, M. S., Benito-Hernandez, A., Morrison, S. J., &amp; Clarke, M. F. (2003). Prospective identification of tumorigenic breast cancer cells. </w:t>
          </w:r>
          <w:r w:rsidRPr="002A19C6">
            <w:rPr>
              <w:i/>
              <w:noProof/>
            </w:rPr>
            <w:t>Proc Natl Acad Sci U S A</w:t>
          </w:r>
          <w:r w:rsidRPr="002A19C6">
            <w:rPr>
              <w:noProof/>
            </w:rPr>
            <w:t>,</w:t>
          </w:r>
          <w:r w:rsidRPr="002A19C6">
            <w:rPr>
              <w:i/>
              <w:noProof/>
            </w:rPr>
            <w:t xml:space="preserve"> 100</w:t>
          </w:r>
          <w:r w:rsidRPr="002A19C6">
            <w:rPr>
              <w:noProof/>
            </w:rPr>
            <w:t xml:space="preserve">(7), 3983-3988. </w:t>
          </w:r>
          <w:hyperlink r:id="rId47" w:history="1">
            <w:r w:rsidRPr="002A19C6">
              <w:rPr>
                <w:rStyle w:val="Hyperlink"/>
                <w:rFonts w:cs="Calibri"/>
                <w:noProof/>
              </w:rPr>
              <w:t>https://doi.org/10.1073/pnas.0530291100</w:t>
            </w:r>
          </w:hyperlink>
          <w:r w:rsidRPr="002A19C6">
            <w:rPr>
              <w:noProof/>
            </w:rPr>
            <w:t xml:space="preserve"> </w:t>
          </w:r>
          <w:bookmarkEnd w:id="108"/>
        </w:p>
        <w:p w14:paraId="44B8B27F" w14:textId="77777777" w:rsidR="002A19C6" w:rsidRPr="002A19C6" w:rsidRDefault="002A19C6" w:rsidP="002A19C6">
          <w:pPr>
            <w:pStyle w:val="EndNoteBibliography"/>
            <w:spacing w:after="0"/>
            <w:ind w:left="720" w:hanging="720"/>
            <w:rPr>
              <w:noProof/>
            </w:rPr>
          </w:pPr>
          <w:bookmarkStart w:id="109" w:name="_ENREF_3"/>
          <w:r w:rsidRPr="002A19C6">
            <w:rPr>
              <w:noProof/>
            </w:rPr>
            <w:t xml:space="preserve">Amin, M. B., Edge, S. B., Greene, F. L., Byrd, D. R., Brookland, R. K., Washington, M. K.,…Sullivan, D. C. (2018). </w:t>
          </w:r>
          <w:r w:rsidRPr="002A19C6">
            <w:rPr>
              <w:i/>
              <w:noProof/>
            </w:rPr>
            <w:t>AJCC Cancer Staging Manual</w:t>
          </w:r>
          <w:r w:rsidRPr="002A19C6">
            <w:rPr>
              <w:noProof/>
            </w:rPr>
            <w:t xml:space="preserve">. Springer International Publishing. </w:t>
          </w:r>
          <w:bookmarkEnd w:id="109"/>
        </w:p>
        <w:p w14:paraId="154C474C" w14:textId="77777777" w:rsidR="002A19C6" w:rsidRPr="002A19C6" w:rsidRDefault="002A19C6" w:rsidP="002A19C6">
          <w:pPr>
            <w:pStyle w:val="EndNoteBibliography"/>
            <w:spacing w:after="0"/>
            <w:ind w:left="720" w:hanging="720"/>
            <w:rPr>
              <w:noProof/>
            </w:rPr>
          </w:pPr>
          <w:bookmarkStart w:id="110" w:name="_ENREF_4"/>
          <w:r w:rsidRPr="002A19C6">
            <w:rPr>
              <w:noProof/>
            </w:rPr>
            <w:t xml:space="preserve">Andl, T., Kahn, T., Pfuhl, A., Nicola, T., Erber, R., Conradt, C.,…Bosch, F. X. (1998). Etiological involvement of oncogenic human papillomavirus in tonsillar squamous cell carcinomas lacking retinoblastoma cell cycle control. </w:t>
          </w:r>
          <w:r w:rsidRPr="002A19C6">
            <w:rPr>
              <w:i/>
              <w:noProof/>
            </w:rPr>
            <w:t>Cancer Res</w:t>
          </w:r>
          <w:r w:rsidRPr="002A19C6">
            <w:rPr>
              <w:noProof/>
            </w:rPr>
            <w:t>,</w:t>
          </w:r>
          <w:r w:rsidRPr="002A19C6">
            <w:rPr>
              <w:i/>
              <w:noProof/>
            </w:rPr>
            <w:t xml:space="preserve"> 58</w:t>
          </w:r>
          <w:r w:rsidRPr="002A19C6">
            <w:rPr>
              <w:noProof/>
            </w:rPr>
            <w:t xml:space="preserve">(1), 5-13. </w:t>
          </w:r>
          <w:bookmarkEnd w:id="110"/>
        </w:p>
        <w:p w14:paraId="2CBCAEBA" w14:textId="7D4E4C8E" w:rsidR="002A19C6" w:rsidRPr="002A19C6" w:rsidRDefault="002A19C6" w:rsidP="002A19C6">
          <w:pPr>
            <w:pStyle w:val="EndNoteBibliography"/>
            <w:spacing w:after="0"/>
            <w:ind w:left="720" w:hanging="720"/>
            <w:rPr>
              <w:noProof/>
            </w:rPr>
          </w:pPr>
          <w:bookmarkStart w:id="111" w:name="_ENREF_5"/>
          <w:r w:rsidRPr="002A19C6">
            <w:rPr>
              <w:noProof/>
            </w:rPr>
            <w:t xml:space="preserve">Ang, K. K., Harris, J., Wheeler, R., Weber, R., Rosenthal, D. I., Nguyen-Tan, P. F.,…Gillison, M. L. (2010). Human papillomavirus and survival of patients with oropharyngeal cancer. </w:t>
          </w:r>
          <w:r w:rsidRPr="002A19C6">
            <w:rPr>
              <w:i/>
              <w:noProof/>
            </w:rPr>
            <w:t>N Engl J Med</w:t>
          </w:r>
          <w:r w:rsidRPr="002A19C6">
            <w:rPr>
              <w:noProof/>
            </w:rPr>
            <w:t>,</w:t>
          </w:r>
          <w:r w:rsidRPr="002A19C6">
            <w:rPr>
              <w:i/>
              <w:noProof/>
            </w:rPr>
            <w:t xml:space="preserve"> 363</w:t>
          </w:r>
          <w:r w:rsidRPr="002A19C6">
            <w:rPr>
              <w:noProof/>
            </w:rPr>
            <w:t xml:space="preserve">(1), 24-35. </w:t>
          </w:r>
          <w:hyperlink r:id="rId48" w:history="1">
            <w:r w:rsidRPr="002A19C6">
              <w:rPr>
                <w:rStyle w:val="Hyperlink"/>
                <w:rFonts w:cs="Calibri"/>
                <w:noProof/>
              </w:rPr>
              <w:t>https://doi.org/10.1056/NEJMoa0912217</w:t>
            </w:r>
          </w:hyperlink>
          <w:r w:rsidRPr="002A19C6">
            <w:rPr>
              <w:noProof/>
            </w:rPr>
            <w:t xml:space="preserve"> </w:t>
          </w:r>
          <w:bookmarkEnd w:id="111"/>
        </w:p>
        <w:p w14:paraId="41F5AC75" w14:textId="66789165" w:rsidR="002A19C6" w:rsidRPr="002A19C6" w:rsidRDefault="002A19C6" w:rsidP="002A19C6">
          <w:pPr>
            <w:pStyle w:val="EndNoteBibliography"/>
            <w:spacing w:after="0"/>
            <w:ind w:left="720" w:hanging="720"/>
            <w:rPr>
              <w:noProof/>
            </w:rPr>
          </w:pPr>
          <w:bookmarkStart w:id="112" w:name="_ENREF_6"/>
          <w:r w:rsidRPr="002A19C6">
            <w:rPr>
              <w:noProof/>
            </w:rPr>
            <w:t xml:space="preserve">Argiris, A., Karamouzis, M. V., Raben, D., &amp; Ferris, R. L. (2008). Head and neck cancer. </w:t>
          </w:r>
          <w:r w:rsidRPr="002A19C6">
            <w:rPr>
              <w:i/>
              <w:noProof/>
            </w:rPr>
            <w:t>Lancet</w:t>
          </w:r>
          <w:r w:rsidRPr="002A19C6">
            <w:rPr>
              <w:noProof/>
            </w:rPr>
            <w:t>,</w:t>
          </w:r>
          <w:r w:rsidRPr="002A19C6">
            <w:rPr>
              <w:i/>
              <w:noProof/>
            </w:rPr>
            <w:t xml:space="preserve"> 371</w:t>
          </w:r>
          <w:r w:rsidRPr="002A19C6">
            <w:rPr>
              <w:noProof/>
            </w:rPr>
            <w:t xml:space="preserve">(9625), 1695-1709. </w:t>
          </w:r>
          <w:hyperlink r:id="rId49" w:history="1">
            <w:r w:rsidRPr="002A19C6">
              <w:rPr>
                <w:rStyle w:val="Hyperlink"/>
                <w:rFonts w:cs="Calibri"/>
                <w:noProof/>
              </w:rPr>
              <w:t>https://doi.org/10.1016/S0140-6736(08)60728-X</w:t>
            </w:r>
          </w:hyperlink>
          <w:r w:rsidRPr="002A19C6">
            <w:rPr>
              <w:noProof/>
            </w:rPr>
            <w:t xml:space="preserve"> </w:t>
          </w:r>
          <w:bookmarkEnd w:id="112"/>
        </w:p>
        <w:p w14:paraId="52B64B36" w14:textId="77777777" w:rsidR="002A19C6" w:rsidRPr="002A19C6" w:rsidRDefault="002A19C6" w:rsidP="002A19C6">
          <w:pPr>
            <w:pStyle w:val="EndNoteBibliography"/>
            <w:spacing w:after="0"/>
            <w:ind w:left="720" w:hanging="720"/>
            <w:rPr>
              <w:noProof/>
            </w:rPr>
          </w:pPr>
          <w:bookmarkStart w:id="113" w:name="_ENREF_7"/>
          <w:r w:rsidRPr="002A19C6">
            <w:rPr>
              <w:noProof/>
            </w:rPr>
            <w:t xml:space="preserve">Barnes, L., Pathologie, U.-S. Z. D., Eveson, J. W., Pathology, I. A. o., Sidransky, D., Organization, W. H.,…Reichart, P. (2005). </w:t>
          </w:r>
          <w:r w:rsidRPr="002A19C6">
            <w:rPr>
              <w:i/>
              <w:noProof/>
            </w:rPr>
            <w:t>Pathology and Genetics of Head and Neck Tumours</w:t>
          </w:r>
          <w:r w:rsidRPr="002A19C6">
            <w:rPr>
              <w:noProof/>
            </w:rPr>
            <w:t xml:space="preserve">. IARC Press. </w:t>
          </w:r>
          <w:bookmarkEnd w:id="113"/>
        </w:p>
        <w:p w14:paraId="093BD6D6" w14:textId="09AFFD86" w:rsidR="002A19C6" w:rsidRPr="002A19C6" w:rsidRDefault="002A19C6" w:rsidP="002A19C6">
          <w:pPr>
            <w:pStyle w:val="EndNoteBibliography"/>
            <w:spacing w:after="0"/>
            <w:ind w:left="720" w:hanging="720"/>
            <w:rPr>
              <w:noProof/>
            </w:rPr>
          </w:pPr>
          <w:bookmarkStart w:id="114" w:name="_ENREF_8"/>
          <w:r w:rsidRPr="002A19C6">
            <w:rPr>
              <w:noProof/>
            </w:rPr>
            <w:t xml:space="preserve">Baumann, M., &amp; Krause, M. (2010). CD44: a cancer stem cell-related biomarker with predictive potential for radiotherapy. </w:t>
          </w:r>
          <w:r w:rsidRPr="002A19C6">
            <w:rPr>
              <w:i/>
              <w:noProof/>
            </w:rPr>
            <w:t>Clin Cancer Res</w:t>
          </w:r>
          <w:r w:rsidRPr="002A19C6">
            <w:rPr>
              <w:noProof/>
            </w:rPr>
            <w:t>,</w:t>
          </w:r>
          <w:r w:rsidRPr="002A19C6">
            <w:rPr>
              <w:i/>
              <w:noProof/>
            </w:rPr>
            <w:t xml:space="preserve"> 16</w:t>
          </w:r>
          <w:r w:rsidRPr="002A19C6">
            <w:rPr>
              <w:noProof/>
            </w:rPr>
            <w:t xml:space="preserve">(21), 5091-5093. </w:t>
          </w:r>
          <w:hyperlink r:id="rId50" w:history="1">
            <w:r w:rsidRPr="002A19C6">
              <w:rPr>
                <w:rStyle w:val="Hyperlink"/>
                <w:rFonts w:cs="Calibri"/>
                <w:noProof/>
              </w:rPr>
              <w:t>https://doi.org/10.1158/1078-0432.CCR-10-2244</w:t>
            </w:r>
          </w:hyperlink>
          <w:r w:rsidRPr="002A19C6">
            <w:rPr>
              <w:noProof/>
            </w:rPr>
            <w:t xml:space="preserve"> </w:t>
          </w:r>
          <w:bookmarkEnd w:id="114"/>
        </w:p>
        <w:p w14:paraId="77562041" w14:textId="712C255F" w:rsidR="002A19C6" w:rsidRPr="002A19C6" w:rsidRDefault="002A19C6" w:rsidP="002A19C6">
          <w:pPr>
            <w:pStyle w:val="EndNoteBibliography"/>
            <w:spacing w:after="0"/>
            <w:ind w:left="720" w:hanging="720"/>
            <w:rPr>
              <w:noProof/>
            </w:rPr>
          </w:pPr>
          <w:bookmarkStart w:id="115" w:name="_ENREF_9"/>
          <w:r w:rsidRPr="002A19C6">
            <w:rPr>
              <w:noProof/>
            </w:rPr>
            <w:lastRenderedPageBreak/>
            <w:t xml:space="preserve">Bernier, J., Cooper, J. S., Pajak, T. F., van Glabbeke, M., Bourhis, J., Forastiere, A.,…Lefebvre, J. L. (2005). Defining risk levels in locally advanced head and neck cancers: a comparative analysis of concurrent postoperative radiation plus chemotherapy trials of the EORTC (#22931) and RTOG (# 9501). </w:t>
          </w:r>
          <w:r w:rsidRPr="002A19C6">
            <w:rPr>
              <w:i/>
              <w:noProof/>
            </w:rPr>
            <w:t>Head Neck</w:t>
          </w:r>
          <w:r w:rsidRPr="002A19C6">
            <w:rPr>
              <w:noProof/>
            </w:rPr>
            <w:t>,</w:t>
          </w:r>
          <w:r w:rsidRPr="002A19C6">
            <w:rPr>
              <w:i/>
              <w:noProof/>
            </w:rPr>
            <w:t xml:space="preserve"> 27</w:t>
          </w:r>
          <w:r w:rsidRPr="002A19C6">
            <w:rPr>
              <w:noProof/>
            </w:rPr>
            <w:t xml:space="preserve">(10), 843-850. </w:t>
          </w:r>
          <w:hyperlink r:id="rId51" w:history="1">
            <w:r w:rsidRPr="002A19C6">
              <w:rPr>
                <w:rStyle w:val="Hyperlink"/>
                <w:rFonts w:cs="Calibri"/>
                <w:noProof/>
              </w:rPr>
              <w:t>https://doi.org/10.1002/hed.20279</w:t>
            </w:r>
          </w:hyperlink>
          <w:r w:rsidRPr="002A19C6">
            <w:rPr>
              <w:noProof/>
            </w:rPr>
            <w:t xml:space="preserve"> </w:t>
          </w:r>
          <w:bookmarkEnd w:id="115"/>
        </w:p>
        <w:p w14:paraId="638ADBE6" w14:textId="0D1A8210" w:rsidR="002A19C6" w:rsidRPr="002A19C6" w:rsidRDefault="002A19C6" w:rsidP="002A19C6">
          <w:pPr>
            <w:pStyle w:val="EndNoteBibliography"/>
            <w:spacing w:after="0"/>
            <w:ind w:left="720" w:hanging="720"/>
            <w:rPr>
              <w:noProof/>
            </w:rPr>
          </w:pPr>
          <w:bookmarkStart w:id="116" w:name="_ENREF_10"/>
          <w:r w:rsidRPr="002A19C6">
            <w:rPr>
              <w:noProof/>
            </w:rPr>
            <w:t xml:space="preserve">Biomarkers Definitions Working, G. (2001). Biomarkers and surrogate endpoints: preferred definitions and conceptual framework. </w:t>
          </w:r>
          <w:r w:rsidRPr="002A19C6">
            <w:rPr>
              <w:i/>
              <w:noProof/>
            </w:rPr>
            <w:t>Clin Pharmacol Ther</w:t>
          </w:r>
          <w:r w:rsidRPr="002A19C6">
            <w:rPr>
              <w:noProof/>
            </w:rPr>
            <w:t>,</w:t>
          </w:r>
          <w:r w:rsidRPr="002A19C6">
            <w:rPr>
              <w:i/>
              <w:noProof/>
            </w:rPr>
            <w:t xml:space="preserve"> 69</w:t>
          </w:r>
          <w:r w:rsidRPr="002A19C6">
            <w:rPr>
              <w:noProof/>
            </w:rPr>
            <w:t xml:space="preserve">(3), 89-95. </w:t>
          </w:r>
          <w:hyperlink r:id="rId52" w:history="1">
            <w:r w:rsidRPr="002A19C6">
              <w:rPr>
                <w:rStyle w:val="Hyperlink"/>
                <w:rFonts w:cs="Calibri"/>
                <w:noProof/>
              </w:rPr>
              <w:t>https://doi.org/10.1067/mcp.2001.113989</w:t>
            </w:r>
          </w:hyperlink>
          <w:r w:rsidRPr="002A19C6">
            <w:rPr>
              <w:noProof/>
            </w:rPr>
            <w:t xml:space="preserve"> </w:t>
          </w:r>
          <w:bookmarkEnd w:id="116"/>
        </w:p>
        <w:p w14:paraId="63965D75" w14:textId="69B61F0F" w:rsidR="002A19C6" w:rsidRPr="002A19C6" w:rsidRDefault="002A19C6" w:rsidP="002A19C6">
          <w:pPr>
            <w:pStyle w:val="EndNoteBibliography"/>
            <w:spacing w:after="0"/>
            <w:ind w:left="720" w:hanging="720"/>
            <w:rPr>
              <w:noProof/>
            </w:rPr>
          </w:pPr>
          <w:bookmarkStart w:id="117" w:name="_ENREF_11"/>
          <w:r w:rsidRPr="002A19C6">
            <w:rPr>
              <w:noProof/>
            </w:rPr>
            <w:t xml:space="preserve">Bonnet, D., &amp; Dick, J. E. (1997). Human acute myeloid leukemia is organized as a hierarchy that originates from a primitive hematopoietic cell. </w:t>
          </w:r>
          <w:r w:rsidRPr="002A19C6">
            <w:rPr>
              <w:i/>
              <w:noProof/>
            </w:rPr>
            <w:t>Nat Med</w:t>
          </w:r>
          <w:r w:rsidRPr="002A19C6">
            <w:rPr>
              <w:noProof/>
            </w:rPr>
            <w:t>,</w:t>
          </w:r>
          <w:r w:rsidRPr="002A19C6">
            <w:rPr>
              <w:i/>
              <w:noProof/>
            </w:rPr>
            <w:t xml:space="preserve"> 3</w:t>
          </w:r>
          <w:r w:rsidRPr="002A19C6">
            <w:rPr>
              <w:noProof/>
            </w:rPr>
            <w:t xml:space="preserve">(7), 730-737. </w:t>
          </w:r>
          <w:hyperlink r:id="rId53" w:history="1">
            <w:r w:rsidRPr="002A19C6">
              <w:rPr>
                <w:rStyle w:val="Hyperlink"/>
                <w:rFonts w:cs="Calibri"/>
                <w:noProof/>
              </w:rPr>
              <w:t>https://doi.org/10.1038/nm0797-730</w:t>
            </w:r>
          </w:hyperlink>
          <w:r w:rsidRPr="002A19C6">
            <w:rPr>
              <w:noProof/>
            </w:rPr>
            <w:t xml:space="preserve"> </w:t>
          </w:r>
          <w:bookmarkEnd w:id="117"/>
        </w:p>
        <w:p w14:paraId="2EAAC154" w14:textId="44389BD0" w:rsidR="002A19C6" w:rsidRPr="002A19C6" w:rsidRDefault="002A19C6" w:rsidP="002A19C6">
          <w:pPr>
            <w:pStyle w:val="EndNoteBibliography"/>
            <w:spacing w:after="0"/>
            <w:ind w:left="720" w:hanging="720"/>
            <w:rPr>
              <w:noProof/>
            </w:rPr>
          </w:pPr>
          <w:bookmarkStart w:id="118" w:name="_ENREF_12"/>
          <w:r w:rsidRPr="002A19C6">
            <w:rPr>
              <w:noProof/>
            </w:rPr>
            <w:t xml:space="preserve">Bootz, F. (2020). [Guideline on diagnosis, treatment, and follow-up of laryngeal cancer]. </w:t>
          </w:r>
          <w:r w:rsidRPr="002A19C6">
            <w:rPr>
              <w:i/>
              <w:noProof/>
            </w:rPr>
            <w:t>Radiologe</w:t>
          </w:r>
          <w:r w:rsidRPr="002A19C6">
            <w:rPr>
              <w:noProof/>
            </w:rPr>
            <w:t>,</w:t>
          </w:r>
          <w:r w:rsidRPr="002A19C6">
            <w:rPr>
              <w:i/>
              <w:noProof/>
            </w:rPr>
            <w:t xml:space="preserve"> 60</w:t>
          </w:r>
          <w:r w:rsidRPr="002A19C6">
            <w:rPr>
              <w:noProof/>
            </w:rPr>
            <w:t xml:space="preserve">(11), 1052-1057. </w:t>
          </w:r>
          <w:hyperlink r:id="rId54" w:history="1">
            <w:r w:rsidRPr="002A19C6">
              <w:rPr>
                <w:rStyle w:val="Hyperlink"/>
                <w:rFonts w:cs="Calibri"/>
                <w:noProof/>
              </w:rPr>
              <w:t>https://doi.org/10.1007/s00117-020-00760-9</w:t>
            </w:r>
          </w:hyperlink>
          <w:r w:rsidRPr="002A19C6">
            <w:rPr>
              <w:noProof/>
            </w:rPr>
            <w:t xml:space="preserve"> (Original work published S3-Leitlinie Diagnostik, Therapie und Nachsorge des Larynxkarzinoms.) </w:t>
          </w:r>
          <w:bookmarkEnd w:id="118"/>
        </w:p>
        <w:p w14:paraId="6CC2A111" w14:textId="591EB102" w:rsidR="002A19C6" w:rsidRPr="002A19C6" w:rsidRDefault="002A19C6" w:rsidP="002A19C6">
          <w:pPr>
            <w:pStyle w:val="EndNoteBibliography"/>
            <w:spacing w:after="0"/>
            <w:ind w:left="720" w:hanging="720"/>
            <w:rPr>
              <w:noProof/>
            </w:rPr>
          </w:pPr>
          <w:bookmarkStart w:id="119" w:name="_ENREF_13"/>
          <w:r w:rsidRPr="002A19C6">
            <w:rPr>
              <w:noProof/>
            </w:rPr>
            <w:t xml:space="preserve">Bouvard, V., Baan, R., Straif, K., Grosse, Y., Secretan, B., El Ghissassi, F.,…Group, W. H. O. I. A. f. R. o. C. M. W. (2009). A review of human carcinogens--Part B: biological agents. </w:t>
          </w:r>
          <w:r w:rsidRPr="002A19C6">
            <w:rPr>
              <w:i/>
              <w:noProof/>
            </w:rPr>
            <w:t>Lancet Oncol</w:t>
          </w:r>
          <w:r w:rsidRPr="002A19C6">
            <w:rPr>
              <w:noProof/>
            </w:rPr>
            <w:t>,</w:t>
          </w:r>
          <w:r w:rsidRPr="002A19C6">
            <w:rPr>
              <w:i/>
              <w:noProof/>
            </w:rPr>
            <w:t xml:space="preserve"> 10</w:t>
          </w:r>
          <w:r w:rsidRPr="002A19C6">
            <w:rPr>
              <w:noProof/>
            </w:rPr>
            <w:t xml:space="preserve">(4), 321-322. </w:t>
          </w:r>
          <w:hyperlink r:id="rId55" w:history="1">
            <w:r w:rsidRPr="002A19C6">
              <w:rPr>
                <w:rStyle w:val="Hyperlink"/>
                <w:rFonts w:cs="Calibri"/>
                <w:noProof/>
              </w:rPr>
              <w:t>https://doi.org/10.1016/s1470-2045(09)70096-8</w:t>
            </w:r>
          </w:hyperlink>
          <w:r w:rsidRPr="002A19C6">
            <w:rPr>
              <w:noProof/>
            </w:rPr>
            <w:t xml:space="preserve"> </w:t>
          </w:r>
          <w:bookmarkEnd w:id="119"/>
        </w:p>
        <w:p w14:paraId="72BDE56A" w14:textId="77777777" w:rsidR="002A19C6" w:rsidRPr="002A19C6" w:rsidRDefault="002A19C6" w:rsidP="002A19C6">
          <w:pPr>
            <w:pStyle w:val="EndNoteBibliography"/>
            <w:spacing w:after="0"/>
            <w:ind w:left="720" w:hanging="720"/>
            <w:rPr>
              <w:noProof/>
            </w:rPr>
          </w:pPr>
          <w:bookmarkStart w:id="120" w:name="_ENREF_14"/>
          <w:r w:rsidRPr="002A19C6">
            <w:rPr>
              <w:noProof/>
            </w:rPr>
            <w:t xml:space="preserve">Böcker, W. (2008). </w:t>
          </w:r>
          <w:r w:rsidRPr="002A19C6">
            <w:rPr>
              <w:i/>
              <w:noProof/>
            </w:rPr>
            <w:t>Pathologie: mit über 200 Tabellen</w:t>
          </w:r>
          <w:r w:rsidRPr="002A19C6">
            <w:rPr>
              <w:noProof/>
            </w:rPr>
            <w:t xml:space="preserve">. Elsevier, Urban &amp; Fischer. </w:t>
          </w:r>
          <w:bookmarkEnd w:id="120"/>
        </w:p>
        <w:p w14:paraId="43D05023" w14:textId="2C9F6168" w:rsidR="002A19C6" w:rsidRPr="002A19C6" w:rsidRDefault="002A19C6" w:rsidP="002A19C6">
          <w:pPr>
            <w:pStyle w:val="EndNoteBibliography"/>
            <w:spacing w:after="0"/>
            <w:ind w:left="720" w:hanging="720"/>
            <w:rPr>
              <w:noProof/>
            </w:rPr>
          </w:pPr>
          <w:bookmarkStart w:id="121" w:name="_ENREF_15"/>
          <w:r w:rsidRPr="002A19C6">
            <w:rPr>
              <w:noProof/>
            </w:rPr>
            <w:t xml:space="preserve">Cabrera Rodriguez, J., Cacicedo, J., Giralt, J., Garcia Miragall, E., Lloret, M., Arias, F.,…Contreras, J. (2018). GEORCC recommendations on target volumes in radiotherapy for Head Neck Cancer of Unkown Primary. </w:t>
          </w:r>
          <w:r w:rsidRPr="002A19C6">
            <w:rPr>
              <w:i/>
              <w:noProof/>
            </w:rPr>
            <w:t>Crit Rev Oncol Hematol</w:t>
          </w:r>
          <w:r w:rsidRPr="002A19C6">
            <w:rPr>
              <w:noProof/>
            </w:rPr>
            <w:t>,</w:t>
          </w:r>
          <w:r w:rsidRPr="002A19C6">
            <w:rPr>
              <w:i/>
              <w:noProof/>
            </w:rPr>
            <w:t xml:space="preserve"> 130</w:t>
          </w:r>
          <w:r w:rsidRPr="002A19C6">
            <w:rPr>
              <w:noProof/>
            </w:rPr>
            <w:t xml:space="preserve">, 51-59. </w:t>
          </w:r>
          <w:hyperlink r:id="rId56" w:history="1">
            <w:r w:rsidRPr="002A19C6">
              <w:rPr>
                <w:rStyle w:val="Hyperlink"/>
                <w:rFonts w:cs="Calibri"/>
                <w:noProof/>
              </w:rPr>
              <w:t>https://doi.org/10.1016/j.critrevonc.2018.07.006</w:t>
            </w:r>
          </w:hyperlink>
          <w:r w:rsidRPr="002A19C6">
            <w:rPr>
              <w:noProof/>
            </w:rPr>
            <w:t xml:space="preserve"> </w:t>
          </w:r>
          <w:bookmarkEnd w:id="121"/>
        </w:p>
        <w:p w14:paraId="59D821C6" w14:textId="77777777" w:rsidR="002A19C6" w:rsidRPr="002A19C6" w:rsidRDefault="002A19C6" w:rsidP="002A19C6">
          <w:pPr>
            <w:pStyle w:val="EndNoteBibliography"/>
            <w:spacing w:after="0"/>
            <w:ind w:left="720" w:hanging="720"/>
            <w:rPr>
              <w:noProof/>
            </w:rPr>
          </w:pPr>
          <w:bookmarkStart w:id="122" w:name="_ENREF_16"/>
          <w:r w:rsidRPr="002A19C6">
            <w:rPr>
              <w:noProof/>
            </w:rPr>
            <w:t xml:space="preserve">Cardesa, A., Remmele, W., Klöppel, G., Mentzel, T., Kreipe, H. H., Rudolph, P., &amp; Slootweg, P. (2008). </w:t>
          </w:r>
          <w:r w:rsidRPr="002A19C6">
            <w:rPr>
              <w:i/>
              <w:noProof/>
            </w:rPr>
            <w:t>Pathologie: Kopf-Hals-Region, Weichgewebstumoren, Haut</w:t>
          </w:r>
          <w:r w:rsidRPr="002A19C6">
            <w:rPr>
              <w:noProof/>
            </w:rPr>
            <w:t xml:space="preserve">. Springer Berlin Heidelberg. </w:t>
          </w:r>
          <w:bookmarkEnd w:id="122"/>
        </w:p>
        <w:p w14:paraId="32D22F27" w14:textId="3380B354" w:rsidR="002A19C6" w:rsidRPr="002A19C6" w:rsidRDefault="002A19C6" w:rsidP="002A19C6">
          <w:pPr>
            <w:pStyle w:val="EndNoteBibliography"/>
            <w:spacing w:after="0"/>
            <w:ind w:left="720" w:hanging="720"/>
            <w:rPr>
              <w:noProof/>
            </w:rPr>
          </w:pPr>
          <w:bookmarkStart w:id="123" w:name="_ENREF_17"/>
          <w:r w:rsidRPr="002A19C6">
            <w:rPr>
              <w:noProof/>
            </w:rPr>
            <w:t xml:space="preserve">Carvalho, A. L., Nishimoto, I. N., Califano, J. A., &amp; Kowalski, L. P. (2005). Trends in incidence and prognosis for head and neck cancer in the United States: a site-specific analysis of the SEER database. </w:t>
          </w:r>
          <w:r w:rsidRPr="002A19C6">
            <w:rPr>
              <w:i/>
              <w:noProof/>
            </w:rPr>
            <w:t>Int J Cancer</w:t>
          </w:r>
          <w:r w:rsidRPr="002A19C6">
            <w:rPr>
              <w:noProof/>
            </w:rPr>
            <w:t>,</w:t>
          </w:r>
          <w:r w:rsidRPr="002A19C6">
            <w:rPr>
              <w:i/>
              <w:noProof/>
            </w:rPr>
            <w:t xml:space="preserve"> 114</w:t>
          </w:r>
          <w:r w:rsidRPr="002A19C6">
            <w:rPr>
              <w:noProof/>
            </w:rPr>
            <w:t xml:space="preserve">(5), 806-816. </w:t>
          </w:r>
          <w:hyperlink r:id="rId57" w:history="1">
            <w:r w:rsidRPr="002A19C6">
              <w:rPr>
                <w:rStyle w:val="Hyperlink"/>
                <w:rFonts w:cs="Calibri"/>
                <w:noProof/>
              </w:rPr>
              <w:t>https://doi.org/10.1002/ijc.20740</w:t>
            </w:r>
          </w:hyperlink>
          <w:r w:rsidRPr="002A19C6">
            <w:rPr>
              <w:noProof/>
            </w:rPr>
            <w:t xml:space="preserve"> </w:t>
          </w:r>
          <w:bookmarkEnd w:id="123"/>
        </w:p>
        <w:p w14:paraId="3A439F5D" w14:textId="77777777" w:rsidR="002A19C6" w:rsidRPr="002A19C6" w:rsidRDefault="002A19C6" w:rsidP="002A19C6">
          <w:pPr>
            <w:pStyle w:val="EndNoteBibliography"/>
            <w:spacing w:after="0"/>
            <w:ind w:left="720" w:hanging="720"/>
            <w:rPr>
              <w:noProof/>
            </w:rPr>
          </w:pPr>
          <w:bookmarkStart w:id="124" w:name="_ENREF_18"/>
          <w:r w:rsidRPr="002A19C6">
            <w:rPr>
              <w:noProof/>
            </w:rPr>
            <w:t xml:space="preserve">Cawson, R. A., &amp; Odell, E. W. (2008). </w:t>
          </w:r>
          <w:r w:rsidRPr="002A19C6">
            <w:rPr>
              <w:i/>
              <w:noProof/>
            </w:rPr>
            <w:t>Cawson's Essentials of Oral Pathology and Oral Medicine E-Book</w:t>
          </w:r>
          <w:r w:rsidRPr="002A19C6">
            <w:rPr>
              <w:noProof/>
            </w:rPr>
            <w:t xml:space="preserve">. Elsevier Health Sciences. </w:t>
          </w:r>
          <w:bookmarkEnd w:id="124"/>
        </w:p>
        <w:p w14:paraId="3814401C" w14:textId="77777777" w:rsidR="002A19C6" w:rsidRPr="002A19C6" w:rsidRDefault="002A19C6" w:rsidP="002A19C6">
          <w:pPr>
            <w:pStyle w:val="EndNoteBibliography"/>
            <w:spacing w:after="0"/>
            <w:ind w:left="720" w:hanging="720"/>
            <w:rPr>
              <w:noProof/>
            </w:rPr>
          </w:pPr>
          <w:bookmarkStart w:id="125" w:name="_ENREF_19"/>
          <w:r w:rsidRPr="002A19C6">
            <w:rPr>
              <w:noProof/>
            </w:rPr>
            <w:t xml:space="preserve">Cawson, R. A., &amp; Odell, E. W. (2017). </w:t>
          </w:r>
          <w:r w:rsidRPr="002A19C6">
            <w:rPr>
              <w:i/>
              <w:noProof/>
            </w:rPr>
            <w:t>Cawson's Essentials of Oral Pathology and Oral Medicine</w:t>
          </w:r>
          <w:r w:rsidRPr="002A19C6">
            <w:rPr>
              <w:noProof/>
            </w:rPr>
            <w:t xml:space="preserve">. Elsevier Health Sciences UK. </w:t>
          </w:r>
          <w:bookmarkEnd w:id="125"/>
        </w:p>
        <w:p w14:paraId="5DAB82B8" w14:textId="58782287" w:rsidR="002A19C6" w:rsidRPr="002A19C6" w:rsidRDefault="002A19C6" w:rsidP="002A19C6">
          <w:pPr>
            <w:pStyle w:val="EndNoteBibliography"/>
            <w:spacing w:after="0"/>
            <w:ind w:left="720" w:hanging="720"/>
            <w:rPr>
              <w:noProof/>
            </w:rPr>
          </w:pPr>
          <w:bookmarkStart w:id="126" w:name="_ENREF_20"/>
          <w:r w:rsidRPr="002A19C6">
            <w:rPr>
              <w:noProof/>
            </w:rPr>
            <w:t xml:space="preserve">Chen, Y. W., Chen, K. H., Huang, P. I., Chen, Y. C., Chiou, G. Y., Lo, W. L.,…Chiou, S. H. (2010). Cucurbitacin I suppressed stem-like property and enhanced radiation-induced apoptosis in head and neck squamous carcinoma--derived CD44(+)ALDH1(+) cells. </w:t>
          </w:r>
          <w:r w:rsidRPr="002A19C6">
            <w:rPr>
              <w:i/>
              <w:noProof/>
            </w:rPr>
            <w:t>Mol Cancer Ther</w:t>
          </w:r>
          <w:r w:rsidRPr="002A19C6">
            <w:rPr>
              <w:noProof/>
            </w:rPr>
            <w:t>,</w:t>
          </w:r>
          <w:r w:rsidRPr="002A19C6">
            <w:rPr>
              <w:i/>
              <w:noProof/>
            </w:rPr>
            <w:t xml:space="preserve"> 9</w:t>
          </w:r>
          <w:r w:rsidRPr="002A19C6">
            <w:rPr>
              <w:noProof/>
            </w:rPr>
            <w:t xml:space="preserve">(11), 2879-2892. </w:t>
          </w:r>
          <w:hyperlink r:id="rId58" w:history="1">
            <w:r w:rsidRPr="002A19C6">
              <w:rPr>
                <w:rStyle w:val="Hyperlink"/>
                <w:rFonts w:cs="Calibri"/>
                <w:noProof/>
              </w:rPr>
              <w:t>https://doi.org/10.1158/1535-7163.MCT-10-0504</w:t>
            </w:r>
          </w:hyperlink>
          <w:r w:rsidRPr="002A19C6">
            <w:rPr>
              <w:noProof/>
            </w:rPr>
            <w:t xml:space="preserve"> </w:t>
          </w:r>
          <w:bookmarkEnd w:id="126"/>
        </w:p>
        <w:p w14:paraId="56D6730E" w14:textId="4AB37E51" w:rsidR="002A19C6" w:rsidRPr="002A19C6" w:rsidRDefault="002A19C6" w:rsidP="002A19C6">
          <w:pPr>
            <w:pStyle w:val="EndNoteBibliography"/>
            <w:spacing w:after="0"/>
            <w:ind w:left="720" w:hanging="720"/>
            <w:rPr>
              <w:noProof/>
            </w:rPr>
          </w:pPr>
          <w:bookmarkStart w:id="127" w:name="_ENREF_21"/>
          <w:r w:rsidRPr="002A19C6">
            <w:rPr>
              <w:noProof/>
            </w:rPr>
            <w:t xml:space="preserve">Chin, D., Boyle, G. M., Porceddu, S., Theile, D. R., Parsons, P. G., &amp; Coman, W. B. (2006). Head and neck cancer: past, present and future. </w:t>
          </w:r>
          <w:r w:rsidRPr="002A19C6">
            <w:rPr>
              <w:i/>
              <w:noProof/>
            </w:rPr>
            <w:t>Expert Rev Anticancer Ther</w:t>
          </w:r>
          <w:r w:rsidRPr="002A19C6">
            <w:rPr>
              <w:noProof/>
            </w:rPr>
            <w:t>,</w:t>
          </w:r>
          <w:r w:rsidRPr="002A19C6">
            <w:rPr>
              <w:i/>
              <w:noProof/>
            </w:rPr>
            <w:t xml:space="preserve"> 6</w:t>
          </w:r>
          <w:r w:rsidRPr="002A19C6">
            <w:rPr>
              <w:noProof/>
            </w:rPr>
            <w:t xml:space="preserve">(7), 1111-1118. </w:t>
          </w:r>
          <w:hyperlink r:id="rId59" w:history="1">
            <w:r w:rsidRPr="002A19C6">
              <w:rPr>
                <w:rStyle w:val="Hyperlink"/>
                <w:rFonts w:cs="Calibri"/>
                <w:noProof/>
              </w:rPr>
              <w:t>https://doi.org/10.1586/14737140.6.7.1111</w:t>
            </w:r>
          </w:hyperlink>
          <w:r w:rsidRPr="002A19C6">
            <w:rPr>
              <w:noProof/>
            </w:rPr>
            <w:t xml:space="preserve"> </w:t>
          </w:r>
          <w:bookmarkEnd w:id="127"/>
        </w:p>
        <w:p w14:paraId="79F07B4E" w14:textId="092ED53A" w:rsidR="002A19C6" w:rsidRPr="002A19C6" w:rsidRDefault="002A19C6" w:rsidP="002A19C6">
          <w:pPr>
            <w:pStyle w:val="EndNoteBibliography"/>
            <w:spacing w:after="0"/>
            <w:ind w:left="720" w:hanging="720"/>
            <w:rPr>
              <w:noProof/>
            </w:rPr>
          </w:pPr>
          <w:bookmarkStart w:id="128" w:name="_ENREF_22"/>
          <w:r w:rsidRPr="002A19C6">
            <w:rPr>
              <w:noProof/>
            </w:rPr>
            <w:t xml:space="preserve">Chung, C. H., &amp; Gillison, M. L. (2009). Human papillomavirus in head and neck cancer: its role in pathogenesis and clinical implications. </w:t>
          </w:r>
          <w:r w:rsidRPr="002A19C6">
            <w:rPr>
              <w:i/>
              <w:noProof/>
            </w:rPr>
            <w:t>Clin Cancer Res</w:t>
          </w:r>
          <w:r w:rsidRPr="002A19C6">
            <w:rPr>
              <w:noProof/>
            </w:rPr>
            <w:t>,</w:t>
          </w:r>
          <w:r w:rsidRPr="002A19C6">
            <w:rPr>
              <w:i/>
              <w:noProof/>
            </w:rPr>
            <w:t xml:space="preserve"> 15</w:t>
          </w:r>
          <w:r w:rsidRPr="002A19C6">
            <w:rPr>
              <w:noProof/>
            </w:rPr>
            <w:t xml:space="preserve">(22), 6758-6762. </w:t>
          </w:r>
          <w:hyperlink r:id="rId60" w:history="1">
            <w:r w:rsidRPr="002A19C6">
              <w:rPr>
                <w:rStyle w:val="Hyperlink"/>
                <w:rFonts w:cs="Calibri"/>
                <w:noProof/>
              </w:rPr>
              <w:t>https://doi.org/10.1158/1078-0432.CCR-09-0784</w:t>
            </w:r>
          </w:hyperlink>
          <w:r w:rsidRPr="002A19C6">
            <w:rPr>
              <w:noProof/>
            </w:rPr>
            <w:t xml:space="preserve"> </w:t>
          </w:r>
          <w:bookmarkEnd w:id="128"/>
        </w:p>
        <w:p w14:paraId="41407E5E" w14:textId="7F59D7EB" w:rsidR="002A19C6" w:rsidRPr="002A19C6" w:rsidRDefault="002A19C6" w:rsidP="002A19C6">
          <w:pPr>
            <w:pStyle w:val="EndNoteBibliography"/>
            <w:spacing w:after="0"/>
            <w:ind w:left="720" w:hanging="720"/>
            <w:rPr>
              <w:noProof/>
            </w:rPr>
          </w:pPr>
          <w:bookmarkStart w:id="129" w:name="_ENREF_23"/>
          <w:r w:rsidRPr="002A19C6">
            <w:rPr>
              <w:noProof/>
            </w:rPr>
            <w:t xml:space="preserve">Clarke, A. R., &amp; Meniel, V. (2006). The intestinal stem cell niche studied through conditional transgenesis. </w:t>
          </w:r>
          <w:r w:rsidRPr="002A19C6">
            <w:rPr>
              <w:i/>
              <w:noProof/>
            </w:rPr>
            <w:t>Ernst Schering Found Symp Proc</w:t>
          </w:r>
          <w:r w:rsidRPr="002A19C6">
            <w:rPr>
              <w:noProof/>
            </w:rPr>
            <w:t xml:space="preserve">(5), 99-108. </w:t>
          </w:r>
          <w:hyperlink r:id="rId61" w:history="1">
            <w:r w:rsidRPr="002A19C6">
              <w:rPr>
                <w:rStyle w:val="Hyperlink"/>
                <w:rFonts w:cs="Calibri"/>
                <w:noProof/>
              </w:rPr>
              <w:t>https://doi.org/10.1007/2789_2007_046</w:t>
            </w:r>
          </w:hyperlink>
          <w:r w:rsidRPr="002A19C6">
            <w:rPr>
              <w:noProof/>
            </w:rPr>
            <w:t xml:space="preserve"> </w:t>
          </w:r>
          <w:bookmarkEnd w:id="129"/>
        </w:p>
        <w:p w14:paraId="53751D57" w14:textId="52A74F79" w:rsidR="002A19C6" w:rsidRPr="002A19C6" w:rsidRDefault="002A19C6" w:rsidP="002A19C6">
          <w:pPr>
            <w:pStyle w:val="EndNoteBibliography"/>
            <w:spacing w:after="0"/>
            <w:ind w:left="720" w:hanging="720"/>
            <w:rPr>
              <w:noProof/>
            </w:rPr>
          </w:pPr>
          <w:bookmarkStart w:id="130" w:name="_ENREF_24"/>
          <w:r w:rsidRPr="002A19C6">
            <w:rPr>
              <w:noProof/>
            </w:rPr>
            <w:t xml:space="preserve">Cooper, J. S., Zhang, Q., Pajak, T. F., Forastiere, A. A., Jacobs, J., Saxman, S. B.,…Ang, K. K. (2012). Long-term follow-up of the RTOG 9501/intergroup phase III trial: postoperative concurrent radiation therapy and chemotherapy in high-risk squamous cell carcinoma of the head and neck. </w:t>
          </w:r>
          <w:r w:rsidRPr="002A19C6">
            <w:rPr>
              <w:i/>
              <w:noProof/>
            </w:rPr>
            <w:t>Int J Radiat Oncol Biol Phys</w:t>
          </w:r>
          <w:r w:rsidRPr="002A19C6">
            <w:rPr>
              <w:noProof/>
            </w:rPr>
            <w:t>,</w:t>
          </w:r>
          <w:r w:rsidRPr="002A19C6">
            <w:rPr>
              <w:i/>
              <w:noProof/>
            </w:rPr>
            <w:t xml:space="preserve"> 84</w:t>
          </w:r>
          <w:r w:rsidRPr="002A19C6">
            <w:rPr>
              <w:noProof/>
            </w:rPr>
            <w:t xml:space="preserve">(5), 1198-1205. </w:t>
          </w:r>
          <w:hyperlink r:id="rId62" w:history="1">
            <w:r w:rsidRPr="002A19C6">
              <w:rPr>
                <w:rStyle w:val="Hyperlink"/>
                <w:rFonts w:cs="Calibri"/>
                <w:noProof/>
              </w:rPr>
              <w:t>https://doi.org/10.1016/j.ijrobp.2012.05.008</w:t>
            </w:r>
          </w:hyperlink>
          <w:r w:rsidRPr="002A19C6">
            <w:rPr>
              <w:noProof/>
            </w:rPr>
            <w:t xml:space="preserve"> </w:t>
          </w:r>
          <w:bookmarkEnd w:id="130"/>
        </w:p>
        <w:p w14:paraId="6A74B004" w14:textId="167C3FB4" w:rsidR="002A19C6" w:rsidRPr="002A19C6" w:rsidRDefault="002A19C6" w:rsidP="002A19C6">
          <w:pPr>
            <w:pStyle w:val="EndNoteBibliography"/>
            <w:spacing w:after="0"/>
            <w:ind w:left="720" w:hanging="720"/>
            <w:rPr>
              <w:noProof/>
            </w:rPr>
          </w:pPr>
          <w:bookmarkStart w:id="131" w:name="_ENREF_25"/>
          <w:r w:rsidRPr="002A19C6">
            <w:rPr>
              <w:noProof/>
            </w:rPr>
            <w:t xml:space="preserve">Curado, M. P., &amp; Boyle, P. (2013). Epidemiology of head and neck squamous cell carcinoma not related to tobacco or alcohol. </w:t>
          </w:r>
          <w:r w:rsidRPr="002A19C6">
            <w:rPr>
              <w:i/>
              <w:noProof/>
            </w:rPr>
            <w:t>Curr Opin Oncol</w:t>
          </w:r>
          <w:r w:rsidRPr="002A19C6">
            <w:rPr>
              <w:noProof/>
            </w:rPr>
            <w:t>,</w:t>
          </w:r>
          <w:r w:rsidRPr="002A19C6">
            <w:rPr>
              <w:i/>
              <w:noProof/>
            </w:rPr>
            <w:t xml:space="preserve"> 25</w:t>
          </w:r>
          <w:r w:rsidRPr="002A19C6">
            <w:rPr>
              <w:noProof/>
            </w:rPr>
            <w:t xml:space="preserve">(3), 229-234. </w:t>
          </w:r>
          <w:hyperlink r:id="rId63" w:history="1">
            <w:r w:rsidRPr="002A19C6">
              <w:rPr>
                <w:rStyle w:val="Hyperlink"/>
                <w:rFonts w:cs="Calibri"/>
                <w:noProof/>
              </w:rPr>
              <w:t>https://doi.org/10.1097/CCO.0b013e32835ff48c</w:t>
            </w:r>
          </w:hyperlink>
          <w:r w:rsidRPr="002A19C6">
            <w:rPr>
              <w:noProof/>
            </w:rPr>
            <w:t xml:space="preserve"> </w:t>
          </w:r>
          <w:bookmarkEnd w:id="131"/>
        </w:p>
        <w:p w14:paraId="661D94DE" w14:textId="3D198C63" w:rsidR="002A19C6" w:rsidRPr="002A19C6" w:rsidRDefault="002A19C6" w:rsidP="002A19C6">
          <w:pPr>
            <w:pStyle w:val="EndNoteBibliography"/>
            <w:spacing w:after="0"/>
            <w:ind w:left="720" w:hanging="720"/>
            <w:rPr>
              <w:noProof/>
            </w:rPr>
          </w:pPr>
          <w:bookmarkStart w:id="132" w:name="_ENREF_26"/>
          <w:r w:rsidRPr="002A19C6">
            <w:rPr>
              <w:noProof/>
            </w:rPr>
            <w:t xml:space="preserve">D'Souza, G., Agrawal, Y., Halpern, J., Bodison, S., &amp; Gillison, M. L. (2009). Oral sexual behaviors associated with prevalent oral human papillomavirus infection. </w:t>
          </w:r>
          <w:r w:rsidRPr="002A19C6">
            <w:rPr>
              <w:i/>
              <w:noProof/>
            </w:rPr>
            <w:t>J Infect Dis</w:t>
          </w:r>
          <w:r w:rsidRPr="002A19C6">
            <w:rPr>
              <w:noProof/>
            </w:rPr>
            <w:t>,</w:t>
          </w:r>
          <w:r w:rsidRPr="002A19C6">
            <w:rPr>
              <w:i/>
              <w:noProof/>
            </w:rPr>
            <w:t xml:space="preserve"> 199</w:t>
          </w:r>
          <w:r w:rsidRPr="002A19C6">
            <w:rPr>
              <w:noProof/>
            </w:rPr>
            <w:t xml:space="preserve">(9), 1263-1269. </w:t>
          </w:r>
          <w:hyperlink r:id="rId64" w:history="1">
            <w:r w:rsidRPr="002A19C6">
              <w:rPr>
                <w:rStyle w:val="Hyperlink"/>
                <w:rFonts w:cs="Calibri"/>
                <w:noProof/>
              </w:rPr>
              <w:t>https://doi.org/10.1086/597755</w:t>
            </w:r>
          </w:hyperlink>
          <w:r w:rsidRPr="002A19C6">
            <w:rPr>
              <w:noProof/>
            </w:rPr>
            <w:t xml:space="preserve"> </w:t>
          </w:r>
          <w:bookmarkEnd w:id="132"/>
        </w:p>
        <w:p w14:paraId="09861E57" w14:textId="38867A5E" w:rsidR="002A19C6" w:rsidRPr="002A19C6" w:rsidRDefault="002A19C6" w:rsidP="002A19C6">
          <w:pPr>
            <w:pStyle w:val="EndNoteBibliography"/>
            <w:spacing w:after="0"/>
            <w:ind w:left="720" w:hanging="720"/>
            <w:rPr>
              <w:noProof/>
            </w:rPr>
          </w:pPr>
          <w:bookmarkStart w:id="133" w:name="_ENREF_27"/>
          <w:r w:rsidRPr="002A19C6">
            <w:rPr>
              <w:noProof/>
            </w:rPr>
            <w:lastRenderedPageBreak/>
            <w:t xml:space="preserve">de Jong, M. C., Pramana, J., van der Wal, J. E., Lacko, M., Peutz-Kootstra, C. J., de Jong, J. M.,…Begg, A. C. (2010). CD44 expression predicts local recurrence after radiotherapy in larynx cancer. </w:t>
          </w:r>
          <w:r w:rsidRPr="002A19C6">
            <w:rPr>
              <w:i/>
              <w:noProof/>
            </w:rPr>
            <w:t>Clin Cancer Res</w:t>
          </w:r>
          <w:r w:rsidRPr="002A19C6">
            <w:rPr>
              <w:noProof/>
            </w:rPr>
            <w:t>,</w:t>
          </w:r>
          <w:r w:rsidRPr="002A19C6">
            <w:rPr>
              <w:i/>
              <w:noProof/>
            </w:rPr>
            <w:t xml:space="preserve"> 16</w:t>
          </w:r>
          <w:r w:rsidRPr="002A19C6">
            <w:rPr>
              <w:noProof/>
            </w:rPr>
            <w:t xml:space="preserve">(21), 5329-5338. </w:t>
          </w:r>
          <w:hyperlink r:id="rId65" w:history="1">
            <w:r w:rsidRPr="002A19C6">
              <w:rPr>
                <w:rStyle w:val="Hyperlink"/>
                <w:rFonts w:cs="Calibri"/>
                <w:noProof/>
              </w:rPr>
              <w:t>https://doi.org/10.1158/1078-0432.CCR-10-0799</w:t>
            </w:r>
          </w:hyperlink>
          <w:r w:rsidRPr="002A19C6">
            <w:rPr>
              <w:noProof/>
            </w:rPr>
            <w:t xml:space="preserve"> </w:t>
          </w:r>
          <w:bookmarkEnd w:id="133"/>
        </w:p>
        <w:p w14:paraId="4ABDB220" w14:textId="3A7BFBC3" w:rsidR="002A19C6" w:rsidRPr="002A19C6" w:rsidRDefault="002A19C6" w:rsidP="002A19C6">
          <w:pPr>
            <w:pStyle w:val="EndNoteBibliography"/>
            <w:spacing w:after="0"/>
            <w:ind w:left="720" w:hanging="720"/>
            <w:rPr>
              <w:noProof/>
            </w:rPr>
          </w:pPr>
          <w:bookmarkStart w:id="134" w:name="_ENREF_28"/>
          <w:r w:rsidRPr="002A19C6">
            <w:rPr>
              <w:noProof/>
            </w:rPr>
            <w:t xml:space="preserve">DeLellis, R. A., Sternberger, L. A., Mann, R. B., Banks, P. M., &amp; Nakane, P. K. (1979). Immunoperoxidase technics in diagnostic pathology. Report of a workshop sponsored by the National Cancer Institute. </w:t>
          </w:r>
          <w:r w:rsidRPr="002A19C6">
            <w:rPr>
              <w:i/>
              <w:noProof/>
            </w:rPr>
            <w:t>Am J Clin Pathol</w:t>
          </w:r>
          <w:r w:rsidRPr="002A19C6">
            <w:rPr>
              <w:noProof/>
            </w:rPr>
            <w:t>,</w:t>
          </w:r>
          <w:r w:rsidRPr="002A19C6">
            <w:rPr>
              <w:i/>
              <w:noProof/>
            </w:rPr>
            <w:t xml:space="preserve"> 71</w:t>
          </w:r>
          <w:r w:rsidRPr="002A19C6">
            <w:rPr>
              <w:noProof/>
            </w:rPr>
            <w:t xml:space="preserve">(5), 483-488. </w:t>
          </w:r>
          <w:hyperlink r:id="rId66" w:history="1">
            <w:r w:rsidRPr="002A19C6">
              <w:rPr>
                <w:rStyle w:val="Hyperlink"/>
                <w:rFonts w:cs="Calibri"/>
                <w:noProof/>
              </w:rPr>
              <w:t>https://doi.org/10.1093/ajcp/71.5.483</w:t>
            </w:r>
          </w:hyperlink>
          <w:r w:rsidRPr="002A19C6">
            <w:rPr>
              <w:noProof/>
            </w:rPr>
            <w:t xml:space="preserve"> </w:t>
          </w:r>
          <w:bookmarkEnd w:id="134"/>
        </w:p>
        <w:p w14:paraId="192990DA" w14:textId="0DF84E9C" w:rsidR="002A19C6" w:rsidRPr="002A19C6" w:rsidRDefault="002A19C6" w:rsidP="002A19C6">
          <w:pPr>
            <w:pStyle w:val="EndNoteBibliography"/>
            <w:spacing w:after="0"/>
            <w:ind w:left="720" w:hanging="720"/>
            <w:rPr>
              <w:noProof/>
            </w:rPr>
          </w:pPr>
          <w:bookmarkStart w:id="135" w:name="_ENREF_29"/>
          <w:r w:rsidRPr="002A19C6">
            <w:rPr>
              <w:noProof/>
            </w:rPr>
            <w:t xml:space="preserve">Duvvuri, U., &amp; Myers, J. N. (2009). Contemporary management of oropharyngeal cancer: anatomy and physiology of the oropharynx. </w:t>
          </w:r>
          <w:r w:rsidRPr="002A19C6">
            <w:rPr>
              <w:i/>
              <w:noProof/>
            </w:rPr>
            <w:t>Curr Probl Surg</w:t>
          </w:r>
          <w:r w:rsidRPr="002A19C6">
            <w:rPr>
              <w:noProof/>
            </w:rPr>
            <w:t>,</w:t>
          </w:r>
          <w:r w:rsidRPr="002A19C6">
            <w:rPr>
              <w:i/>
              <w:noProof/>
            </w:rPr>
            <w:t xml:space="preserve"> 46</w:t>
          </w:r>
          <w:r w:rsidRPr="002A19C6">
            <w:rPr>
              <w:noProof/>
            </w:rPr>
            <w:t xml:space="preserve">(2), 119-184. </w:t>
          </w:r>
          <w:hyperlink r:id="rId67" w:history="1">
            <w:r w:rsidRPr="002A19C6">
              <w:rPr>
                <w:rStyle w:val="Hyperlink"/>
                <w:rFonts w:cs="Calibri"/>
                <w:noProof/>
              </w:rPr>
              <w:t>https://doi.org/10.1067/j.cpsurg.2008.10.003</w:t>
            </w:r>
          </w:hyperlink>
          <w:r w:rsidRPr="002A19C6">
            <w:rPr>
              <w:noProof/>
            </w:rPr>
            <w:t xml:space="preserve"> </w:t>
          </w:r>
          <w:bookmarkEnd w:id="135"/>
        </w:p>
        <w:p w14:paraId="31FFF3AE" w14:textId="77777777" w:rsidR="002A19C6" w:rsidRPr="002A19C6" w:rsidRDefault="002A19C6" w:rsidP="002A19C6">
          <w:pPr>
            <w:pStyle w:val="EndNoteBibliography"/>
            <w:spacing w:after="0"/>
            <w:ind w:left="720" w:hanging="720"/>
            <w:rPr>
              <w:noProof/>
            </w:rPr>
          </w:pPr>
          <w:bookmarkStart w:id="136" w:name="_ENREF_30"/>
          <w:r w:rsidRPr="002A19C6">
            <w:rPr>
              <w:noProof/>
            </w:rPr>
            <w:t xml:space="preserve">El-Naggar, A. K., Chan, J. K. C., Grandis, J. R., Takata, T., &amp; Slootweg, P. J. (2017). </w:t>
          </w:r>
          <w:r w:rsidRPr="002A19C6">
            <w:rPr>
              <w:i/>
              <w:noProof/>
            </w:rPr>
            <w:t>WHO Classification of Head and Neck Tumours</w:t>
          </w:r>
          <w:r w:rsidRPr="002A19C6">
            <w:rPr>
              <w:noProof/>
            </w:rPr>
            <w:t xml:space="preserve">. International Agency for Research on Cancer. </w:t>
          </w:r>
          <w:bookmarkEnd w:id="136"/>
        </w:p>
        <w:p w14:paraId="46B8B3C9" w14:textId="08A1D72D" w:rsidR="002A19C6" w:rsidRPr="002A19C6" w:rsidRDefault="002A19C6" w:rsidP="002A19C6">
          <w:pPr>
            <w:pStyle w:val="EndNoteBibliography"/>
            <w:spacing w:after="0"/>
            <w:ind w:left="720" w:hanging="720"/>
            <w:rPr>
              <w:noProof/>
            </w:rPr>
          </w:pPr>
          <w:bookmarkStart w:id="137" w:name="_ENREF_31"/>
          <w:r w:rsidRPr="002A19C6">
            <w:rPr>
              <w:noProof/>
            </w:rPr>
            <w:t xml:space="preserve">Fakhry, C., Westra, W. H., Li, S., Cmelak, A., Ridge, J. A., Pinto, H.,…Gillison, M. L. (2008). Improved survival of patients with human papillomavirus-positive head and neck squamous cell carcinoma in a prospective clinical trial. </w:t>
          </w:r>
          <w:r w:rsidRPr="002A19C6">
            <w:rPr>
              <w:i/>
              <w:noProof/>
            </w:rPr>
            <w:t>J Natl Cancer Inst</w:t>
          </w:r>
          <w:r w:rsidRPr="002A19C6">
            <w:rPr>
              <w:noProof/>
            </w:rPr>
            <w:t>,</w:t>
          </w:r>
          <w:r w:rsidRPr="002A19C6">
            <w:rPr>
              <w:i/>
              <w:noProof/>
            </w:rPr>
            <w:t xml:space="preserve"> 100</w:t>
          </w:r>
          <w:r w:rsidRPr="002A19C6">
            <w:rPr>
              <w:noProof/>
            </w:rPr>
            <w:t xml:space="preserve">(4), 261-269. </w:t>
          </w:r>
          <w:hyperlink r:id="rId68" w:history="1">
            <w:r w:rsidRPr="002A19C6">
              <w:rPr>
                <w:rStyle w:val="Hyperlink"/>
                <w:rFonts w:cs="Calibri"/>
                <w:noProof/>
              </w:rPr>
              <w:t>https://doi.org/10.1093/jnci/djn011</w:t>
            </w:r>
          </w:hyperlink>
          <w:r w:rsidRPr="002A19C6">
            <w:rPr>
              <w:noProof/>
            </w:rPr>
            <w:t xml:space="preserve"> </w:t>
          </w:r>
          <w:bookmarkEnd w:id="137"/>
        </w:p>
        <w:p w14:paraId="09232E14" w14:textId="059C3303" w:rsidR="002A19C6" w:rsidRPr="002A19C6" w:rsidRDefault="002A19C6" w:rsidP="002A19C6">
          <w:pPr>
            <w:pStyle w:val="EndNoteBibliography"/>
            <w:spacing w:after="0"/>
            <w:ind w:left="720" w:hanging="720"/>
            <w:rPr>
              <w:noProof/>
            </w:rPr>
          </w:pPr>
          <w:bookmarkStart w:id="138" w:name="_ENREF_32"/>
          <w:r w:rsidRPr="002A19C6">
            <w:rPr>
              <w:noProof/>
            </w:rPr>
            <w:t xml:space="preserve">Ferlay, J., Colombet, M., Soerjomataram, I., Parkin, D. M., Pineros, M., Znaor, A., &amp; Bray, F. (2021). Cancer statistics for the year 2020: An overview. </w:t>
          </w:r>
          <w:r w:rsidRPr="002A19C6">
            <w:rPr>
              <w:i/>
              <w:noProof/>
            </w:rPr>
            <w:t>Int J Cancer</w:t>
          </w:r>
          <w:r w:rsidRPr="002A19C6">
            <w:rPr>
              <w:noProof/>
            </w:rPr>
            <w:t xml:space="preserve">. </w:t>
          </w:r>
          <w:hyperlink r:id="rId69" w:history="1">
            <w:r w:rsidRPr="002A19C6">
              <w:rPr>
                <w:rStyle w:val="Hyperlink"/>
                <w:rFonts w:cs="Calibri"/>
                <w:noProof/>
              </w:rPr>
              <w:t>https://doi.org/10.1002/ijc.33588</w:t>
            </w:r>
          </w:hyperlink>
          <w:r w:rsidRPr="002A19C6">
            <w:rPr>
              <w:noProof/>
            </w:rPr>
            <w:t xml:space="preserve"> </w:t>
          </w:r>
          <w:bookmarkEnd w:id="138"/>
        </w:p>
        <w:p w14:paraId="68EE525A" w14:textId="7909C3FA" w:rsidR="002A19C6" w:rsidRPr="002A19C6" w:rsidRDefault="002A19C6" w:rsidP="002A19C6">
          <w:pPr>
            <w:pStyle w:val="EndNoteBibliography"/>
            <w:spacing w:after="0"/>
            <w:ind w:left="720" w:hanging="720"/>
            <w:rPr>
              <w:noProof/>
            </w:rPr>
          </w:pPr>
          <w:bookmarkStart w:id="139" w:name="_ENREF_33"/>
          <w:r w:rsidRPr="002A19C6">
            <w:rPr>
              <w:noProof/>
            </w:rPr>
            <w:t xml:space="preserve">Gillison, M. L., D'Souza, G., Westra, W., Sugar, E., Xiao, W., Begum, S., &amp; Viscidi, R. (2008). Distinct risk factor profiles for human papillomavirus type 16-positive and human papillomavirus type 16-negative head and neck cancers. </w:t>
          </w:r>
          <w:r w:rsidRPr="002A19C6">
            <w:rPr>
              <w:i/>
              <w:noProof/>
            </w:rPr>
            <w:t>J Natl Cancer Inst</w:t>
          </w:r>
          <w:r w:rsidRPr="002A19C6">
            <w:rPr>
              <w:noProof/>
            </w:rPr>
            <w:t>,</w:t>
          </w:r>
          <w:r w:rsidRPr="002A19C6">
            <w:rPr>
              <w:i/>
              <w:noProof/>
            </w:rPr>
            <w:t xml:space="preserve"> 100</w:t>
          </w:r>
          <w:r w:rsidRPr="002A19C6">
            <w:rPr>
              <w:noProof/>
            </w:rPr>
            <w:t xml:space="preserve">(6), 407-420. </w:t>
          </w:r>
          <w:hyperlink r:id="rId70" w:history="1">
            <w:r w:rsidRPr="002A19C6">
              <w:rPr>
                <w:rStyle w:val="Hyperlink"/>
                <w:rFonts w:cs="Calibri"/>
                <w:noProof/>
              </w:rPr>
              <w:t>https://doi.org/10.1093/jnci/djn025</w:t>
            </w:r>
          </w:hyperlink>
          <w:r w:rsidRPr="002A19C6">
            <w:rPr>
              <w:noProof/>
            </w:rPr>
            <w:t xml:space="preserve"> </w:t>
          </w:r>
          <w:bookmarkEnd w:id="139"/>
        </w:p>
        <w:p w14:paraId="4FD96BE4" w14:textId="4BC7FCE5" w:rsidR="002A19C6" w:rsidRPr="002A19C6" w:rsidRDefault="002A19C6" w:rsidP="002A19C6">
          <w:pPr>
            <w:pStyle w:val="EndNoteBibliography"/>
            <w:spacing w:after="0"/>
            <w:ind w:left="720" w:hanging="720"/>
            <w:rPr>
              <w:noProof/>
            </w:rPr>
          </w:pPr>
          <w:bookmarkStart w:id="140" w:name="_ENREF_34"/>
          <w:r w:rsidRPr="002A19C6">
            <w:rPr>
              <w:noProof/>
            </w:rPr>
            <w:t xml:space="preserve">Gillison, M. L., Koch, W. M., Capone, R. B., Spafford, M., Westra, W. H., Wu, L.,…Sidransky, D. (2000). Evidence for a causal association between human papillomavirus and a subset of head and neck cancers. </w:t>
          </w:r>
          <w:r w:rsidRPr="002A19C6">
            <w:rPr>
              <w:i/>
              <w:noProof/>
            </w:rPr>
            <w:t>J Natl Cancer Inst</w:t>
          </w:r>
          <w:r w:rsidRPr="002A19C6">
            <w:rPr>
              <w:noProof/>
            </w:rPr>
            <w:t>,</w:t>
          </w:r>
          <w:r w:rsidRPr="002A19C6">
            <w:rPr>
              <w:i/>
              <w:noProof/>
            </w:rPr>
            <w:t xml:space="preserve"> 92</w:t>
          </w:r>
          <w:r w:rsidRPr="002A19C6">
            <w:rPr>
              <w:noProof/>
            </w:rPr>
            <w:t xml:space="preserve">(9), 709-720. </w:t>
          </w:r>
          <w:hyperlink r:id="rId71" w:history="1">
            <w:r w:rsidRPr="002A19C6">
              <w:rPr>
                <w:rStyle w:val="Hyperlink"/>
                <w:rFonts w:cs="Calibri"/>
                <w:noProof/>
              </w:rPr>
              <w:t>https://doi.org/10.1093/jnci/92.9.709</w:t>
            </w:r>
          </w:hyperlink>
          <w:r w:rsidRPr="002A19C6">
            <w:rPr>
              <w:noProof/>
            </w:rPr>
            <w:t xml:space="preserve"> </w:t>
          </w:r>
          <w:bookmarkEnd w:id="140"/>
        </w:p>
        <w:p w14:paraId="5A1A0048" w14:textId="05CC97F4" w:rsidR="002A19C6" w:rsidRPr="002A19C6" w:rsidRDefault="002A19C6" w:rsidP="002A19C6">
          <w:pPr>
            <w:pStyle w:val="EndNoteBibliography"/>
            <w:spacing w:after="0"/>
            <w:ind w:left="720" w:hanging="720"/>
            <w:rPr>
              <w:noProof/>
            </w:rPr>
          </w:pPr>
          <w:bookmarkStart w:id="141" w:name="_ENREF_35"/>
          <w:r w:rsidRPr="002A19C6">
            <w:rPr>
              <w:noProof/>
            </w:rPr>
            <w:t xml:space="preserve">Giltnane, J. M., &amp; Rimm, D. L. (2004). Technology insight: Identification of biomarkers with tissue microarray technology. </w:t>
          </w:r>
          <w:r w:rsidRPr="002A19C6">
            <w:rPr>
              <w:i/>
              <w:noProof/>
            </w:rPr>
            <w:t>Nat Clin Pract Oncol</w:t>
          </w:r>
          <w:r w:rsidRPr="002A19C6">
            <w:rPr>
              <w:noProof/>
            </w:rPr>
            <w:t>,</w:t>
          </w:r>
          <w:r w:rsidRPr="002A19C6">
            <w:rPr>
              <w:i/>
              <w:noProof/>
            </w:rPr>
            <w:t xml:space="preserve"> 1</w:t>
          </w:r>
          <w:r w:rsidRPr="002A19C6">
            <w:rPr>
              <w:noProof/>
            </w:rPr>
            <w:t xml:space="preserve">(2), 104-111. </w:t>
          </w:r>
          <w:hyperlink r:id="rId72" w:history="1">
            <w:r w:rsidRPr="002A19C6">
              <w:rPr>
                <w:rStyle w:val="Hyperlink"/>
                <w:rFonts w:cs="Calibri"/>
                <w:noProof/>
              </w:rPr>
              <w:t>https://doi.org/10.1038/ncponc0046</w:t>
            </w:r>
          </w:hyperlink>
          <w:r w:rsidRPr="002A19C6">
            <w:rPr>
              <w:noProof/>
            </w:rPr>
            <w:t xml:space="preserve"> </w:t>
          </w:r>
          <w:bookmarkEnd w:id="141"/>
        </w:p>
        <w:p w14:paraId="4FA5660E" w14:textId="31425608" w:rsidR="002A19C6" w:rsidRPr="002A19C6" w:rsidRDefault="002A19C6" w:rsidP="002A19C6">
          <w:pPr>
            <w:pStyle w:val="EndNoteBibliography"/>
            <w:spacing w:after="0"/>
            <w:ind w:left="720" w:hanging="720"/>
            <w:rPr>
              <w:noProof/>
            </w:rPr>
          </w:pPr>
          <w:bookmarkStart w:id="142" w:name="_ENREF_36"/>
          <w:r w:rsidRPr="002A19C6">
            <w:rPr>
              <w:noProof/>
            </w:rPr>
            <w:t xml:space="preserve">Ginestier, C., Hur, M. H., Charafe-Jauffret, E., Monville, F., Dutcher, J., Brown, M.,…Dontu, G. (2007). ALDH1 is a marker of normal and malignant human mammary stem cells and a predictor of poor clinical outcome. </w:t>
          </w:r>
          <w:r w:rsidRPr="002A19C6">
            <w:rPr>
              <w:i/>
              <w:noProof/>
            </w:rPr>
            <w:t>Cell Stem Cell</w:t>
          </w:r>
          <w:r w:rsidRPr="002A19C6">
            <w:rPr>
              <w:noProof/>
            </w:rPr>
            <w:t>,</w:t>
          </w:r>
          <w:r w:rsidRPr="002A19C6">
            <w:rPr>
              <w:i/>
              <w:noProof/>
            </w:rPr>
            <w:t xml:space="preserve"> 1</w:t>
          </w:r>
          <w:r w:rsidRPr="002A19C6">
            <w:rPr>
              <w:noProof/>
            </w:rPr>
            <w:t xml:space="preserve">(5), 555-567. </w:t>
          </w:r>
          <w:hyperlink r:id="rId73" w:history="1">
            <w:r w:rsidRPr="002A19C6">
              <w:rPr>
                <w:rStyle w:val="Hyperlink"/>
                <w:rFonts w:cs="Calibri"/>
                <w:noProof/>
              </w:rPr>
              <w:t>https://doi.org/10.1016/j.stem.2007.08.014</w:t>
            </w:r>
          </w:hyperlink>
          <w:r w:rsidRPr="002A19C6">
            <w:rPr>
              <w:noProof/>
            </w:rPr>
            <w:t xml:space="preserve"> </w:t>
          </w:r>
          <w:bookmarkEnd w:id="142"/>
        </w:p>
        <w:p w14:paraId="4B6B1CFF" w14:textId="5E036287" w:rsidR="002A19C6" w:rsidRPr="002A19C6" w:rsidRDefault="002A19C6" w:rsidP="002A19C6">
          <w:pPr>
            <w:pStyle w:val="EndNoteBibliography"/>
            <w:spacing w:after="0"/>
            <w:ind w:left="720" w:hanging="720"/>
            <w:rPr>
              <w:noProof/>
            </w:rPr>
          </w:pPr>
          <w:bookmarkStart w:id="143" w:name="_ENREF_37"/>
          <w:r w:rsidRPr="002A19C6">
            <w:rPr>
              <w:noProof/>
            </w:rPr>
            <w:t xml:space="preserve">Hafkamp, H. C., Manni, J. J., Haesevoets, A., Voogd, A. C., Schepers, M., Bot, F. J.,…Speel, E. J. (2008). Marked differences in survival rate between smokers and nonsmokers with HPV 16-associated tonsillar carcinomas. </w:t>
          </w:r>
          <w:r w:rsidRPr="002A19C6">
            <w:rPr>
              <w:i/>
              <w:noProof/>
            </w:rPr>
            <w:t>Int J Cancer</w:t>
          </w:r>
          <w:r w:rsidRPr="002A19C6">
            <w:rPr>
              <w:noProof/>
            </w:rPr>
            <w:t>,</w:t>
          </w:r>
          <w:r w:rsidRPr="002A19C6">
            <w:rPr>
              <w:i/>
              <w:noProof/>
            </w:rPr>
            <w:t xml:space="preserve"> 122</w:t>
          </w:r>
          <w:r w:rsidRPr="002A19C6">
            <w:rPr>
              <w:noProof/>
            </w:rPr>
            <w:t xml:space="preserve">(12), 2656-2664. </w:t>
          </w:r>
          <w:hyperlink r:id="rId74" w:history="1">
            <w:r w:rsidRPr="002A19C6">
              <w:rPr>
                <w:rStyle w:val="Hyperlink"/>
                <w:rFonts w:cs="Calibri"/>
                <w:noProof/>
              </w:rPr>
              <w:t>https://doi.org/10.1002/ijc.23458</w:t>
            </w:r>
          </w:hyperlink>
          <w:r w:rsidRPr="002A19C6">
            <w:rPr>
              <w:noProof/>
            </w:rPr>
            <w:t xml:space="preserve"> </w:t>
          </w:r>
          <w:bookmarkEnd w:id="143"/>
        </w:p>
        <w:p w14:paraId="3A98BEC5" w14:textId="77777777" w:rsidR="002A19C6" w:rsidRPr="002A19C6" w:rsidRDefault="002A19C6" w:rsidP="002A19C6">
          <w:pPr>
            <w:pStyle w:val="EndNoteBibliography"/>
            <w:spacing w:after="0"/>
            <w:ind w:left="720" w:hanging="720"/>
            <w:rPr>
              <w:noProof/>
            </w:rPr>
          </w:pPr>
          <w:bookmarkStart w:id="144" w:name="_ENREF_38"/>
          <w:r w:rsidRPr="002A19C6">
            <w:rPr>
              <w:noProof/>
            </w:rPr>
            <w:t xml:space="preserve">Heinrich, P. C., Müller, M., &amp; Graeve, L. (2014). </w:t>
          </w:r>
          <w:r w:rsidRPr="002A19C6">
            <w:rPr>
              <w:i/>
              <w:noProof/>
            </w:rPr>
            <w:t>Löffler/Petrides Biochemie und Pathobiochemie</w:t>
          </w:r>
          <w:r w:rsidRPr="002A19C6">
            <w:rPr>
              <w:noProof/>
            </w:rPr>
            <w:t xml:space="preserve">. Springer Berlin Heidelberg. </w:t>
          </w:r>
          <w:bookmarkEnd w:id="144"/>
        </w:p>
        <w:p w14:paraId="2D55D305" w14:textId="4C090FAB" w:rsidR="002A19C6" w:rsidRPr="002A19C6" w:rsidRDefault="002A19C6" w:rsidP="002A19C6">
          <w:pPr>
            <w:pStyle w:val="EndNoteBibliography"/>
            <w:spacing w:after="0"/>
            <w:ind w:left="720" w:hanging="720"/>
            <w:rPr>
              <w:noProof/>
            </w:rPr>
          </w:pPr>
          <w:bookmarkStart w:id="145" w:name="_ENREF_39"/>
          <w:r w:rsidRPr="002A19C6">
            <w:rPr>
              <w:noProof/>
            </w:rPr>
            <w:t xml:space="preserve">Herrmann, K., &amp; Niedobitek, G. (2003). Epstein-Barr virus-associated carcinomas: facts and fiction. </w:t>
          </w:r>
          <w:r w:rsidRPr="002A19C6">
            <w:rPr>
              <w:i/>
              <w:noProof/>
            </w:rPr>
            <w:t>J Pathol</w:t>
          </w:r>
          <w:r w:rsidRPr="002A19C6">
            <w:rPr>
              <w:noProof/>
            </w:rPr>
            <w:t>,</w:t>
          </w:r>
          <w:r w:rsidRPr="002A19C6">
            <w:rPr>
              <w:i/>
              <w:noProof/>
            </w:rPr>
            <w:t xml:space="preserve"> 199</w:t>
          </w:r>
          <w:r w:rsidRPr="002A19C6">
            <w:rPr>
              <w:noProof/>
            </w:rPr>
            <w:t xml:space="preserve">(2), 140-145. </w:t>
          </w:r>
          <w:hyperlink r:id="rId75" w:history="1">
            <w:r w:rsidRPr="002A19C6">
              <w:rPr>
                <w:rStyle w:val="Hyperlink"/>
                <w:rFonts w:cs="Calibri"/>
                <w:noProof/>
              </w:rPr>
              <w:t>https://doi.org/10.1002/path.1296</w:t>
            </w:r>
          </w:hyperlink>
          <w:r w:rsidRPr="002A19C6">
            <w:rPr>
              <w:noProof/>
            </w:rPr>
            <w:t xml:space="preserve"> </w:t>
          </w:r>
          <w:bookmarkEnd w:id="145"/>
        </w:p>
        <w:p w14:paraId="7895F13A" w14:textId="118CBF4B" w:rsidR="002A19C6" w:rsidRPr="002A19C6" w:rsidRDefault="002A19C6" w:rsidP="002A19C6">
          <w:pPr>
            <w:pStyle w:val="EndNoteBibliography"/>
            <w:spacing w:after="0"/>
            <w:ind w:left="720" w:hanging="720"/>
            <w:rPr>
              <w:noProof/>
            </w:rPr>
          </w:pPr>
          <w:bookmarkStart w:id="146" w:name="_ENREF_40"/>
          <w:r w:rsidRPr="002A19C6">
            <w:rPr>
              <w:noProof/>
            </w:rPr>
            <w:t xml:space="preserve">Joos, S., Nettelbeck, D. M., Reil-Held, A., Engelmann, K., Moosmann, A., Eggert, A.,…Baumann, M. (2019). German Cancer Consortium (DKTK) - A national consortium for translational cancer research. </w:t>
          </w:r>
          <w:r w:rsidRPr="002A19C6">
            <w:rPr>
              <w:i/>
              <w:noProof/>
            </w:rPr>
            <w:t>Mol Oncol</w:t>
          </w:r>
          <w:r w:rsidRPr="002A19C6">
            <w:rPr>
              <w:noProof/>
            </w:rPr>
            <w:t>,</w:t>
          </w:r>
          <w:r w:rsidRPr="002A19C6">
            <w:rPr>
              <w:i/>
              <w:noProof/>
            </w:rPr>
            <w:t xml:space="preserve"> 13</w:t>
          </w:r>
          <w:r w:rsidRPr="002A19C6">
            <w:rPr>
              <w:noProof/>
            </w:rPr>
            <w:t xml:space="preserve">(3), 535-542. </w:t>
          </w:r>
          <w:hyperlink r:id="rId76" w:history="1">
            <w:r w:rsidRPr="002A19C6">
              <w:rPr>
                <w:rStyle w:val="Hyperlink"/>
                <w:rFonts w:cs="Calibri"/>
                <w:noProof/>
              </w:rPr>
              <w:t>https://doi.org/10.1002/1878-0261.12430</w:t>
            </w:r>
          </w:hyperlink>
          <w:r w:rsidRPr="002A19C6">
            <w:rPr>
              <w:noProof/>
            </w:rPr>
            <w:t xml:space="preserve"> </w:t>
          </w:r>
          <w:bookmarkEnd w:id="146"/>
        </w:p>
        <w:p w14:paraId="163DA4EE" w14:textId="77777777" w:rsidR="002A19C6" w:rsidRPr="002A19C6" w:rsidRDefault="002A19C6" w:rsidP="002A19C6">
          <w:pPr>
            <w:pStyle w:val="EndNoteBibliography"/>
            <w:spacing w:after="0"/>
            <w:ind w:left="720" w:hanging="720"/>
            <w:rPr>
              <w:noProof/>
            </w:rPr>
          </w:pPr>
          <w:bookmarkStart w:id="147" w:name="_ENREF_41"/>
          <w:r w:rsidRPr="002A19C6">
            <w:rPr>
              <w:noProof/>
            </w:rPr>
            <w:t xml:space="preserve">Jütz, M., Linge, A., von Neubeck, C., Lohaus, F., Tinhofer, I., Budach, V.,…DKTK-ROG. (2015). Prognostisches Potential von CD44 als Tumorstammzellmarker für die kombinierte Radiochemotherapie des lokal fortgeschrittenen Kopf-Hals-Plattenepithelkarzinoms. Symposium Experimentelle Strahlentherapie und klinische Strahlenbiologie, </w:t>
          </w:r>
          <w:bookmarkEnd w:id="147"/>
        </w:p>
        <w:p w14:paraId="010E0F62" w14:textId="00185A24" w:rsidR="002A19C6" w:rsidRPr="002A19C6" w:rsidRDefault="002A19C6" w:rsidP="002A19C6">
          <w:pPr>
            <w:pStyle w:val="EndNoteBibliography"/>
            <w:spacing w:after="0"/>
            <w:ind w:left="720" w:hanging="720"/>
            <w:rPr>
              <w:noProof/>
            </w:rPr>
          </w:pPr>
          <w:bookmarkStart w:id="148" w:name="_ENREF_42"/>
          <w:r w:rsidRPr="002A19C6">
            <w:rPr>
              <w:noProof/>
            </w:rPr>
            <w:t xml:space="preserve">Klijanienko, J., el-Naggar, A., Ponzio-Prion, A., Marandas, P., Micheau, C., &amp; Caillaud, J. M. (1993). Basaloid squamous carcinoma of the head and neck. Immunohistochemical comparison with adenoid cystic carcinoma and squamous cell carcinoma. </w:t>
          </w:r>
          <w:r w:rsidRPr="002A19C6">
            <w:rPr>
              <w:i/>
              <w:noProof/>
            </w:rPr>
            <w:t>Arch Otolaryngol Head Neck Surg</w:t>
          </w:r>
          <w:r w:rsidRPr="002A19C6">
            <w:rPr>
              <w:noProof/>
            </w:rPr>
            <w:t>,</w:t>
          </w:r>
          <w:r w:rsidRPr="002A19C6">
            <w:rPr>
              <w:i/>
              <w:noProof/>
            </w:rPr>
            <w:t xml:space="preserve"> 119</w:t>
          </w:r>
          <w:r w:rsidRPr="002A19C6">
            <w:rPr>
              <w:noProof/>
            </w:rPr>
            <w:t xml:space="preserve">(8), 887-890. </w:t>
          </w:r>
          <w:hyperlink r:id="rId77" w:history="1">
            <w:r w:rsidRPr="002A19C6">
              <w:rPr>
                <w:rStyle w:val="Hyperlink"/>
                <w:rFonts w:cs="Calibri"/>
                <w:noProof/>
              </w:rPr>
              <w:t>https://doi.org/10.1001/archotol.1993.01880200093013</w:t>
            </w:r>
          </w:hyperlink>
          <w:r w:rsidRPr="002A19C6">
            <w:rPr>
              <w:noProof/>
            </w:rPr>
            <w:t xml:space="preserve"> </w:t>
          </w:r>
          <w:bookmarkEnd w:id="148"/>
        </w:p>
        <w:p w14:paraId="02BCC83C" w14:textId="070FC8C0" w:rsidR="002A19C6" w:rsidRPr="002A19C6" w:rsidRDefault="002A19C6" w:rsidP="002A19C6">
          <w:pPr>
            <w:pStyle w:val="EndNoteBibliography"/>
            <w:spacing w:after="0"/>
            <w:ind w:left="720" w:hanging="720"/>
            <w:rPr>
              <w:noProof/>
            </w:rPr>
          </w:pPr>
          <w:bookmarkStart w:id="149" w:name="_ENREF_43"/>
          <w:r w:rsidRPr="002A19C6">
            <w:rPr>
              <w:noProof/>
            </w:rPr>
            <w:t xml:space="preserve">Klussmann, J. P., Weissenborn, S. J., Wieland, U., Dries, V., Eckel, H. E., Pfister, H. J., &amp; Fuchs, P. G. (2003). Human papillomavirus-positive tonsillar carcinomas: a different tumor entity? </w:t>
          </w:r>
          <w:r w:rsidRPr="002A19C6">
            <w:rPr>
              <w:i/>
              <w:noProof/>
            </w:rPr>
            <w:t>Med Microbiol Immunol</w:t>
          </w:r>
          <w:r w:rsidRPr="002A19C6">
            <w:rPr>
              <w:noProof/>
            </w:rPr>
            <w:t>,</w:t>
          </w:r>
          <w:r w:rsidRPr="002A19C6">
            <w:rPr>
              <w:i/>
              <w:noProof/>
            </w:rPr>
            <w:t xml:space="preserve"> 192</w:t>
          </w:r>
          <w:r w:rsidRPr="002A19C6">
            <w:rPr>
              <w:noProof/>
            </w:rPr>
            <w:t xml:space="preserve">(3), 129-132. </w:t>
          </w:r>
          <w:hyperlink r:id="rId78" w:history="1">
            <w:r w:rsidRPr="002A19C6">
              <w:rPr>
                <w:rStyle w:val="Hyperlink"/>
                <w:rFonts w:cs="Calibri"/>
                <w:noProof/>
              </w:rPr>
              <w:t>https://doi.org/10.1007/s00430-002-0126-1</w:t>
            </w:r>
          </w:hyperlink>
          <w:r w:rsidRPr="002A19C6">
            <w:rPr>
              <w:noProof/>
            </w:rPr>
            <w:t xml:space="preserve"> </w:t>
          </w:r>
          <w:bookmarkEnd w:id="149"/>
        </w:p>
        <w:p w14:paraId="57415A19" w14:textId="53B79648" w:rsidR="002A19C6" w:rsidRPr="002A19C6" w:rsidRDefault="002A19C6" w:rsidP="002A19C6">
          <w:pPr>
            <w:pStyle w:val="EndNoteBibliography"/>
            <w:spacing w:after="0"/>
            <w:ind w:left="720" w:hanging="720"/>
            <w:rPr>
              <w:noProof/>
            </w:rPr>
          </w:pPr>
          <w:bookmarkStart w:id="150" w:name="_ENREF_44"/>
          <w:r w:rsidRPr="002A19C6">
            <w:rPr>
              <w:noProof/>
            </w:rPr>
            <w:lastRenderedPageBreak/>
            <w:t xml:space="preserve">Klussmann, J. P., Weissenborn, S. J., Wieland, U., Dries, V., Kolligs, J., Jungehuelsing, M.,…Fuchs, P. G. (2001). Prevalence, distribution, and viral load of human papillomavirus 16 DNA in tonsillar carcinomas. </w:t>
          </w:r>
          <w:r w:rsidRPr="002A19C6">
            <w:rPr>
              <w:i/>
              <w:noProof/>
            </w:rPr>
            <w:t>Cancer</w:t>
          </w:r>
          <w:r w:rsidRPr="002A19C6">
            <w:rPr>
              <w:noProof/>
            </w:rPr>
            <w:t>,</w:t>
          </w:r>
          <w:r w:rsidRPr="002A19C6">
            <w:rPr>
              <w:i/>
              <w:noProof/>
            </w:rPr>
            <w:t xml:space="preserve"> 92</w:t>
          </w:r>
          <w:r w:rsidRPr="002A19C6">
            <w:rPr>
              <w:noProof/>
            </w:rPr>
            <w:t xml:space="preserve">(11), 2875-2884. </w:t>
          </w:r>
          <w:hyperlink r:id="rId79" w:history="1">
            <w:r w:rsidRPr="002A19C6">
              <w:rPr>
                <w:rStyle w:val="Hyperlink"/>
                <w:rFonts w:cs="Calibri"/>
                <w:noProof/>
              </w:rPr>
              <w:t>https://doi.org/10.1002/1097-0142(20011201)92:11</w:t>
            </w:r>
          </w:hyperlink>
          <w:r w:rsidRPr="002A19C6">
            <w:rPr>
              <w:noProof/>
            </w:rPr>
            <w:t xml:space="preserve">&lt;2875::aid-cncr10130&gt;3.0.co;2-7 </w:t>
          </w:r>
          <w:bookmarkEnd w:id="150"/>
        </w:p>
        <w:p w14:paraId="12FAFB95" w14:textId="2E169996" w:rsidR="002A19C6" w:rsidRPr="002A19C6" w:rsidRDefault="002A19C6" w:rsidP="002A19C6">
          <w:pPr>
            <w:pStyle w:val="EndNoteBibliography"/>
            <w:spacing w:after="0"/>
            <w:ind w:left="720" w:hanging="720"/>
            <w:rPr>
              <w:noProof/>
            </w:rPr>
          </w:pPr>
          <w:bookmarkStart w:id="151" w:name="_ENREF_45"/>
          <w:r w:rsidRPr="002A19C6">
            <w:rPr>
              <w:noProof/>
            </w:rPr>
            <w:t xml:space="preserve">Kononen, J., Bubendorf, L., Kallioniemi, A., Barlund, M., Schraml, P., Leighton, S.,…Kallioniemi, O. P. (1998). Tissue microarrays for high-throughput molecular profiling of tumor specimens. </w:t>
          </w:r>
          <w:r w:rsidRPr="002A19C6">
            <w:rPr>
              <w:i/>
              <w:noProof/>
            </w:rPr>
            <w:t>Nat Med</w:t>
          </w:r>
          <w:r w:rsidRPr="002A19C6">
            <w:rPr>
              <w:noProof/>
            </w:rPr>
            <w:t>,</w:t>
          </w:r>
          <w:r w:rsidRPr="002A19C6">
            <w:rPr>
              <w:i/>
              <w:noProof/>
            </w:rPr>
            <w:t xml:space="preserve"> 4</w:t>
          </w:r>
          <w:r w:rsidRPr="002A19C6">
            <w:rPr>
              <w:noProof/>
            </w:rPr>
            <w:t xml:space="preserve">(7), 844-847. </w:t>
          </w:r>
          <w:hyperlink r:id="rId80" w:history="1">
            <w:r w:rsidRPr="002A19C6">
              <w:rPr>
                <w:rStyle w:val="Hyperlink"/>
                <w:rFonts w:cs="Calibri"/>
                <w:noProof/>
              </w:rPr>
              <w:t>https://doi.org/10.1038/nm0798-844</w:t>
            </w:r>
          </w:hyperlink>
          <w:r w:rsidRPr="002A19C6">
            <w:rPr>
              <w:noProof/>
            </w:rPr>
            <w:t xml:space="preserve"> </w:t>
          </w:r>
          <w:bookmarkEnd w:id="151"/>
        </w:p>
        <w:p w14:paraId="239B8F15" w14:textId="2A12D7CD" w:rsidR="002A19C6" w:rsidRPr="002A19C6" w:rsidRDefault="002A19C6" w:rsidP="002A19C6">
          <w:pPr>
            <w:pStyle w:val="EndNoteBibliography"/>
            <w:spacing w:after="0"/>
            <w:ind w:left="720" w:hanging="720"/>
            <w:rPr>
              <w:noProof/>
            </w:rPr>
          </w:pPr>
          <w:bookmarkStart w:id="152" w:name="_ENREF_46"/>
          <w:r w:rsidRPr="002A19C6">
            <w:rPr>
              <w:noProof/>
            </w:rPr>
            <w:t xml:space="preserve">Krause, M., Yaromina, A., Eicheler, W., Koch, U., &amp; Baumann, M. (2011). Cancer stem cells: targets and potential biomarkers for radiotherapy. </w:t>
          </w:r>
          <w:r w:rsidRPr="002A19C6">
            <w:rPr>
              <w:i/>
              <w:noProof/>
            </w:rPr>
            <w:t>Clin Cancer Res</w:t>
          </w:r>
          <w:r w:rsidRPr="002A19C6">
            <w:rPr>
              <w:noProof/>
            </w:rPr>
            <w:t>,</w:t>
          </w:r>
          <w:r w:rsidRPr="002A19C6">
            <w:rPr>
              <w:i/>
              <w:noProof/>
            </w:rPr>
            <w:t xml:space="preserve"> 17</w:t>
          </w:r>
          <w:r w:rsidRPr="002A19C6">
            <w:rPr>
              <w:noProof/>
            </w:rPr>
            <w:t xml:space="preserve">(23), 7224-7229. </w:t>
          </w:r>
          <w:hyperlink r:id="rId81" w:history="1">
            <w:r w:rsidRPr="002A19C6">
              <w:rPr>
                <w:rStyle w:val="Hyperlink"/>
                <w:rFonts w:cs="Calibri"/>
                <w:noProof/>
              </w:rPr>
              <w:t>https://doi.org/10.1158/1078-0432.Ccr-10-2639</w:t>
            </w:r>
          </w:hyperlink>
          <w:r w:rsidRPr="002A19C6">
            <w:rPr>
              <w:noProof/>
            </w:rPr>
            <w:t xml:space="preserve"> </w:t>
          </w:r>
          <w:bookmarkEnd w:id="152"/>
        </w:p>
        <w:p w14:paraId="083A3CFF" w14:textId="77777777" w:rsidR="002A19C6" w:rsidRPr="002A19C6" w:rsidRDefault="002A19C6" w:rsidP="002A19C6">
          <w:pPr>
            <w:pStyle w:val="EndNoteBibliography"/>
            <w:spacing w:after="0"/>
            <w:ind w:left="720" w:hanging="720"/>
            <w:rPr>
              <w:noProof/>
            </w:rPr>
          </w:pPr>
          <w:bookmarkStart w:id="153" w:name="_ENREF_47"/>
          <w:r w:rsidRPr="002A19C6">
            <w:rPr>
              <w:noProof/>
            </w:rPr>
            <w:t xml:space="preserve">Lenarz, T., &amp; Boenninghaus, H. G. (2012). </w:t>
          </w:r>
          <w:r w:rsidRPr="002A19C6">
            <w:rPr>
              <w:i/>
              <w:noProof/>
            </w:rPr>
            <w:t>Hals-Nasen-Ohren-Heilkunde</w:t>
          </w:r>
          <w:r w:rsidRPr="002A19C6">
            <w:rPr>
              <w:noProof/>
            </w:rPr>
            <w:t xml:space="preserve">. Springer Berlin Heidelberg. </w:t>
          </w:r>
          <w:bookmarkEnd w:id="153"/>
        </w:p>
        <w:p w14:paraId="7704FD20" w14:textId="78492BB6" w:rsidR="002A19C6" w:rsidRPr="002A19C6" w:rsidRDefault="002A19C6" w:rsidP="002A19C6">
          <w:pPr>
            <w:pStyle w:val="EndNoteBibliography"/>
            <w:spacing w:after="0"/>
            <w:ind w:left="720" w:hanging="720"/>
            <w:rPr>
              <w:noProof/>
            </w:rPr>
          </w:pPr>
          <w:bookmarkStart w:id="154" w:name="_ENREF_48"/>
          <w:r w:rsidRPr="002A19C6">
            <w:rPr>
              <w:noProof/>
            </w:rPr>
            <w:t xml:space="preserve">Lindel, K., Beer, K. T., Laissue, J., Greiner, R. H., &amp; Aebersold, D. M. (2001). Human papillomavirus positive squamous cell carcinoma of the oropharynx: a radiosensitive subgroup of head and neck carcinoma. </w:t>
          </w:r>
          <w:r w:rsidRPr="002A19C6">
            <w:rPr>
              <w:i/>
              <w:noProof/>
            </w:rPr>
            <w:t>Cancer</w:t>
          </w:r>
          <w:r w:rsidRPr="002A19C6">
            <w:rPr>
              <w:noProof/>
            </w:rPr>
            <w:t>,</w:t>
          </w:r>
          <w:r w:rsidRPr="002A19C6">
            <w:rPr>
              <w:i/>
              <w:noProof/>
            </w:rPr>
            <w:t xml:space="preserve"> 92</w:t>
          </w:r>
          <w:r w:rsidRPr="002A19C6">
            <w:rPr>
              <w:noProof/>
            </w:rPr>
            <w:t xml:space="preserve">(4), 805-813. </w:t>
          </w:r>
          <w:hyperlink r:id="rId82" w:history="1">
            <w:r w:rsidRPr="002A19C6">
              <w:rPr>
                <w:rStyle w:val="Hyperlink"/>
                <w:rFonts w:cs="Calibri"/>
                <w:noProof/>
              </w:rPr>
              <w:t>https://doi.org/10.1002/1097-0142(20010815)92:4</w:t>
            </w:r>
          </w:hyperlink>
          <w:r w:rsidRPr="002A19C6">
            <w:rPr>
              <w:noProof/>
            </w:rPr>
            <w:t xml:space="preserve">&lt;805::aid-cncr1386&gt;3.0.co;2-9 </w:t>
          </w:r>
          <w:bookmarkEnd w:id="154"/>
        </w:p>
        <w:p w14:paraId="1E340290" w14:textId="574A4D1B" w:rsidR="002A19C6" w:rsidRPr="002A19C6" w:rsidRDefault="002A19C6" w:rsidP="002A19C6">
          <w:pPr>
            <w:pStyle w:val="EndNoteBibliography"/>
            <w:spacing w:after="0"/>
            <w:ind w:left="720" w:hanging="720"/>
            <w:rPr>
              <w:noProof/>
            </w:rPr>
          </w:pPr>
          <w:bookmarkStart w:id="155" w:name="_ENREF_49"/>
          <w:r w:rsidRPr="002A19C6">
            <w:rPr>
              <w:noProof/>
            </w:rPr>
            <w:t xml:space="preserve">Lindquist, D., Romanitan, M., Hammarstedt, L., Näsman, A., Dahlstrand, H., Lindholm, J.,…Dalianis, T. (2007). Human papillomavirus is a favourable prognostic factor in tonsillar cancer and its oncogenic role is supported by the expression of E6 and E7. </w:t>
          </w:r>
          <w:r w:rsidRPr="002A19C6">
            <w:rPr>
              <w:i/>
              <w:noProof/>
            </w:rPr>
            <w:t>Mol Oncol</w:t>
          </w:r>
          <w:r w:rsidRPr="002A19C6">
            <w:rPr>
              <w:noProof/>
            </w:rPr>
            <w:t>,</w:t>
          </w:r>
          <w:r w:rsidRPr="002A19C6">
            <w:rPr>
              <w:i/>
              <w:noProof/>
            </w:rPr>
            <w:t xml:space="preserve"> 1</w:t>
          </w:r>
          <w:r w:rsidRPr="002A19C6">
            <w:rPr>
              <w:noProof/>
            </w:rPr>
            <w:t xml:space="preserve">(3), 350-355. </w:t>
          </w:r>
          <w:hyperlink r:id="rId83" w:history="1">
            <w:r w:rsidRPr="002A19C6">
              <w:rPr>
                <w:rStyle w:val="Hyperlink"/>
                <w:rFonts w:cs="Calibri"/>
                <w:noProof/>
              </w:rPr>
              <w:t>https://doi.org/10.1016/j.molonc.2007.08.005</w:t>
            </w:r>
          </w:hyperlink>
          <w:r w:rsidRPr="002A19C6">
            <w:rPr>
              <w:noProof/>
            </w:rPr>
            <w:t xml:space="preserve"> </w:t>
          </w:r>
          <w:bookmarkEnd w:id="155"/>
        </w:p>
        <w:p w14:paraId="317CCE52" w14:textId="77777777" w:rsidR="002A19C6" w:rsidRPr="002A19C6" w:rsidRDefault="002A19C6" w:rsidP="002A19C6">
          <w:pPr>
            <w:pStyle w:val="EndNoteBibliography"/>
            <w:spacing w:after="0"/>
            <w:ind w:left="720" w:hanging="720"/>
            <w:rPr>
              <w:noProof/>
            </w:rPr>
          </w:pPr>
          <w:bookmarkStart w:id="156" w:name="_ENREF_50"/>
          <w:r w:rsidRPr="002A19C6">
            <w:rPr>
              <w:noProof/>
            </w:rPr>
            <w:t xml:space="preserve">Lingen, M. W. (2000). Lucas' pathology of tumors of the oral tissues. </w:t>
          </w:r>
          <w:r w:rsidRPr="002A19C6">
            <w:rPr>
              <w:i/>
              <w:noProof/>
            </w:rPr>
            <w:t>Arch Pathol Lab Med</w:t>
          </w:r>
          <w:r w:rsidRPr="002A19C6">
            <w:rPr>
              <w:noProof/>
            </w:rPr>
            <w:t>,</w:t>
          </w:r>
          <w:r w:rsidRPr="002A19C6">
            <w:rPr>
              <w:i/>
              <w:noProof/>
            </w:rPr>
            <w:t xml:space="preserve"> 124</w:t>
          </w:r>
          <w:r w:rsidRPr="002A19C6">
            <w:rPr>
              <w:noProof/>
            </w:rPr>
            <w:t xml:space="preserve">(3), 475. </w:t>
          </w:r>
          <w:bookmarkEnd w:id="156"/>
        </w:p>
        <w:p w14:paraId="3BFEE375" w14:textId="0344833A" w:rsidR="002A19C6" w:rsidRPr="002A19C6" w:rsidRDefault="002A19C6" w:rsidP="002A19C6">
          <w:pPr>
            <w:pStyle w:val="EndNoteBibliography"/>
            <w:spacing w:after="0"/>
            <w:ind w:left="720" w:hanging="720"/>
            <w:rPr>
              <w:noProof/>
            </w:rPr>
          </w:pPr>
          <w:bookmarkStart w:id="157" w:name="_ENREF_51"/>
          <w:r w:rsidRPr="002A19C6">
            <w:rPr>
              <w:noProof/>
            </w:rPr>
            <w:t xml:space="preserve">Lohaus, F., Linge, A., Tinhofer, I., Budach, V., Gkika, E., Stuschke, M.,…Dktk, R. O. G. (2014). HPV16 DNA status is a strong prognosticator of loco-regional control after postoperative radiochemotherapy of locally advanced oropharyngeal carcinoma: results from a multicentre explorative study of the German Cancer Consortium Radiation Oncology Group (DKTK-ROG). </w:t>
          </w:r>
          <w:r w:rsidRPr="002A19C6">
            <w:rPr>
              <w:i/>
              <w:noProof/>
            </w:rPr>
            <w:t>Radiother Oncol</w:t>
          </w:r>
          <w:r w:rsidRPr="002A19C6">
            <w:rPr>
              <w:noProof/>
            </w:rPr>
            <w:t>,</w:t>
          </w:r>
          <w:r w:rsidRPr="002A19C6">
            <w:rPr>
              <w:i/>
              <w:noProof/>
            </w:rPr>
            <w:t xml:space="preserve"> 113</w:t>
          </w:r>
          <w:r w:rsidRPr="002A19C6">
            <w:rPr>
              <w:noProof/>
            </w:rPr>
            <w:t xml:space="preserve">(3), 317-323. </w:t>
          </w:r>
          <w:hyperlink r:id="rId84" w:history="1">
            <w:r w:rsidRPr="002A19C6">
              <w:rPr>
                <w:rStyle w:val="Hyperlink"/>
                <w:rFonts w:cs="Calibri"/>
                <w:noProof/>
              </w:rPr>
              <w:t>https://doi.org/10.1016/j.radonc.2014.11.011</w:t>
            </w:r>
          </w:hyperlink>
          <w:r w:rsidRPr="002A19C6">
            <w:rPr>
              <w:noProof/>
            </w:rPr>
            <w:t xml:space="preserve"> </w:t>
          </w:r>
          <w:bookmarkEnd w:id="157"/>
        </w:p>
        <w:p w14:paraId="2AC570C8" w14:textId="61C915C4" w:rsidR="002A19C6" w:rsidRPr="002A19C6" w:rsidRDefault="002A19C6" w:rsidP="002A19C6">
          <w:pPr>
            <w:pStyle w:val="EndNoteBibliography"/>
            <w:spacing w:after="0"/>
            <w:ind w:left="720" w:hanging="720"/>
            <w:rPr>
              <w:noProof/>
            </w:rPr>
          </w:pPr>
          <w:bookmarkStart w:id="158" w:name="_ENREF_52"/>
          <w:r w:rsidRPr="002A19C6">
            <w:rPr>
              <w:noProof/>
            </w:rPr>
            <w:t xml:space="preserve">Mack, B., &amp; Gires, O. (2008). CD44s and CD44v6 expression in head and neck epithelia. </w:t>
          </w:r>
          <w:r w:rsidRPr="002A19C6">
            <w:rPr>
              <w:i/>
              <w:noProof/>
            </w:rPr>
            <w:t>PLoS One</w:t>
          </w:r>
          <w:r w:rsidRPr="002A19C6">
            <w:rPr>
              <w:noProof/>
            </w:rPr>
            <w:t>,</w:t>
          </w:r>
          <w:r w:rsidRPr="002A19C6">
            <w:rPr>
              <w:i/>
              <w:noProof/>
            </w:rPr>
            <w:t xml:space="preserve"> 3</w:t>
          </w:r>
          <w:r w:rsidRPr="002A19C6">
            <w:rPr>
              <w:noProof/>
            </w:rPr>
            <w:t xml:space="preserve">(10), e3360. </w:t>
          </w:r>
          <w:hyperlink r:id="rId85" w:history="1">
            <w:r w:rsidRPr="002A19C6">
              <w:rPr>
                <w:rStyle w:val="Hyperlink"/>
                <w:rFonts w:cs="Calibri"/>
                <w:noProof/>
              </w:rPr>
              <w:t>https://doi.org/10.1371/journal.pone.0003360</w:t>
            </w:r>
          </w:hyperlink>
          <w:r w:rsidRPr="002A19C6">
            <w:rPr>
              <w:noProof/>
            </w:rPr>
            <w:t xml:space="preserve"> </w:t>
          </w:r>
          <w:bookmarkEnd w:id="158"/>
        </w:p>
        <w:p w14:paraId="03D705AE" w14:textId="2919AB60" w:rsidR="002A19C6" w:rsidRPr="002A19C6" w:rsidRDefault="002A19C6" w:rsidP="002A19C6">
          <w:pPr>
            <w:pStyle w:val="EndNoteBibliography"/>
            <w:spacing w:after="0"/>
            <w:ind w:left="720" w:hanging="720"/>
            <w:rPr>
              <w:noProof/>
            </w:rPr>
          </w:pPr>
          <w:bookmarkStart w:id="159" w:name="_ENREF_53"/>
          <w:r w:rsidRPr="002A19C6">
            <w:rPr>
              <w:noProof/>
            </w:rPr>
            <w:t xml:space="preserve">MacMillan, C., Kapadia, S. B., Finkelstein, S. D., Nalesnik, M. A., &amp; Barnes, L. (1996). Lymphoepithelial carcinoma of the larynx and hypopharynx: study of eight cases with relationship to Epstein-Barr virus and p53 gene alterations, and review of the literature. </w:t>
          </w:r>
          <w:r w:rsidRPr="002A19C6">
            <w:rPr>
              <w:i/>
              <w:noProof/>
            </w:rPr>
            <w:t>Hum Pathol</w:t>
          </w:r>
          <w:r w:rsidRPr="002A19C6">
            <w:rPr>
              <w:noProof/>
            </w:rPr>
            <w:t>,</w:t>
          </w:r>
          <w:r w:rsidRPr="002A19C6">
            <w:rPr>
              <w:i/>
              <w:noProof/>
            </w:rPr>
            <w:t xml:space="preserve"> 27</w:t>
          </w:r>
          <w:r w:rsidRPr="002A19C6">
            <w:rPr>
              <w:noProof/>
            </w:rPr>
            <w:t xml:space="preserve">(11), 1172-1179. </w:t>
          </w:r>
          <w:hyperlink r:id="rId86" w:history="1">
            <w:r w:rsidRPr="002A19C6">
              <w:rPr>
                <w:rStyle w:val="Hyperlink"/>
                <w:rFonts w:cs="Calibri"/>
                <w:noProof/>
              </w:rPr>
              <w:t>https://doi.org/10.1016/s0046-8177(96)90311-1</w:t>
            </w:r>
          </w:hyperlink>
          <w:r w:rsidRPr="002A19C6">
            <w:rPr>
              <w:noProof/>
            </w:rPr>
            <w:t xml:space="preserve"> </w:t>
          </w:r>
          <w:bookmarkEnd w:id="159"/>
        </w:p>
        <w:p w14:paraId="0583F902" w14:textId="7D488CB3" w:rsidR="002A19C6" w:rsidRPr="002A19C6" w:rsidRDefault="002A19C6" w:rsidP="002A19C6">
          <w:pPr>
            <w:pStyle w:val="EndNoteBibliography"/>
            <w:spacing w:after="0"/>
            <w:ind w:left="720" w:hanging="720"/>
            <w:rPr>
              <w:noProof/>
            </w:rPr>
          </w:pPr>
          <w:bookmarkStart w:id="160" w:name="_ENREF_54"/>
          <w:r w:rsidRPr="002A19C6">
            <w:rPr>
              <w:noProof/>
            </w:rPr>
            <w:t xml:space="preserve">Mashberg, A., &amp; Samit, A. (1995). Early diagnosis of asymptomatic oral and oropharyngeal squamous cancers. </w:t>
          </w:r>
          <w:r w:rsidRPr="002A19C6">
            <w:rPr>
              <w:i/>
              <w:noProof/>
            </w:rPr>
            <w:t>CA Cancer J Clin</w:t>
          </w:r>
          <w:r w:rsidRPr="002A19C6">
            <w:rPr>
              <w:noProof/>
            </w:rPr>
            <w:t>,</w:t>
          </w:r>
          <w:r w:rsidRPr="002A19C6">
            <w:rPr>
              <w:i/>
              <w:noProof/>
            </w:rPr>
            <w:t xml:space="preserve"> 45</w:t>
          </w:r>
          <w:r w:rsidRPr="002A19C6">
            <w:rPr>
              <w:noProof/>
            </w:rPr>
            <w:t xml:space="preserve">(6), 328-351. </w:t>
          </w:r>
          <w:hyperlink r:id="rId87" w:history="1">
            <w:r w:rsidRPr="002A19C6">
              <w:rPr>
                <w:rStyle w:val="Hyperlink"/>
                <w:rFonts w:cs="Calibri"/>
                <w:noProof/>
              </w:rPr>
              <w:t>https://doi.org/10.3322/canjclin.45.6.328</w:t>
            </w:r>
          </w:hyperlink>
          <w:r w:rsidRPr="002A19C6">
            <w:rPr>
              <w:noProof/>
            </w:rPr>
            <w:t xml:space="preserve"> </w:t>
          </w:r>
          <w:bookmarkEnd w:id="160"/>
        </w:p>
        <w:p w14:paraId="640EAFC5" w14:textId="50449660" w:rsidR="002A19C6" w:rsidRPr="002A19C6" w:rsidRDefault="002A19C6" w:rsidP="002A19C6">
          <w:pPr>
            <w:pStyle w:val="EndNoteBibliography"/>
            <w:spacing w:after="0"/>
            <w:ind w:left="720" w:hanging="720"/>
            <w:rPr>
              <w:noProof/>
            </w:rPr>
          </w:pPr>
          <w:bookmarkStart w:id="161" w:name="_ENREF_55"/>
          <w:r w:rsidRPr="002A19C6">
            <w:rPr>
              <w:noProof/>
            </w:rPr>
            <w:t xml:space="preserve">Nocito, A., Kononen, J., Kallioniemi, O. P., &amp; Sauter, G. (2001). Tissue microarrays (TMAs) for high-throughput molecular pathology research. </w:t>
          </w:r>
          <w:r w:rsidRPr="002A19C6">
            <w:rPr>
              <w:i/>
              <w:noProof/>
            </w:rPr>
            <w:t>Int J Cancer</w:t>
          </w:r>
          <w:r w:rsidRPr="002A19C6">
            <w:rPr>
              <w:noProof/>
            </w:rPr>
            <w:t>,</w:t>
          </w:r>
          <w:r w:rsidRPr="002A19C6">
            <w:rPr>
              <w:i/>
              <w:noProof/>
            </w:rPr>
            <w:t xml:space="preserve"> 94</w:t>
          </w:r>
          <w:r w:rsidRPr="002A19C6">
            <w:rPr>
              <w:noProof/>
            </w:rPr>
            <w:t xml:space="preserve">(1), 1-5. </w:t>
          </w:r>
          <w:hyperlink r:id="rId88" w:history="1">
            <w:r w:rsidRPr="002A19C6">
              <w:rPr>
                <w:rStyle w:val="Hyperlink"/>
                <w:rFonts w:cs="Calibri"/>
                <w:noProof/>
              </w:rPr>
              <w:t>https://doi.org/10.1002/ijc.1385</w:t>
            </w:r>
          </w:hyperlink>
          <w:r w:rsidRPr="002A19C6">
            <w:rPr>
              <w:noProof/>
            </w:rPr>
            <w:t xml:space="preserve"> </w:t>
          </w:r>
          <w:bookmarkEnd w:id="161"/>
        </w:p>
        <w:p w14:paraId="40CD80E3" w14:textId="57ADDDCA" w:rsidR="002A19C6" w:rsidRPr="002A19C6" w:rsidRDefault="002A19C6" w:rsidP="002A19C6">
          <w:pPr>
            <w:pStyle w:val="EndNoteBibliography"/>
            <w:spacing w:after="0"/>
            <w:ind w:left="720" w:hanging="720"/>
            <w:rPr>
              <w:noProof/>
            </w:rPr>
          </w:pPr>
          <w:bookmarkStart w:id="162" w:name="_ENREF_56"/>
          <w:r w:rsidRPr="002A19C6">
            <w:rPr>
              <w:noProof/>
            </w:rPr>
            <w:t xml:space="preserve">Odell, E. W., Farthing, P. M., High, A., Potts, J., Soames, J., Thakker, N.,…Williams, H. K. (2004). British Society for Oral and Maxillofacial Pathology, UK: minimum curriculum in oral pathology. </w:t>
          </w:r>
          <w:r w:rsidRPr="002A19C6">
            <w:rPr>
              <w:i/>
              <w:noProof/>
            </w:rPr>
            <w:t>Eur J Dent Educ</w:t>
          </w:r>
          <w:r w:rsidRPr="002A19C6">
            <w:rPr>
              <w:noProof/>
            </w:rPr>
            <w:t>,</w:t>
          </w:r>
          <w:r w:rsidRPr="002A19C6">
            <w:rPr>
              <w:i/>
              <w:noProof/>
            </w:rPr>
            <w:t xml:space="preserve"> 8</w:t>
          </w:r>
          <w:r w:rsidRPr="002A19C6">
            <w:rPr>
              <w:noProof/>
            </w:rPr>
            <w:t xml:space="preserve">(4), 177-184. </w:t>
          </w:r>
          <w:hyperlink r:id="rId89" w:history="1">
            <w:r w:rsidRPr="002A19C6">
              <w:rPr>
                <w:rStyle w:val="Hyperlink"/>
                <w:rFonts w:cs="Calibri"/>
                <w:noProof/>
              </w:rPr>
              <w:t>https://doi.org/10.1111/j.1600-0579.2004.00350.x</w:t>
            </w:r>
          </w:hyperlink>
          <w:r w:rsidRPr="002A19C6">
            <w:rPr>
              <w:noProof/>
            </w:rPr>
            <w:t xml:space="preserve"> </w:t>
          </w:r>
          <w:bookmarkEnd w:id="162"/>
        </w:p>
        <w:p w14:paraId="332EF2C9" w14:textId="769C638F" w:rsidR="002A19C6" w:rsidRPr="002A19C6" w:rsidRDefault="002A19C6" w:rsidP="002A19C6">
          <w:pPr>
            <w:pStyle w:val="EndNoteBibliography"/>
            <w:spacing w:after="0"/>
            <w:ind w:left="720" w:hanging="720"/>
            <w:rPr>
              <w:noProof/>
            </w:rPr>
          </w:pPr>
          <w:bookmarkStart w:id="163" w:name="_ENREF_57"/>
          <w:r w:rsidRPr="002A19C6">
            <w:rPr>
              <w:noProof/>
            </w:rPr>
            <w:t xml:space="preserve">Paz, I. B., Cook, N., Odom-Maryon, T., Xie, Y., &amp; Wilczynski, S. P. (1997). Human papillomavirus (HPV) in head and neck cancer. An association of HPV 16 with squamous cell carcinoma of Waldeyer's tonsillar ring. </w:t>
          </w:r>
          <w:r w:rsidRPr="002A19C6">
            <w:rPr>
              <w:i/>
              <w:noProof/>
            </w:rPr>
            <w:t>Cancer</w:t>
          </w:r>
          <w:r w:rsidRPr="002A19C6">
            <w:rPr>
              <w:noProof/>
            </w:rPr>
            <w:t>,</w:t>
          </w:r>
          <w:r w:rsidRPr="002A19C6">
            <w:rPr>
              <w:i/>
              <w:noProof/>
            </w:rPr>
            <w:t xml:space="preserve"> 79</w:t>
          </w:r>
          <w:r w:rsidRPr="002A19C6">
            <w:rPr>
              <w:noProof/>
            </w:rPr>
            <w:t xml:space="preserve">(3), 595-604. </w:t>
          </w:r>
          <w:hyperlink r:id="rId90" w:history="1">
            <w:r w:rsidRPr="002A19C6">
              <w:rPr>
                <w:rStyle w:val="Hyperlink"/>
                <w:rFonts w:cs="Calibri"/>
                <w:noProof/>
              </w:rPr>
              <w:t>https://doi.org/10.1002/(sici)1097-0142(19970201)79:3</w:t>
            </w:r>
          </w:hyperlink>
          <w:r w:rsidRPr="002A19C6">
            <w:rPr>
              <w:noProof/>
            </w:rPr>
            <w:t xml:space="preserve">&lt;595::aid-cncr24&gt;3.0.co;2-y </w:t>
          </w:r>
          <w:bookmarkEnd w:id="163"/>
        </w:p>
        <w:p w14:paraId="65B899EC" w14:textId="2E0F7608" w:rsidR="002A19C6" w:rsidRPr="002A19C6" w:rsidRDefault="002A19C6" w:rsidP="002A19C6">
          <w:pPr>
            <w:pStyle w:val="EndNoteBibliography"/>
            <w:spacing w:after="0"/>
            <w:ind w:left="720" w:hanging="720"/>
            <w:rPr>
              <w:noProof/>
            </w:rPr>
          </w:pPr>
          <w:bookmarkStart w:id="164" w:name="_ENREF_58"/>
          <w:r w:rsidRPr="002A19C6">
            <w:rPr>
              <w:noProof/>
            </w:rPr>
            <w:t xml:space="preserve">Prince, M. E., Sivanandan, R., Kaczorowski, A., Wolf, G. T., Kaplan, M. J., Dalerba, P.,…Ailles, L. E. (2007). Identification of a subpopulation of cells with cancer stem cell properties in head and neck squamous cell carcinoma. </w:t>
          </w:r>
          <w:r w:rsidRPr="002A19C6">
            <w:rPr>
              <w:i/>
              <w:noProof/>
            </w:rPr>
            <w:t>Proc Natl Acad Sci U S A</w:t>
          </w:r>
          <w:r w:rsidRPr="002A19C6">
            <w:rPr>
              <w:noProof/>
            </w:rPr>
            <w:t>,</w:t>
          </w:r>
          <w:r w:rsidRPr="002A19C6">
            <w:rPr>
              <w:i/>
              <w:noProof/>
            </w:rPr>
            <w:t xml:space="preserve"> 104</w:t>
          </w:r>
          <w:r w:rsidRPr="002A19C6">
            <w:rPr>
              <w:noProof/>
            </w:rPr>
            <w:t xml:space="preserve">(3), 973-978. </w:t>
          </w:r>
          <w:hyperlink r:id="rId91" w:history="1">
            <w:r w:rsidRPr="002A19C6">
              <w:rPr>
                <w:rStyle w:val="Hyperlink"/>
                <w:rFonts w:cs="Calibri"/>
                <w:noProof/>
              </w:rPr>
              <w:t>https://doi.org/10.1073/pnas.0610117104</w:t>
            </w:r>
          </w:hyperlink>
          <w:r w:rsidRPr="002A19C6">
            <w:rPr>
              <w:noProof/>
            </w:rPr>
            <w:t xml:space="preserve"> </w:t>
          </w:r>
          <w:bookmarkEnd w:id="164"/>
        </w:p>
        <w:p w14:paraId="0745D7B6" w14:textId="3381C500" w:rsidR="002A19C6" w:rsidRPr="002A19C6" w:rsidRDefault="002A19C6" w:rsidP="002A19C6">
          <w:pPr>
            <w:pStyle w:val="EndNoteBibliography"/>
            <w:spacing w:after="0"/>
            <w:ind w:left="720" w:hanging="720"/>
            <w:rPr>
              <w:noProof/>
            </w:rPr>
          </w:pPr>
          <w:bookmarkStart w:id="165" w:name="_ENREF_59"/>
          <w:r w:rsidRPr="002A19C6">
            <w:rPr>
              <w:noProof/>
            </w:rPr>
            <w:t xml:space="preserve">Raslan, W. F., Barnes, L., Krause, J. R., Contis, L., Killeen, R., &amp; Kapadia, S. B. (1994). Basaloid squamous cell carcinoma of the head and neck: a clinicopathologic and flow cytometric study of 10 new cases with review of the English literature. </w:t>
          </w:r>
          <w:r w:rsidRPr="002A19C6">
            <w:rPr>
              <w:i/>
              <w:noProof/>
            </w:rPr>
            <w:t>Am J Otolaryngol</w:t>
          </w:r>
          <w:r w:rsidRPr="002A19C6">
            <w:rPr>
              <w:noProof/>
            </w:rPr>
            <w:t>,</w:t>
          </w:r>
          <w:r w:rsidRPr="002A19C6">
            <w:rPr>
              <w:i/>
              <w:noProof/>
            </w:rPr>
            <w:t xml:space="preserve"> 15</w:t>
          </w:r>
          <w:r w:rsidRPr="002A19C6">
            <w:rPr>
              <w:noProof/>
            </w:rPr>
            <w:t xml:space="preserve">(3), 204-211. </w:t>
          </w:r>
          <w:hyperlink r:id="rId92" w:history="1">
            <w:r w:rsidRPr="002A19C6">
              <w:rPr>
                <w:rStyle w:val="Hyperlink"/>
                <w:rFonts w:cs="Calibri"/>
                <w:noProof/>
              </w:rPr>
              <w:t>https://doi.org/10.1016/0196-0709(94)90006-x</w:t>
            </w:r>
          </w:hyperlink>
          <w:r w:rsidRPr="002A19C6">
            <w:rPr>
              <w:noProof/>
            </w:rPr>
            <w:t xml:space="preserve"> </w:t>
          </w:r>
          <w:bookmarkEnd w:id="165"/>
        </w:p>
        <w:p w14:paraId="58DA6A64" w14:textId="4607605A" w:rsidR="002A19C6" w:rsidRPr="002A19C6" w:rsidRDefault="002A19C6" w:rsidP="002A19C6">
          <w:pPr>
            <w:pStyle w:val="EndNoteBibliography"/>
            <w:spacing w:after="0"/>
            <w:ind w:left="720" w:hanging="720"/>
            <w:rPr>
              <w:noProof/>
            </w:rPr>
          </w:pPr>
          <w:bookmarkStart w:id="166" w:name="_ENREF_60"/>
          <w:r w:rsidRPr="002A19C6">
            <w:rPr>
              <w:noProof/>
            </w:rPr>
            <w:lastRenderedPageBreak/>
            <w:t xml:space="preserve">Ritchie, J. M., Smith, E. M., Summersgill, K. F., Hoffman, H. T., Wang, D., Klussmann, J. P.,…Haugen, T. H. (2003). Human papillomavirus infection as a prognostic factor in carcinomas of the oral cavity and oropharynx. </w:t>
          </w:r>
          <w:r w:rsidRPr="002A19C6">
            <w:rPr>
              <w:i/>
              <w:noProof/>
            </w:rPr>
            <w:t>Int J Cancer</w:t>
          </w:r>
          <w:r w:rsidRPr="002A19C6">
            <w:rPr>
              <w:noProof/>
            </w:rPr>
            <w:t>,</w:t>
          </w:r>
          <w:r w:rsidRPr="002A19C6">
            <w:rPr>
              <w:i/>
              <w:noProof/>
            </w:rPr>
            <w:t xml:space="preserve"> 104</w:t>
          </w:r>
          <w:r w:rsidRPr="002A19C6">
            <w:rPr>
              <w:noProof/>
            </w:rPr>
            <w:t xml:space="preserve">(3), 336-344. </w:t>
          </w:r>
          <w:hyperlink r:id="rId93" w:history="1">
            <w:r w:rsidRPr="002A19C6">
              <w:rPr>
                <w:rStyle w:val="Hyperlink"/>
                <w:rFonts w:cs="Calibri"/>
                <w:noProof/>
              </w:rPr>
              <w:t>https://doi.org/10.1002/ijc.10960</w:t>
            </w:r>
          </w:hyperlink>
          <w:r w:rsidRPr="002A19C6">
            <w:rPr>
              <w:noProof/>
            </w:rPr>
            <w:t xml:space="preserve"> </w:t>
          </w:r>
          <w:bookmarkEnd w:id="166"/>
        </w:p>
        <w:p w14:paraId="2FECB8B5" w14:textId="77777777" w:rsidR="002A19C6" w:rsidRPr="002A19C6" w:rsidRDefault="002A19C6" w:rsidP="002A19C6">
          <w:pPr>
            <w:pStyle w:val="EndNoteBibliography"/>
            <w:spacing w:after="0"/>
            <w:ind w:left="720" w:hanging="720"/>
            <w:rPr>
              <w:noProof/>
            </w:rPr>
          </w:pPr>
          <w:bookmarkStart w:id="167" w:name="_ENREF_61"/>
          <w:r w:rsidRPr="002A19C6">
            <w:rPr>
              <w:noProof/>
            </w:rPr>
            <w:t xml:space="preserve">RKI. (2021). </w:t>
          </w:r>
          <w:r w:rsidRPr="002A19C6">
            <w:rPr>
              <w:i/>
              <w:noProof/>
            </w:rPr>
            <w:t>Krebs in Deutschland für 2017/2018 13. Auflage Berlin</w:t>
          </w:r>
          <w:r w:rsidRPr="002A19C6">
            <w:rPr>
              <w:noProof/>
            </w:rPr>
            <w:t xml:space="preserve">. </w:t>
          </w:r>
          <w:bookmarkEnd w:id="167"/>
        </w:p>
        <w:p w14:paraId="10B66A30" w14:textId="1AFADEFC" w:rsidR="002A19C6" w:rsidRPr="002A19C6" w:rsidRDefault="002A19C6" w:rsidP="002A19C6">
          <w:pPr>
            <w:pStyle w:val="EndNoteBibliography"/>
            <w:spacing w:after="0"/>
            <w:ind w:left="720" w:hanging="720"/>
            <w:rPr>
              <w:noProof/>
            </w:rPr>
          </w:pPr>
          <w:bookmarkStart w:id="168" w:name="_ENREF_62"/>
          <w:r w:rsidRPr="002A19C6">
            <w:rPr>
              <w:noProof/>
            </w:rPr>
            <w:t xml:space="preserve">Sabatini, M. E., &amp; Chiocca, S. (2019). Human papillomavirus as a driver of head and neck cancers. </w:t>
          </w:r>
          <w:r w:rsidRPr="002A19C6">
            <w:rPr>
              <w:i/>
              <w:noProof/>
            </w:rPr>
            <w:t>British Journal of Cancer</w:t>
          </w:r>
          <w:r w:rsidRPr="002A19C6">
            <w:rPr>
              <w:noProof/>
            </w:rPr>
            <w:t>,</w:t>
          </w:r>
          <w:r w:rsidRPr="002A19C6">
            <w:rPr>
              <w:i/>
              <w:noProof/>
            </w:rPr>
            <w:t xml:space="preserve"> 122</w:t>
          </w:r>
          <w:r w:rsidRPr="002A19C6">
            <w:rPr>
              <w:noProof/>
            </w:rPr>
            <w:t xml:space="preserve">(3), 306-314. </w:t>
          </w:r>
          <w:hyperlink r:id="rId94" w:history="1">
            <w:r w:rsidRPr="002A19C6">
              <w:rPr>
                <w:rStyle w:val="Hyperlink"/>
                <w:rFonts w:cs="Calibri"/>
                <w:noProof/>
              </w:rPr>
              <w:t>https://doi.org/10.1038/s41416-019-0602-7</w:t>
            </w:r>
          </w:hyperlink>
          <w:r w:rsidRPr="002A19C6">
            <w:rPr>
              <w:noProof/>
            </w:rPr>
            <w:t xml:space="preserve"> </w:t>
          </w:r>
          <w:bookmarkEnd w:id="168"/>
        </w:p>
        <w:p w14:paraId="46249789" w14:textId="77777777" w:rsidR="002A19C6" w:rsidRPr="002A19C6" w:rsidRDefault="002A19C6" w:rsidP="002A19C6">
          <w:pPr>
            <w:pStyle w:val="EndNoteBibliography"/>
            <w:spacing w:after="0"/>
            <w:ind w:left="720" w:hanging="720"/>
            <w:rPr>
              <w:noProof/>
            </w:rPr>
          </w:pPr>
          <w:bookmarkStart w:id="169" w:name="_ENREF_63"/>
          <w:r w:rsidRPr="002A19C6">
            <w:rPr>
              <w:noProof/>
            </w:rPr>
            <w:t xml:space="preserve">Schmincke, A. (1921). </w:t>
          </w:r>
          <w:r w:rsidRPr="002A19C6">
            <w:rPr>
              <w:i/>
              <w:noProof/>
            </w:rPr>
            <w:t>Beitrage zur pathologischen Anatomie und allgemeinen Pathologie</w:t>
          </w:r>
          <w:r w:rsidRPr="002A19C6">
            <w:rPr>
              <w:noProof/>
            </w:rPr>
            <w:t xml:space="preserve">. Gustav Fischer Verlag. </w:t>
          </w:r>
          <w:bookmarkEnd w:id="169"/>
        </w:p>
        <w:p w14:paraId="5A57E32E" w14:textId="5527049A" w:rsidR="002A19C6" w:rsidRPr="002A19C6" w:rsidRDefault="002A19C6" w:rsidP="002A19C6">
          <w:pPr>
            <w:pStyle w:val="EndNoteBibliography"/>
            <w:spacing w:after="0"/>
            <w:ind w:left="720" w:hanging="720"/>
            <w:rPr>
              <w:noProof/>
            </w:rPr>
          </w:pPr>
          <w:bookmarkStart w:id="170" w:name="_ENREF_64"/>
          <w:r w:rsidRPr="002A19C6">
            <w:rPr>
              <w:noProof/>
            </w:rPr>
            <w:t xml:space="preserve">Shi, W., Kato, H., Perez-Ordonez, B., Pintilie, M., Huang, S., Hui, A.,…Liu, F. F. (2009). Comparative prognostic value of HPV16 E6 mRNA compared with in situ hybridization for human oropharyngeal squamous carcinoma. </w:t>
          </w:r>
          <w:r w:rsidRPr="002A19C6">
            <w:rPr>
              <w:i/>
              <w:noProof/>
            </w:rPr>
            <w:t>J Clin Oncol</w:t>
          </w:r>
          <w:r w:rsidRPr="002A19C6">
            <w:rPr>
              <w:noProof/>
            </w:rPr>
            <w:t>,</w:t>
          </w:r>
          <w:r w:rsidRPr="002A19C6">
            <w:rPr>
              <w:i/>
              <w:noProof/>
            </w:rPr>
            <w:t xml:space="preserve"> 27</w:t>
          </w:r>
          <w:r w:rsidRPr="002A19C6">
            <w:rPr>
              <w:noProof/>
            </w:rPr>
            <w:t xml:space="preserve">(36), 6213-6221. </w:t>
          </w:r>
          <w:hyperlink r:id="rId95" w:history="1">
            <w:r w:rsidRPr="002A19C6">
              <w:rPr>
                <w:rStyle w:val="Hyperlink"/>
                <w:rFonts w:cs="Calibri"/>
                <w:noProof/>
              </w:rPr>
              <w:t>https://doi.org/10.1200/JCO.2009.23.1670</w:t>
            </w:r>
          </w:hyperlink>
          <w:r w:rsidRPr="002A19C6">
            <w:rPr>
              <w:noProof/>
            </w:rPr>
            <w:t xml:space="preserve"> </w:t>
          </w:r>
          <w:bookmarkEnd w:id="170"/>
        </w:p>
        <w:p w14:paraId="24D35A4E" w14:textId="1C71E8C6" w:rsidR="002A19C6" w:rsidRPr="002A19C6" w:rsidRDefault="002A19C6" w:rsidP="002A19C6">
          <w:pPr>
            <w:pStyle w:val="EndNoteBibliography"/>
            <w:spacing w:after="0"/>
            <w:ind w:left="720" w:hanging="720"/>
            <w:rPr>
              <w:noProof/>
            </w:rPr>
          </w:pPr>
          <w:bookmarkStart w:id="171" w:name="_ENREF_65"/>
          <w:r w:rsidRPr="002A19C6">
            <w:rPr>
              <w:noProof/>
            </w:rPr>
            <w:t xml:space="preserve">Smith, E. M., Ritchie, J. M., Summersgill, K. F., Klussmann, J. P., Lee, J. H., Wang, D.,…Turek, L. P. (2004). Age, sexual behavior and human papillomavirus infection in oral cavity and oropharyngeal cancers. </w:t>
          </w:r>
          <w:r w:rsidRPr="002A19C6">
            <w:rPr>
              <w:i/>
              <w:noProof/>
            </w:rPr>
            <w:t>Int J Cancer</w:t>
          </w:r>
          <w:r w:rsidRPr="002A19C6">
            <w:rPr>
              <w:noProof/>
            </w:rPr>
            <w:t>,</w:t>
          </w:r>
          <w:r w:rsidRPr="002A19C6">
            <w:rPr>
              <w:i/>
              <w:noProof/>
            </w:rPr>
            <w:t xml:space="preserve"> 108</w:t>
          </w:r>
          <w:r w:rsidRPr="002A19C6">
            <w:rPr>
              <w:noProof/>
            </w:rPr>
            <w:t xml:space="preserve">(5), 766-772. </w:t>
          </w:r>
          <w:hyperlink r:id="rId96" w:history="1">
            <w:r w:rsidRPr="002A19C6">
              <w:rPr>
                <w:rStyle w:val="Hyperlink"/>
                <w:rFonts w:cs="Calibri"/>
                <w:noProof/>
              </w:rPr>
              <w:t>https://doi.org/10.1002/ijc.11633</w:t>
            </w:r>
          </w:hyperlink>
          <w:r w:rsidRPr="002A19C6">
            <w:rPr>
              <w:noProof/>
            </w:rPr>
            <w:t xml:space="preserve"> </w:t>
          </w:r>
          <w:bookmarkEnd w:id="171"/>
        </w:p>
        <w:p w14:paraId="35775B5B" w14:textId="16E837D4" w:rsidR="002A19C6" w:rsidRPr="002A19C6" w:rsidRDefault="002A19C6" w:rsidP="002A19C6">
          <w:pPr>
            <w:pStyle w:val="EndNoteBibliography"/>
            <w:spacing w:after="0"/>
            <w:ind w:left="720" w:hanging="720"/>
            <w:rPr>
              <w:noProof/>
            </w:rPr>
          </w:pPr>
          <w:bookmarkStart w:id="172" w:name="_ENREF_66"/>
          <w:r w:rsidRPr="002A19C6">
            <w:rPr>
              <w:noProof/>
            </w:rPr>
            <w:t xml:space="preserve">Snijders, P. J., Cromme, F. V., van den Brule, A. J., Schrijnemakers, H. F., Snow, G. B., Meijer, C. J., &amp; Walboomers, J. M. (1992). Prevalence and expression of human papillomavirus in tonsillar carcinomas, indicating a possible viral etiology. </w:t>
          </w:r>
          <w:r w:rsidRPr="002A19C6">
            <w:rPr>
              <w:i/>
              <w:noProof/>
            </w:rPr>
            <w:t>Int J Cancer</w:t>
          </w:r>
          <w:r w:rsidRPr="002A19C6">
            <w:rPr>
              <w:noProof/>
            </w:rPr>
            <w:t>,</w:t>
          </w:r>
          <w:r w:rsidRPr="002A19C6">
            <w:rPr>
              <w:i/>
              <w:noProof/>
            </w:rPr>
            <w:t xml:space="preserve"> 51</w:t>
          </w:r>
          <w:r w:rsidRPr="002A19C6">
            <w:rPr>
              <w:noProof/>
            </w:rPr>
            <w:t xml:space="preserve">(6), 845-850. </w:t>
          </w:r>
          <w:hyperlink r:id="rId97" w:history="1">
            <w:r w:rsidRPr="002A19C6">
              <w:rPr>
                <w:rStyle w:val="Hyperlink"/>
                <w:rFonts w:cs="Calibri"/>
                <w:noProof/>
              </w:rPr>
              <w:t>https://doi.org/10.1002/ijc.2910510602</w:t>
            </w:r>
          </w:hyperlink>
          <w:r w:rsidRPr="002A19C6">
            <w:rPr>
              <w:noProof/>
            </w:rPr>
            <w:t xml:space="preserve"> </w:t>
          </w:r>
          <w:bookmarkEnd w:id="172"/>
        </w:p>
        <w:p w14:paraId="71975431" w14:textId="22815C18" w:rsidR="002A19C6" w:rsidRPr="002A19C6" w:rsidRDefault="002A19C6" w:rsidP="002A19C6">
          <w:pPr>
            <w:pStyle w:val="EndNoteBibliography"/>
            <w:spacing w:after="0"/>
            <w:ind w:left="720" w:hanging="720"/>
            <w:rPr>
              <w:noProof/>
            </w:rPr>
          </w:pPr>
          <w:bookmarkStart w:id="173" w:name="_ENREF_67"/>
          <w:r w:rsidRPr="002A19C6">
            <w:rPr>
              <w:noProof/>
            </w:rPr>
            <w:t xml:space="preserve">Sturgis, E. M., &amp; Cinciripini, P. M. (2007). Trends in head and neck cancer incidence in relation to smoking prevalence: an emerging epidemic of human papillomavirus-associated cancers? </w:t>
          </w:r>
          <w:r w:rsidRPr="002A19C6">
            <w:rPr>
              <w:i/>
              <w:noProof/>
            </w:rPr>
            <w:t>Cancer</w:t>
          </w:r>
          <w:r w:rsidRPr="002A19C6">
            <w:rPr>
              <w:noProof/>
            </w:rPr>
            <w:t>,</w:t>
          </w:r>
          <w:r w:rsidRPr="002A19C6">
            <w:rPr>
              <w:i/>
              <w:noProof/>
            </w:rPr>
            <w:t xml:space="preserve"> 110</w:t>
          </w:r>
          <w:r w:rsidRPr="002A19C6">
            <w:rPr>
              <w:noProof/>
            </w:rPr>
            <w:t xml:space="preserve">(7), 1429-1435. </w:t>
          </w:r>
          <w:hyperlink r:id="rId98" w:history="1">
            <w:r w:rsidRPr="002A19C6">
              <w:rPr>
                <w:rStyle w:val="Hyperlink"/>
                <w:rFonts w:cs="Calibri"/>
                <w:noProof/>
              </w:rPr>
              <w:t>https://doi.org/10.1002/cncr.22963</w:t>
            </w:r>
          </w:hyperlink>
          <w:r w:rsidRPr="002A19C6">
            <w:rPr>
              <w:noProof/>
            </w:rPr>
            <w:t xml:space="preserve"> </w:t>
          </w:r>
          <w:bookmarkEnd w:id="173"/>
        </w:p>
        <w:p w14:paraId="341D7228" w14:textId="46AC7012" w:rsidR="002A19C6" w:rsidRPr="002A19C6" w:rsidRDefault="002A19C6" w:rsidP="002A19C6">
          <w:pPr>
            <w:pStyle w:val="EndNoteBibliography"/>
            <w:spacing w:after="0"/>
            <w:ind w:left="720" w:hanging="720"/>
            <w:rPr>
              <w:noProof/>
            </w:rPr>
          </w:pPr>
          <w:bookmarkStart w:id="174" w:name="_ENREF_68"/>
          <w:r w:rsidRPr="002A19C6">
            <w:rPr>
              <w:noProof/>
            </w:rPr>
            <w:t xml:space="preserve">Syrjanen, K., Syrjanen, S., &amp; Pyrhonen, S. (1982). Human papilloma virus (HPV) antigens in lesions of laryngeal squamous cell carcinomas. </w:t>
          </w:r>
          <w:r w:rsidRPr="002A19C6">
            <w:rPr>
              <w:i/>
              <w:noProof/>
            </w:rPr>
            <w:t>ORL J Otorhinolaryngol Relat Spec</w:t>
          </w:r>
          <w:r w:rsidRPr="002A19C6">
            <w:rPr>
              <w:noProof/>
            </w:rPr>
            <w:t>,</w:t>
          </w:r>
          <w:r w:rsidRPr="002A19C6">
            <w:rPr>
              <w:i/>
              <w:noProof/>
            </w:rPr>
            <w:t xml:space="preserve"> 44</w:t>
          </w:r>
          <w:r w:rsidRPr="002A19C6">
            <w:rPr>
              <w:noProof/>
            </w:rPr>
            <w:t xml:space="preserve">(6), 323-334. </w:t>
          </w:r>
          <w:hyperlink r:id="rId99" w:history="1">
            <w:r w:rsidRPr="002A19C6">
              <w:rPr>
                <w:rStyle w:val="Hyperlink"/>
                <w:rFonts w:cs="Calibri"/>
                <w:noProof/>
              </w:rPr>
              <w:t>https://doi.org/10.1159/000275612</w:t>
            </w:r>
          </w:hyperlink>
          <w:r w:rsidRPr="002A19C6">
            <w:rPr>
              <w:noProof/>
            </w:rPr>
            <w:t xml:space="preserve"> </w:t>
          </w:r>
          <w:bookmarkEnd w:id="174"/>
        </w:p>
        <w:p w14:paraId="732F4979" w14:textId="77777777" w:rsidR="002A19C6" w:rsidRPr="002A19C6" w:rsidRDefault="002A19C6" w:rsidP="002A19C6">
          <w:pPr>
            <w:pStyle w:val="EndNoteBibliography"/>
            <w:spacing w:after="0"/>
            <w:ind w:left="720" w:hanging="720"/>
            <w:rPr>
              <w:noProof/>
            </w:rPr>
          </w:pPr>
          <w:bookmarkStart w:id="175" w:name="_ENREF_69"/>
          <w:r w:rsidRPr="002A19C6">
            <w:rPr>
              <w:noProof/>
            </w:rPr>
            <w:t xml:space="preserve">Thompson, L. (2006). World Health Organization classification of tumours: pathology and genetics of head and neck tumours. </w:t>
          </w:r>
          <w:r w:rsidRPr="002A19C6">
            <w:rPr>
              <w:i/>
              <w:noProof/>
            </w:rPr>
            <w:t>Ear Nose Throat J</w:t>
          </w:r>
          <w:r w:rsidRPr="002A19C6">
            <w:rPr>
              <w:noProof/>
            </w:rPr>
            <w:t>,</w:t>
          </w:r>
          <w:r w:rsidRPr="002A19C6">
            <w:rPr>
              <w:i/>
              <w:noProof/>
            </w:rPr>
            <w:t xml:space="preserve"> 85</w:t>
          </w:r>
          <w:r w:rsidRPr="002A19C6">
            <w:rPr>
              <w:noProof/>
            </w:rPr>
            <w:t xml:space="preserve">(2), 74. </w:t>
          </w:r>
          <w:bookmarkEnd w:id="175"/>
        </w:p>
        <w:p w14:paraId="0BDA2D84" w14:textId="09C2BCFB" w:rsidR="002A19C6" w:rsidRPr="002A19C6" w:rsidRDefault="002A19C6" w:rsidP="002A19C6">
          <w:pPr>
            <w:pStyle w:val="EndNoteBibliography"/>
            <w:spacing w:after="0"/>
            <w:ind w:left="720" w:hanging="720"/>
            <w:rPr>
              <w:noProof/>
            </w:rPr>
          </w:pPr>
          <w:bookmarkStart w:id="176" w:name="_ENREF_70"/>
          <w:r w:rsidRPr="002A19C6">
            <w:rPr>
              <w:noProof/>
            </w:rPr>
            <w:t xml:space="preserve">Thompson, L. D., Wieneke, J. A., Miettinen, M., &amp; Heffner, D. K. (2002). Spindle cell (sarcomatoid) carcinomas of the larynx: a clinicopathologic study of 187 cases. </w:t>
          </w:r>
          <w:r w:rsidRPr="002A19C6">
            <w:rPr>
              <w:i/>
              <w:noProof/>
            </w:rPr>
            <w:t>Am J Surg Pathol</w:t>
          </w:r>
          <w:r w:rsidRPr="002A19C6">
            <w:rPr>
              <w:noProof/>
            </w:rPr>
            <w:t>,</w:t>
          </w:r>
          <w:r w:rsidRPr="002A19C6">
            <w:rPr>
              <w:i/>
              <w:noProof/>
            </w:rPr>
            <w:t xml:space="preserve"> 26</w:t>
          </w:r>
          <w:r w:rsidRPr="002A19C6">
            <w:rPr>
              <w:noProof/>
            </w:rPr>
            <w:t xml:space="preserve">(2), 153-170. </w:t>
          </w:r>
          <w:hyperlink r:id="rId100" w:history="1">
            <w:r w:rsidRPr="002A19C6">
              <w:rPr>
                <w:rStyle w:val="Hyperlink"/>
                <w:rFonts w:cs="Calibri"/>
                <w:noProof/>
              </w:rPr>
              <w:t>https://doi.org/10.1097/00000478-200202000-00002</w:t>
            </w:r>
          </w:hyperlink>
          <w:r w:rsidRPr="002A19C6">
            <w:rPr>
              <w:noProof/>
            </w:rPr>
            <w:t xml:space="preserve"> </w:t>
          </w:r>
          <w:bookmarkEnd w:id="176"/>
        </w:p>
        <w:p w14:paraId="25C6568B" w14:textId="77777777" w:rsidR="002A19C6" w:rsidRPr="002A19C6" w:rsidRDefault="002A19C6" w:rsidP="002A19C6">
          <w:pPr>
            <w:pStyle w:val="EndNoteBibliography"/>
            <w:spacing w:after="0"/>
            <w:ind w:left="720" w:hanging="720"/>
            <w:rPr>
              <w:noProof/>
            </w:rPr>
          </w:pPr>
          <w:bookmarkStart w:id="177" w:name="_ENREF_71"/>
          <w:r w:rsidRPr="002A19C6">
            <w:rPr>
              <w:noProof/>
            </w:rPr>
            <w:t xml:space="preserve">Thompson, L. D. R., &amp; Bishop, J. A. (2017). </w:t>
          </w:r>
          <w:r w:rsidRPr="002A19C6">
            <w:rPr>
              <w:i/>
              <w:noProof/>
            </w:rPr>
            <w:t>Head and Neck Pathology E-Book: A Volume in the Series: Foundations in Diagnostic Pathology</w:t>
          </w:r>
          <w:r w:rsidRPr="002A19C6">
            <w:rPr>
              <w:noProof/>
            </w:rPr>
            <w:t xml:space="preserve">. Elsevier Health Sciences. </w:t>
          </w:r>
          <w:bookmarkEnd w:id="177"/>
        </w:p>
        <w:p w14:paraId="314E2B5F" w14:textId="77777777" w:rsidR="002A19C6" w:rsidRPr="002A19C6" w:rsidRDefault="002A19C6" w:rsidP="002A19C6">
          <w:pPr>
            <w:pStyle w:val="EndNoteBibliography"/>
            <w:spacing w:after="0"/>
            <w:ind w:left="720" w:hanging="720"/>
            <w:rPr>
              <w:noProof/>
            </w:rPr>
          </w:pPr>
          <w:bookmarkStart w:id="178" w:name="_ENREF_72"/>
          <w:r w:rsidRPr="002A19C6">
            <w:rPr>
              <w:noProof/>
            </w:rPr>
            <w:t xml:space="preserve">Thurnher, D., Grasl, M., Erovic, B. M., &amp; Lercher, P. (2010). </w:t>
          </w:r>
          <w:r w:rsidRPr="002A19C6">
            <w:rPr>
              <w:i/>
              <w:noProof/>
            </w:rPr>
            <w:t>HNO-Heilkunde: Ein symptomorientiertes Lehrbuch</w:t>
          </w:r>
          <w:r w:rsidRPr="002A19C6">
            <w:rPr>
              <w:noProof/>
            </w:rPr>
            <w:t xml:space="preserve">. Springer Vienna. </w:t>
          </w:r>
          <w:bookmarkEnd w:id="178"/>
        </w:p>
        <w:p w14:paraId="39819820" w14:textId="31543E2A" w:rsidR="002A19C6" w:rsidRPr="002A19C6" w:rsidRDefault="002A19C6" w:rsidP="002A19C6">
          <w:pPr>
            <w:pStyle w:val="EndNoteBibliography"/>
            <w:spacing w:after="0"/>
            <w:ind w:left="720" w:hanging="720"/>
            <w:rPr>
              <w:noProof/>
            </w:rPr>
          </w:pPr>
          <w:bookmarkStart w:id="179" w:name="_ENREF_73"/>
          <w:r w:rsidRPr="002A19C6">
            <w:rPr>
              <w:noProof/>
            </w:rPr>
            <w:t xml:space="preserve">Vokes, E. E., Weichselbaum, R. R., Lippman, S. M., &amp; Hong, W. K. (1993). Head and neck cancer. </w:t>
          </w:r>
          <w:r w:rsidRPr="002A19C6">
            <w:rPr>
              <w:i/>
              <w:noProof/>
            </w:rPr>
            <w:t>N Engl J Med</w:t>
          </w:r>
          <w:r w:rsidRPr="002A19C6">
            <w:rPr>
              <w:noProof/>
            </w:rPr>
            <w:t>,</w:t>
          </w:r>
          <w:r w:rsidRPr="002A19C6">
            <w:rPr>
              <w:i/>
              <w:noProof/>
            </w:rPr>
            <w:t xml:space="preserve"> 328</w:t>
          </w:r>
          <w:r w:rsidRPr="002A19C6">
            <w:rPr>
              <w:noProof/>
            </w:rPr>
            <w:t xml:space="preserve">(3), 184-194. </w:t>
          </w:r>
          <w:hyperlink r:id="rId101" w:history="1">
            <w:r w:rsidRPr="002A19C6">
              <w:rPr>
                <w:rStyle w:val="Hyperlink"/>
                <w:rFonts w:cs="Calibri"/>
                <w:noProof/>
              </w:rPr>
              <w:t>https://doi.org/10.1056/NEJM199301213280306</w:t>
            </w:r>
          </w:hyperlink>
          <w:r w:rsidRPr="002A19C6">
            <w:rPr>
              <w:noProof/>
            </w:rPr>
            <w:t xml:space="preserve"> </w:t>
          </w:r>
          <w:bookmarkEnd w:id="179"/>
        </w:p>
        <w:p w14:paraId="5065331C" w14:textId="12D4AF91" w:rsidR="002A19C6" w:rsidRPr="002A19C6" w:rsidRDefault="002A19C6" w:rsidP="002A19C6">
          <w:pPr>
            <w:pStyle w:val="EndNoteBibliography"/>
            <w:spacing w:after="0"/>
            <w:ind w:left="720" w:hanging="720"/>
            <w:rPr>
              <w:noProof/>
            </w:rPr>
          </w:pPr>
          <w:bookmarkStart w:id="180" w:name="_ENREF_74"/>
          <w:r w:rsidRPr="002A19C6">
            <w:rPr>
              <w:noProof/>
            </w:rPr>
            <w:t xml:space="preserve">Weinberger, P. M., Yu, Z., Haffty, B. G., Kowalski, D., Harigopal, M., Brandsma, J.,…Psyrri, A. (2006). Molecular classification identifies a subset of human papillomavirus--associated oropharyngeal cancers with favorable prognosis. </w:t>
          </w:r>
          <w:r w:rsidRPr="002A19C6">
            <w:rPr>
              <w:i/>
              <w:noProof/>
            </w:rPr>
            <w:t>J Clin Oncol</w:t>
          </w:r>
          <w:r w:rsidRPr="002A19C6">
            <w:rPr>
              <w:noProof/>
            </w:rPr>
            <w:t>,</w:t>
          </w:r>
          <w:r w:rsidRPr="002A19C6">
            <w:rPr>
              <w:i/>
              <w:noProof/>
            </w:rPr>
            <w:t xml:space="preserve"> 24</w:t>
          </w:r>
          <w:r w:rsidRPr="002A19C6">
            <w:rPr>
              <w:noProof/>
            </w:rPr>
            <w:t xml:space="preserve">(5), 736-747. </w:t>
          </w:r>
          <w:hyperlink r:id="rId102" w:history="1">
            <w:r w:rsidRPr="002A19C6">
              <w:rPr>
                <w:rStyle w:val="Hyperlink"/>
                <w:rFonts w:cs="Calibri"/>
                <w:noProof/>
              </w:rPr>
              <w:t>https://doi.org/10.1200/JCO.2004.00.3335</w:t>
            </w:r>
          </w:hyperlink>
          <w:r w:rsidRPr="002A19C6">
            <w:rPr>
              <w:noProof/>
            </w:rPr>
            <w:t xml:space="preserve"> </w:t>
          </w:r>
          <w:bookmarkEnd w:id="180"/>
        </w:p>
        <w:p w14:paraId="1968F83E" w14:textId="7D6F036F" w:rsidR="002A19C6" w:rsidRPr="002A19C6" w:rsidRDefault="002A19C6" w:rsidP="002A19C6">
          <w:pPr>
            <w:pStyle w:val="EndNoteBibliography"/>
            <w:spacing w:after="0"/>
            <w:ind w:left="720" w:hanging="720"/>
            <w:rPr>
              <w:noProof/>
            </w:rPr>
          </w:pPr>
          <w:bookmarkStart w:id="181" w:name="_ENREF_75"/>
          <w:r w:rsidRPr="002A19C6">
            <w:rPr>
              <w:noProof/>
            </w:rPr>
            <w:t xml:space="preserve">Wicha, M. S., Liu, S., &amp; Dontu, G. (2006). Cancer stem cells: an old idea--a paradigm shift. </w:t>
          </w:r>
          <w:r w:rsidRPr="002A19C6">
            <w:rPr>
              <w:i/>
              <w:noProof/>
            </w:rPr>
            <w:t>Cancer Res</w:t>
          </w:r>
          <w:r w:rsidRPr="002A19C6">
            <w:rPr>
              <w:noProof/>
            </w:rPr>
            <w:t>,</w:t>
          </w:r>
          <w:r w:rsidRPr="002A19C6">
            <w:rPr>
              <w:i/>
              <w:noProof/>
            </w:rPr>
            <w:t xml:space="preserve"> 66</w:t>
          </w:r>
          <w:r w:rsidRPr="002A19C6">
            <w:rPr>
              <w:noProof/>
            </w:rPr>
            <w:t xml:space="preserve">(4), 1883-1890; discussion 1895-1886. </w:t>
          </w:r>
          <w:hyperlink r:id="rId103" w:history="1">
            <w:r w:rsidRPr="002A19C6">
              <w:rPr>
                <w:rStyle w:val="Hyperlink"/>
                <w:rFonts w:cs="Calibri"/>
                <w:noProof/>
              </w:rPr>
              <w:t>https://doi.org/10.1158/0008-5472.Can-05-3153</w:t>
            </w:r>
          </w:hyperlink>
          <w:r w:rsidRPr="002A19C6">
            <w:rPr>
              <w:noProof/>
            </w:rPr>
            <w:t xml:space="preserve"> </w:t>
          </w:r>
          <w:bookmarkEnd w:id="181"/>
        </w:p>
        <w:p w14:paraId="33546C3D" w14:textId="77777777" w:rsidR="002A19C6" w:rsidRPr="002A19C6" w:rsidRDefault="002A19C6" w:rsidP="002A19C6">
          <w:pPr>
            <w:pStyle w:val="EndNoteBibliography"/>
            <w:spacing w:after="0"/>
            <w:ind w:left="720" w:hanging="720"/>
            <w:rPr>
              <w:noProof/>
            </w:rPr>
          </w:pPr>
          <w:bookmarkStart w:id="182" w:name="_ENREF_76"/>
          <w:r w:rsidRPr="002A19C6">
            <w:rPr>
              <w:noProof/>
            </w:rPr>
            <w:t xml:space="preserve">Wittekind, C. (2013). </w:t>
          </w:r>
          <w:r w:rsidRPr="002A19C6">
            <w:rPr>
              <w:i/>
              <w:noProof/>
            </w:rPr>
            <w:t>TNM-Supplement: Erlauterungen Zur Einheitlichen Anwendung</w:t>
          </w:r>
          <w:r w:rsidRPr="002A19C6">
            <w:rPr>
              <w:noProof/>
            </w:rPr>
            <w:t xml:space="preserve">. Wiley-VCH. </w:t>
          </w:r>
          <w:bookmarkEnd w:id="182"/>
        </w:p>
        <w:p w14:paraId="1AEEC7CE" w14:textId="7A21101B" w:rsidR="002A19C6" w:rsidRPr="002A19C6" w:rsidRDefault="002A19C6" w:rsidP="002A19C6">
          <w:pPr>
            <w:pStyle w:val="EndNoteBibliography"/>
            <w:ind w:left="720" w:hanging="720"/>
          </w:pPr>
          <w:bookmarkStart w:id="183" w:name="_ENREF_77"/>
          <w:r w:rsidRPr="002A19C6">
            <w:rPr>
              <w:noProof/>
            </w:rPr>
            <w:t xml:space="preserve">Zhang, Q., Shi, S., Yen, Y., Brown, J., Ta, J. Q., &amp; Le, A. D. (2010). A subpopulation of CD133(+) cancer stem-like cells characterized in human oral squamous cell carcinoma confer resistance to chemotherapy. </w:t>
          </w:r>
          <w:r w:rsidRPr="002A19C6">
            <w:rPr>
              <w:i/>
              <w:noProof/>
            </w:rPr>
            <w:t>Cancer Lett</w:t>
          </w:r>
          <w:r w:rsidRPr="002A19C6">
            <w:rPr>
              <w:noProof/>
            </w:rPr>
            <w:t>,</w:t>
          </w:r>
          <w:r w:rsidRPr="002A19C6">
            <w:rPr>
              <w:i/>
              <w:noProof/>
            </w:rPr>
            <w:t xml:space="preserve"> 289</w:t>
          </w:r>
          <w:r w:rsidRPr="002A19C6">
            <w:rPr>
              <w:noProof/>
            </w:rPr>
            <w:t xml:space="preserve">(2), 151-160. </w:t>
          </w:r>
          <w:hyperlink r:id="rId104" w:history="1">
            <w:r w:rsidRPr="002A19C6">
              <w:rPr>
                <w:rStyle w:val="Hyperlink"/>
                <w:rFonts w:cs="Calibri"/>
                <w:noProof/>
              </w:rPr>
              <w:t>https://doi.org/10.1016/j.canlet.2009.08.010</w:t>
            </w:r>
          </w:hyperlink>
          <w:r w:rsidRPr="002A19C6">
            <w:rPr>
              <w:noProof/>
            </w:rPr>
            <w:t xml:space="preserve"> </w:t>
          </w:r>
        </w:p>
        <w:bookmarkEnd w:id="183" w:displacedByCustomXml="next"/>
      </w:sdtContent>
    </w:sdt>
    <w:p w14:paraId="0C34114E" w14:textId="68338128" w:rsidR="00336A54" w:rsidRDefault="00336A54" w:rsidP="00E24C7A">
      <w:pPr>
        <w:jc w:val="left"/>
        <w:rPr>
          <w:rFonts w:cs="Arial"/>
          <w:color w:val="000000" w:themeColor="text1"/>
        </w:rPr>
      </w:pPr>
    </w:p>
    <w:sectPr w:rsidR="00336A54" w:rsidSect="00AB18EC">
      <w:type w:val="continuous"/>
      <w:pgSz w:w="11906" w:h="16838"/>
      <w:pgMar w:top="720" w:right="720" w:bottom="720" w:left="720" w:header="709" w:footer="709" w:gutter="0"/>
      <w:pgNumType w:fmt="upp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3A2E3" w14:textId="77777777" w:rsidR="00D44900" w:rsidRDefault="00D44900" w:rsidP="00C43807">
      <w:pPr>
        <w:spacing w:line="240" w:lineRule="auto"/>
      </w:pPr>
      <w:r>
        <w:separator/>
      </w:r>
    </w:p>
  </w:endnote>
  <w:endnote w:type="continuationSeparator" w:id="0">
    <w:p w14:paraId="36182742" w14:textId="77777777" w:rsidR="00D44900" w:rsidRDefault="00D44900" w:rsidP="00C43807">
      <w:pPr>
        <w:spacing w:line="240" w:lineRule="auto"/>
      </w:pPr>
      <w:r>
        <w:continuationSeparator/>
      </w:r>
    </w:p>
  </w:endnote>
  <w:endnote w:type="continuationNotice" w:id="1">
    <w:p w14:paraId="35DD40E9" w14:textId="77777777" w:rsidR="00D44900" w:rsidRDefault="00D4490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ABE82" w14:textId="77777777" w:rsidR="00D44900" w:rsidRDefault="00D44900" w:rsidP="00C43807">
      <w:pPr>
        <w:spacing w:line="240" w:lineRule="auto"/>
      </w:pPr>
      <w:r>
        <w:separator/>
      </w:r>
    </w:p>
  </w:footnote>
  <w:footnote w:type="continuationSeparator" w:id="0">
    <w:p w14:paraId="6BAF7F95" w14:textId="77777777" w:rsidR="00D44900" w:rsidRDefault="00D44900" w:rsidP="00C43807">
      <w:pPr>
        <w:spacing w:line="240" w:lineRule="auto"/>
      </w:pPr>
      <w:r>
        <w:continuationSeparator/>
      </w:r>
    </w:p>
  </w:footnote>
  <w:footnote w:type="continuationNotice" w:id="1">
    <w:p w14:paraId="1073F1FB" w14:textId="77777777" w:rsidR="00D44900" w:rsidRDefault="00D44900">
      <w:pPr>
        <w:spacing w:line="240" w:lineRule="auto"/>
      </w:pPr>
    </w:p>
  </w:footnote>
  <w:footnote w:id="2">
    <w:p w14:paraId="28193757" w14:textId="77777777" w:rsidR="00DB25D1" w:rsidRDefault="007B1FA9">
      <w:pPr>
        <w:pStyle w:val="Funotentext"/>
      </w:pPr>
      <w:r w:rsidRPr="004B2E0C">
        <w:rPr>
          <w:rStyle w:val="Funotenzeichen"/>
          <w:highlight w:val="yellow"/>
        </w:rPr>
        <w:footnoteRef/>
      </w:r>
      <w:r w:rsidRPr="00FF0C10">
        <w:rPr>
          <w:sz w:val="16"/>
          <w:szCs w:val="16"/>
          <w:highlight w:val="yellow"/>
        </w:rPr>
        <w:t xml:space="preserve"> Da im Beobachtungszeitraum bei weniger als 50% der Kli</w:t>
      </w:r>
      <w:r w:rsidR="00D472BB" w:rsidRPr="00FF0C10">
        <w:rPr>
          <w:sz w:val="16"/>
          <w:szCs w:val="16"/>
          <w:highlight w:val="yellow"/>
        </w:rPr>
        <w:t>e</w:t>
      </w:r>
      <w:r w:rsidRPr="00FF0C10">
        <w:rPr>
          <w:sz w:val="16"/>
          <w:szCs w:val="16"/>
          <w:highlight w:val="yellow"/>
        </w:rPr>
        <w:t xml:space="preserve">nten ein </w:t>
      </w:r>
      <w:r w:rsidR="00D472BB" w:rsidRPr="00FF0C10">
        <w:rPr>
          <w:sz w:val="16"/>
          <w:szCs w:val="16"/>
          <w:highlight w:val="yellow"/>
        </w:rPr>
        <w:t>Ereignis</w:t>
      </w:r>
      <w:r w:rsidRPr="00FF0C10">
        <w:rPr>
          <w:sz w:val="16"/>
          <w:szCs w:val="16"/>
          <w:highlight w:val="yellow"/>
        </w:rPr>
        <w:t xml:space="preserve"> </w:t>
      </w:r>
      <w:r w:rsidR="00E351C5" w:rsidRPr="00FF0C10">
        <w:rPr>
          <w:sz w:val="16"/>
          <w:szCs w:val="16"/>
          <w:highlight w:val="yellow"/>
        </w:rPr>
        <w:t xml:space="preserve">über alle untersuchten Endpunkte </w:t>
      </w:r>
      <w:r w:rsidRPr="00FF0C10">
        <w:rPr>
          <w:sz w:val="16"/>
          <w:szCs w:val="16"/>
          <w:highlight w:val="yellow"/>
        </w:rPr>
        <w:t>eingetreten war, konnte</w:t>
      </w:r>
      <w:r w:rsidR="00E351C5" w:rsidRPr="00FF0C10">
        <w:rPr>
          <w:sz w:val="16"/>
          <w:szCs w:val="16"/>
          <w:highlight w:val="yellow"/>
        </w:rPr>
        <w:t>n</w:t>
      </w:r>
      <w:r w:rsidRPr="00FF0C10">
        <w:rPr>
          <w:sz w:val="16"/>
          <w:szCs w:val="16"/>
          <w:highlight w:val="yellow"/>
        </w:rPr>
        <w:t xml:space="preserve"> die mediane</w:t>
      </w:r>
      <w:r w:rsidR="00E351C5" w:rsidRPr="00FF0C10">
        <w:rPr>
          <w:sz w:val="16"/>
          <w:szCs w:val="16"/>
          <w:highlight w:val="yellow"/>
        </w:rPr>
        <w:t>n</w:t>
      </w:r>
      <w:r w:rsidRPr="00FF0C10">
        <w:rPr>
          <w:sz w:val="16"/>
          <w:szCs w:val="16"/>
          <w:highlight w:val="yellow"/>
        </w:rPr>
        <w:t xml:space="preserve"> Überleb</w:t>
      </w:r>
      <w:r w:rsidR="00D472BB" w:rsidRPr="00FF0C10">
        <w:rPr>
          <w:sz w:val="16"/>
          <w:szCs w:val="16"/>
          <w:highlight w:val="yellow"/>
        </w:rPr>
        <w:t>enszeit</w:t>
      </w:r>
      <w:r w:rsidR="00E351C5" w:rsidRPr="00FF0C10">
        <w:rPr>
          <w:sz w:val="16"/>
          <w:szCs w:val="16"/>
          <w:highlight w:val="yellow"/>
        </w:rPr>
        <w:t>en</w:t>
      </w:r>
      <w:r w:rsidRPr="00FF0C10">
        <w:rPr>
          <w:sz w:val="16"/>
          <w:szCs w:val="16"/>
          <w:highlight w:val="yellow"/>
        </w:rPr>
        <w:t xml:space="preserve"> bzw.</w:t>
      </w:r>
      <w:r w:rsidR="00D472BB" w:rsidRPr="00FF0C10">
        <w:rPr>
          <w:sz w:val="16"/>
          <w:szCs w:val="16"/>
          <w:highlight w:val="yellow"/>
        </w:rPr>
        <w:t xml:space="preserve"> </w:t>
      </w:r>
      <w:r w:rsidRPr="00FF0C10">
        <w:rPr>
          <w:sz w:val="16"/>
          <w:szCs w:val="16"/>
          <w:highlight w:val="yellow"/>
        </w:rPr>
        <w:t xml:space="preserve">ereignisfreie Zeit </w:t>
      </w:r>
      <w:r w:rsidR="00D472BB" w:rsidRPr="00FF0C10">
        <w:rPr>
          <w:sz w:val="16"/>
          <w:szCs w:val="16"/>
          <w:highlight w:val="yellow"/>
        </w:rPr>
        <w:t>aller untersuchten</w:t>
      </w:r>
      <w:r w:rsidRPr="00FF0C10">
        <w:rPr>
          <w:sz w:val="16"/>
          <w:szCs w:val="16"/>
          <w:highlight w:val="yellow"/>
        </w:rPr>
        <w:t xml:space="preserve"> Endpunkte nicht angegeben werden.</w:t>
      </w:r>
      <w:r w:rsidRPr="009C2074">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093CD"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78AD2" w14:textId="77777777" w:rsidR="00FC2B5E" w:rsidRDefault="00FC2B5E" w:rsidP="00A90AB4">
    <w:pPr>
      <w:pStyle w:val="Kopfzeile"/>
      <w:pBdr>
        <w:bottom w:val="single" w:sz="6" w:space="1" w:color="auto"/>
      </w:pBdr>
      <w:jc w:val="right"/>
    </w:pPr>
    <w:r>
      <w:t>Fragestellung</w:t>
    </w:r>
  </w:p>
  <w:p w14:paraId="654599BD" w14:textId="77777777" w:rsidR="00FC2B5E" w:rsidRDefault="00FC2B5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E9CC5" w14:textId="77777777" w:rsidR="00A90AB4" w:rsidRDefault="00FC2B5E" w:rsidP="00A90AB4">
    <w:pPr>
      <w:pStyle w:val="Kopfzeile"/>
      <w:pBdr>
        <w:bottom w:val="single" w:sz="6" w:space="1" w:color="auto"/>
      </w:pBdr>
      <w:jc w:val="right"/>
    </w:pPr>
    <w:r>
      <w:t>Material &amp; Methoden</w:t>
    </w:r>
  </w:p>
  <w:p w14:paraId="3C60F7ED" w14:textId="77777777" w:rsidR="00A90AB4" w:rsidRDefault="00A90AB4">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6BDF5" w14:textId="77777777" w:rsidR="00A90AB4" w:rsidRDefault="00A90AB4" w:rsidP="000F7CB9">
    <w:pPr>
      <w:pStyle w:val="Kopfzeile"/>
      <w:pBdr>
        <w:bottom w:val="single" w:sz="6" w:space="1" w:color="auto"/>
      </w:pBdr>
      <w:spacing w:line="360" w:lineRule="auto"/>
      <w:jc w:val="left"/>
    </w:pPr>
    <w:r>
      <w:t>Ergebnisse</w:t>
    </w:r>
  </w:p>
  <w:p w14:paraId="42323FFD"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pStyle w:val="berschrift3"/>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2"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6"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6"/>
  </w:num>
  <w:num w:numId="2" w16cid:durableId="296035956">
    <w:abstractNumId w:val="2"/>
  </w:num>
  <w:num w:numId="3" w16cid:durableId="1928464292">
    <w:abstractNumId w:val="5"/>
  </w:num>
  <w:num w:numId="4" w16cid:durableId="1104375709">
    <w:abstractNumId w:val="8"/>
  </w:num>
  <w:num w:numId="5" w16cid:durableId="1009911411">
    <w:abstractNumId w:val="7"/>
  </w:num>
  <w:num w:numId="6" w16cid:durableId="305672052">
    <w:abstractNumId w:val="0"/>
  </w:num>
  <w:num w:numId="7" w16cid:durableId="634334900">
    <w:abstractNumId w:val="1"/>
  </w:num>
  <w:num w:numId="8" w16cid:durableId="1734504790">
    <w:abstractNumId w:val="3"/>
  </w:num>
  <w:num w:numId="9" w16cid:durableId="7707790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32163"/>
    <w:rsid w:val="0003685A"/>
    <w:rsid w:val="00037F7E"/>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8C2"/>
    <w:rsid w:val="00096370"/>
    <w:rsid w:val="00096F14"/>
    <w:rsid w:val="000A040B"/>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9C6"/>
    <w:rsid w:val="002A1C2E"/>
    <w:rsid w:val="002A2753"/>
    <w:rsid w:val="002A356B"/>
    <w:rsid w:val="002A38B5"/>
    <w:rsid w:val="002A39DD"/>
    <w:rsid w:val="002A3A1A"/>
    <w:rsid w:val="002A44B9"/>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568E"/>
    <w:rsid w:val="00396C21"/>
    <w:rsid w:val="0039742C"/>
    <w:rsid w:val="003A08D0"/>
    <w:rsid w:val="003A1554"/>
    <w:rsid w:val="003A1B16"/>
    <w:rsid w:val="003A2D2B"/>
    <w:rsid w:val="003A2DC4"/>
    <w:rsid w:val="003A2F63"/>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149B"/>
    <w:rsid w:val="00423A39"/>
    <w:rsid w:val="00424BC5"/>
    <w:rsid w:val="004261B8"/>
    <w:rsid w:val="0042654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35E"/>
    <w:rsid w:val="004424C6"/>
    <w:rsid w:val="00443A46"/>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B02EF"/>
    <w:rsid w:val="004B21EE"/>
    <w:rsid w:val="004B2E0C"/>
    <w:rsid w:val="004B4A34"/>
    <w:rsid w:val="004B4F65"/>
    <w:rsid w:val="004B55F3"/>
    <w:rsid w:val="004B5E9E"/>
    <w:rsid w:val="004B6541"/>
    <w:rsid w:val="004B73C7"/>
    <w:rsid w:val="004C1F0C"/>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F3117"/>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15A5"/>
    <w:rsid w:val="0051165F"/>
    <w:rsid w:val="00511A34"/>
    <w:rsid w:val="00512771"/>
    <w:rsid w:val="00512BDD"/>
    <w:rsid w:val="00513B9C"/>
    <w:rsid w:val="00514EA1"/>
    <w:rsid w:val="00516CAB"/>
    <w:rsid w:val="0051707E"/>
    <w:rsid w:val="00517EE6"/>
    <w:rsid w:val="005206F9"/>
    <w:rsid w:val="00520C9D"/>
    <w:rsid w:val="00520E47"/>
    <w:rsid w:val="005222B8"/>
    <w:rsid w:val="00523FE6"/>
    <w:rsid w:val="00524490"/>
    <w:rsid w:val="00525CF5"/>
    <w:rsid w:val="00526D88"/>
    <w:rsid w:val="00527C23"/>
    <w:rsid w:val="00530223"/>
    <w:rsid w:val="00530246"/>
    <w:rsid w:val="00531188"/>
    <w:rsid w:val="005311A1"/>
    <w:rsid w:val="00531C8D"/>
    <w:rsid w:val="00532C7E"/>
    <w:rsid w:val="005340F8"/>
    <w:rsid w:val="005358E2"/>
    <w:rsid w:val="00535B98"/>
    <w:rsid w:val="0053616D"/>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D1"/>
    <w:rsid w:val="005E68BA"/>
    <w:rsid w:val="005E6E8D"/>
    <w:rsid w:val="005F123D"/>
    <w:rsid w:val="005F19F1"/>
    <w:rsid w:val="005F34CC"/>
    <w:rsid w:val="005F3ACA"/>
    <w:rsid w:val="005F516B"/>
    <w:rsid w:val="005F54BA"/>
    <w:rsid w:val="005F6CBA"/>
    <w:rsid w:val="00600201"/>
    <w:rsid w:val="006004BB"/>
    <w:rsid w:val="00600611"/>
    <w:rsid w:val="00600C95"/>
    <w:rsid w:val="006010C7"/>
    <w:rsid w:val="0060192F"/>
    <w:rsid w:val="006025C1"/>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94202"/>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822"/>
    <w:rsid w:val="006D0E57"/>
    <w:rsid w:val="006D126A"/>
    <w:rsid w:val="006D26EB"/>
    <w:rsid w:val="006D3CF0"/>
    <w:rsid w:val="006D47A4"/>
    <w:rsid w:val="006D55C7"/>
    <w:rsid w:val="006D58CF"/>
    <w:rsid w:val="006D5C8F"/>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59B"/>
    <w:rsid w:val="006F39DF"/>
    <w:rsid w:val="006F3A0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58A6"/>
    <w:rsid w:val="00750DD5"/>
    <w:rsid w:val="007559C4"/>
    <w:rsid w:val="007615A6"/>
    <w:rsid w:val="00762B2E"/>
    <w:rsid w:val="007649AF"/>
    <w:rsid w:val="00766452"/>
    <w:rsid w:val="00766585"/>
    <w:rsid w:val="00767E11"/>
    <w:rsid w:val="00771F15"/>
    <w:rsid w:val="00772AA9"/>
    <w:rsid w:val="007733A1"/>
    <w:rsid w:val="0077430B"/>
    <w:rsid w:val="00774B02"/>
    <w:rsid w:val="0077532A"/>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5498"/>
    <w:rsid w:val="007C5962"/>
    <w:rsid w:val="007C74C5"/>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5056"/>
    <w:rsid w:val="0087544D"/>
    <w:rsid w:val="008768B2"/>
    <w:rsid w:val="0088061D"/>
    <w:rsid w:val="00880A71"/>
    <w:rsid w:val="00880B60"/>
    <w:rsid w:val="00882767"/>
    <w:rsid w:val="0088370A"/>
    <w:rsid w:val="00883805"/>
    <w:rsid w:val="00883F04"/>
    <w:rsid w:val="00884236"/>
    <w:rsid w:val="0088510E"/>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3EB8"/>
    <w:rsid w:val="00913F58"/>
    <w:rsid w:val="00913F74"/>
    <w:rsid w:val="00915CC5"/>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4CD1"/>
    <w:rsid w:val="009A565A"/>
    <w:rsid w:val="009A5BAE"/>
    <w:rsid w:val="009A6C4F"/>
    <w:rsid w:val="009A75B5"/>
    <w:rsid w:val="009A7997"/>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AA1"/>
    <w:rsid w:val="00A71401"/>
    <w:rsid w:val="00A7438E"/>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219A"/>
    <w:rsid w:val="00AA270B"/>
    <w:rsid w:val="00AA549B"/>
    <w:rsid w:val="00AA689E"/>
    <w:rsid w:val="00AA79A4"/>
    <w:rsid w:val="00AA7EEF"/>
    <w:rsid w:val="00AB1440"/>
    <w:rsid w:val="00AB18EC"/>
    <w:rsid w:val="00AB3A29"/>
    <w:rsid w:val="00AB5174"/>
    <w:rsid w:val="00AB640E"/>
    <w:rsid w:val="00AC0125"/>
    <w:rsid w:val="00AC0363"/>
    <w:rsid w:val="00AC0ED0"/>
    <w:rsid w:val="00AC2AA5"/>
    <w:rsid w:val="00AC3ABC"/>
    <w:rsid w:val="00AC5E8E"/>
    <w:rsid w:val="00AC767B"/>
    <w:rsid w:val="00AD1083"/>
    <w:rsid w:val="00AD17FD"/>
    <w:rsid w:val="00AD32FE"/>
    <w:rsid w:val="00AD3966"/>
    <w:rsid w:val="00AD4196"/>
    <w:rsid w:val="00AD5407"/>
    <w:rsid w:val="00AD575D"/>
    <w:rsid w:val="00AD585F"/>
    <w:rsid w:val="00AD58D6"/>
    <w:rsid w:val="00AD6BCD"/>
    <w:rsid w:val="00AD7ACC"/>
    <w:rsid w:val="00AE2261"/>
    <w:rsid w:val="00AE35DA"/>
    <w:rsid w:val="00AE4B81"/>
    <w:rsid w:val="00AE4BE7"/>
    <w:rsid w:val="00AE5AD0"/>
    <w:rsid w:val="00AF05F4"/>
    <w:rsid w:val="00AF0ABA"/>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6828"/>
    <w:rsid w:val="00B37686"/>
    <w:rsid w:val="00B37958"/>
    <w:rsid w:val="00B4019C"/>
    <w:rsid w:val="00B42DE2"/>
    <w:rsid w:val="00B45673"/>
    <w:rsid w:val="00B45D15"/>
    <w:rsid w:val="00B45DC5"/>
    <w:rsid w:val="00B47FC2"/>
    <w:rsid w:val="00B501EB"/>
    <w:rsid w:val="00B50AD1"/>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58C"/>
    <w:rsid w:val="00C72755"/>
    <w:rsid w:val="00C72C61"/>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57B2"/>
    <w:rsid w:val="00C95E90"/>
    <w:rsid w:val="00C9679F"/>
    <w:rsid w:val="00C972EC"/>
    <w:rsid w:val="00C975DA"/>
    <w:rsid w:val="00C97C2B"/>
    <w:rsid w:val="00CA044B"/>
    <w:rsid w:val="00CA122C"/>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900"/>
    <w:rsid w:val="00D44CCD"/>
    <w:rsid w:val="00D464E9"/>
    <w:rsid w:val="00D4695F"/>
    <w:rsid w:val="00D472BB"/>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91E"/>
    <w:rsid w:val="00DF3A92"/>
    <w:rsid w:val="00DF4C3C"/>
    <w:rsid w:val="00DF516E"/>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6B0B"/>
    <w:rsid w:val="00E4711C"/>
    <w:rsid w:val="00E47DBF"/>
    <w:rsid w:val="00E502FF"/>
    <w:rsid w:val="00E52096"/>
    <w:rsid w:val="00E53839"/>
    <w:rsid w:val="00E5416F"/>
    <w:rsid w:val="00E55230"/>
    <w:rsid w:val="00E55AFE"/>
    <w:rsid w:val="00E56E3E"/>
    <w:rsid w:val="00E5725D"/>
    <w:rsid w:val="00E60657"/>
    <w:rsid w:val="00E62C6D"/>
    <w:rsid w:val="00E64586"/>
    <w:rsid w:val="00E64726"/>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C0585"/>
    <w:rsid w:val="00EC0B1A"/>
    <w:rsid w:val="00EC0DBC"/>
    <w:rsid w:val="00EC2ECA"/>
    <w:rsid w:val="00EC3272"/>
    <w:rsid w:val="00EC440C"/>
    <w:rsid w:val="00EC5B22"/>
    <w:rsid w:val="00EC7059"/>
    <w:rsid w:val="00ED042E"/>
    <w:rsid w:val="00ED0E8F"/>
    <w:rsid w:val="00ED1040"/>
    <w:rsid w:val="00ED14C9"/>
    <w:rsid w:val="00ED34DB"/>
    <w:rsid w:val="00ED4117"/>
    <w:rsid w:val="00ED533F"/>
    <w:rsid w:val="00ED55A8"/>
    <w:rsid w:val="00ED5BDA"/>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332F"/>
    <w:rsid w:val="00F33EAF"/>
    <w:rsid w:val="00F3558C"/>
    <w:rsid w:val="00F36867"/>
    <w:rsid w:val="00F37999"/>
    <w:rsid w:val="00F37CB6"/>
    <w:rsid w:val="00F40322"/>
    <w:rsid w:val="00F40C4B"/>
    <w:rsid w:val="00F42AB4"/>
    <w:rsid w:val="00F43C49"/>
    <w:rsid w:val="00F43CFB"/>
    <w:rsid w:val="00F44A89"/>
    <w:rsid w:val="00F4689A"/>
    <w:rsid w:val="00F46AE1"/>
    <w:rsid w:val="00F47559"/>
    <w:rsid w:val="00F500FE"/>
    <w:rsid w:val="00F51904"/>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120C"/>
    <w:rsid w:val="00F91351"/>
    <w:rsid w:val="00F91849"/>
    <w:rsid w:val="00F93865"/>
    <w:rsid w:val="00F93AF2"/>
    <w:rsid w:val="00F94146"/>
    <w:rsid w:val="00F95BB9"/>
    <w:rsid w:val="00F964D0"/>
    <w:rsid w:val="00F9654E"/>
    <w:rsid w:val="00F9738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E1607"/>
    <w:rsid w:val="00FE1C8A"/>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597A49F0-26E9-1B43-A21C-D08724E3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8C6A11"/>
    <w:pPr>
      <w:numPr>
        <w:ilvl w:val="1"/>
      </w:numPr>
      <w:spacing w:before="360"/>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DA09A9"/>
    <w:pPr>
      <w:numPr>
        <w:ilvl w:val="2"/>
      </w:numPr>
      <w:spacing w:before="240"/>
      <w:ind w:left="709"/>
      <w:outlineLvl w:val="2"/>
    </w:p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8C6A11"/>
    <w:rPr>
      <w:rFonts w:ascii="Arial" w:eastAsiaTheme="majorEastAsia" w:hAnsi="Arial" w:cs="Times New Roman"/>
      <w:b/>
      <w:color w:val="000000" w:themeColor="text1"/>
      <w:sz w:val="26"/>
      <w:szCs w:val="26"/>
      <w:lang w:val="x-none" w:eastAsia="de-DE"/>
    </w:rPr>
  </w:style>
  <w:style w:type="character" w:customStyle="1" w:styleId="berschrift3Zchn">
    <w:name w:val="Überschrift 3 Zchn"/>
    <w:basedOn w:val="Absatz-Standardschriftart"/>
    <w:link w:val="berschrift3"/>
    <w:uiPriority w:val="9"/>
    <w:locked/>
    <w:rsid w:val="00DA09A9"/>
    <w:rPr>
      <w:rFonts w:ascii="Arial" w:eastAsiaTheme="majorEastAsia" w:hAnsi="Arial" w:cs="Times New Roman"/>
      <w:b/>
      <w:color w:val="000000" w:themeColor="text1"/>
      <w:sz w:val="26"/>
      <w:szCs w:val="26"/>
      <w:lang w:val="x-none"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uiPriority w:val="11"/>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Microsoft_Excel-Arbeitsblatt.xlsx"/><Relationship Id="rId42" Type="http://schemas.openxmlformats.org/officeDocument/2006/relationships/hyperlink" Target="http://3.0.co/" TargetMode="External"/><Relationship Id="rId47" Type="http://schemas.openxmlformats.org/officeDocument/2006/relationships/hyperlink" Target="https://doi.org/10.1073/pnas.0530291100" TargetMode="External"/><Relationship Id="rId63" Type="http://schemas.openxmlformats.org/officeDocument/2006/relationships/hyperlink" Target="https://doi.org/10.1097/CCO.0b013e32835ff48c" TargetMode="External"/><Relationship Id="rId68" Type="http://schemas.openxmlformats.org/officeDocument/2006/relationships/hyperlink" Target="https://doi.org/10.1093/jnci/djn011" TargetMode="External"/><Relationship Id="rId84" Type="http://schemas.openxmlformats.org/officeDocument/2006/relationships/hyperlink" Target="https://doi.org/10.1016/j.radonc.2014.11.011" TargetMode="External"/><Relationship Id="rId89" Type="http://schemas.openxmlformats.org/officeDocument/2006/relationships/hyperlink" Target="https://doi.org/10.1111/j.1600-0579.2004.00350.x" TargetMode="External"/><Relationship Id="rId16" Type="http://schemas.openxmlformats.org/officeDocument/2006/relationships/image" Target="media/image5.jpe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hyperlink" Target="https://clincancerres.aacrjournals.org/content/22/11/2639" TargetMode="External"/><Relationship Id="rId37" Type="http://schemas.openxmlformats.org/officeDocument/2006/relationships/hyperlink" Target="https://clincancerres.aacrjournals.org/content/22/11/2639" TargetMode="External"/><Relationship Id="rId53" Type="http://schemas.openxmlformats.org/officeDocument/2006/relationships/hyperlink" Target="https://doi.org/10.1038/nm0797-730" TargetMode="External"/><Relationship Id="rId58" Type="http://schemas.openxmlformats.org/officeDocument/2006/relationships/hyperlink" Target="https://doi.org/10.1158/1535-7163.MCT-10-0504" TargetMode="External"/><Relationship Id="rId74" Type="http://schemas.openxmlformats.org/officeDocument/2006/relationships/hyperlink" Target="https://doi.org/10.1002/ijc.23458" TargetMode="External"/><Relationship Id="rId79" Type="http://schemas.openxmlformats.org/officeDocument/2006/relationships/hyperlink" Target="https://doi.org/10.1002/1097-0142(20011201)92:11" TargetMode="External"/><Relationship Id="rId102" Type="http://schemas.openxmlformats.org/officeDocument/2006/relationships/hyperlink" Target="https://doi.org/10.1200/JCO.2004.00.3335" TargetMode="External"/><Relationship Id="rId5" Type="http://schemas.openxmlformats.org/officeDocument/2006/relationships/webSettings" Target="webSettings.xml"/><Relationship Id="rId90" Type="http://schemas.openxmlformats.org/officeDocument/2006/relationships/hyperlink" Target="https://doi.org/10.1002/(sici)1097-0142(19970201)79:3" TargetMode="External"/><Relationship Id="rId95" Type="http://schemas.openxmlformats.org/officeDocument/2006/relationships/hyperlink" Target="https://doi.org/10.1200/JCO.2009.23.1670"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doi.org/10.1056/NEJMoa0912217" TargetMode="External"/><Relationship Id="rId64" Type="http://schemas.openxmlformats.org/officeDocument/2006/relationships/hyperlink" Target="https://doi.org/10.1086/597755" TargetMode="External"/><Relationship Id="rId69" Type="http://schemas.openxmlformats.org/officeDocument/2006/relationships/hyperlink" Target="https://doi.org/10.1002/ijc.33588" TargetMode="External"/><Relationship Id="rId80" Type="http://schemas.openxmlformats.org/officeDocument/2006/relationships/hyperlink" Target="https://doi.org/10.1038/nm0798-844" TargetMode="External"/><Relationship Id="rId85" Type="http://schemas.openxmlformats.org/officeDocument/2006/relationships/hyperlink" Target="https://doi.org/10.1371/journal.pone.0003360"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s://clincancerres.aacrjournals.org/content/22/11/2639" TargetMode="External"/><Relationship Id="rId38" Type="http://schemas.openxmlformats.org/officeDocument/2006/relationships/hyperlink" Target="https://clincancerres.aacrjournals.org/content/22/11/2639" TargetMode="External"/><Relationship Id="rId59" Type="http://schemas.openxmlformats.org/officeDocument/2006/relationships/hyperlink" Target="https://doi.org/10.1586/14737140.6.7.1111" TargetMode="External"/><Relationship Id="rId103" Type="http://schemas.openxmlformats.org/officeDocument/2006/relationships/hyperlink" Target="https://doi.org/10.1158/0008-5472.Can-05-3153" TargetMode="External"/><Relationship Id="rId20" Type="http://schemas.openxmlformats.org/officeDocument/2006/relationships/image" Target="media/image7.emf"/><Relationship Id="rId41" Type="http://schemas.openxmlformats.org/officeDocument/2006/relationships/hyperlink" Target="http://3.0.co/" TargetMode="External"/><Relationship Id="rId54" Type="http://schemas.openxmlformats.org/officeDocument/2006/relationships/hyperlink" Target="https://doi.org/10.1007/s00117-020-00760-9" TargetMode="External"/><Relationship Id="rId62" Type="http://schemas.openxmlformats.org/officeDocument/2006/relationships/hyperlink" Target="https://doi.org/10.1016/j.ijrobp.2012.05.008" TargetMode="External"/><Relationship Id="rId70" Type="http://schemas.openxmlformats.org/officeDocument/2006/relationships/hyperlink" Target="https://doi.org/10.1093/jnci/djn025" TargetMode="External"/><Relationship Id="rId75" Type="http://schemas.openxmlformats.org/officeDocument/2006/relationships/hyperlink" Target="https://doi.org/10.1002/path.1296" TargetMode="External"/><Relationship Id="rId83" Type="http://schemas.openxmlformats.org/officeDocument/2006/relationships/hyperlink" Target="https://doi.org/10.1016/j.molonc.2007.08.005" TargetMode="External"/><Relationship Id="rId88" Type="http://schemas.openxmlformats.org/officeDocument/2006/relationships/hyperlink" Target="https://doi.org/10.1002/ijc.1385" TargetMode="External"/><Relationship Id="rId91" Type="http://schemas.openxmlformats.org/officeDocument/2006/relationships/hyperlink" Target="https://doi.org/10.1073/pnas.0610117104" TargetMode="External"/><Relationship Id="rId96" Type="http://schemas.openxmlformats.org/officeDocument/2006/relationships/hyperlink" Target="https://doi.org/10.1002/ijc.11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lincancerres.aacrjournals.org/content/22/11/2639" TargetMode="External"/><Relationship Id="rId49" Type="http://schemas.openxmlformats.org/officeDocument/2006/relationships/hyperlink" Target="https://doi.org/10.1016/S0140-6736(08)60728-X" TargetMode="External"/><Relationship Id="rId57" Type="http://schemas.openxmlformats.org/officeDocument/2006/relationships/hyperlink" Target="https://doi.org/10.1002/ijc.20740" TargetMode="External"/><Relationship Id="rId106"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19.png"/><Relationship Id="rId52" Type="http://schemas.openxmlformats.org/officeDocument/2006/relationships/hyperlink" Target="https://doi.org/10.1067/mcp.2001.113989" TargetMode="External"/><Relationship Id="rId60" Type="http://schemas.openxmlformats.org/officeDocument/2006/relationships/hyperlink" Target="https://doi.org/10.1158/1078-0432.CCR-09-0784" TargetMode="External"/><Relationship Id="rId65" Type="http://schemas.openxmlformats.org/officeDocument/2006/relationships/hyperlink" Target="https://doi.org/10.1158/1078-0432.CCR-10-0799" TargetMode="External"/><Relationship Id="rId73" Type="http://schemas.openxmlformats.org/officeDocument/2006/relationships/hyperlink" Target="https://doi.org/10.1016/j.stem.2007.08.014" TargetMode="External"/><Relationship Id="rId78" Type="http://schemas.openxmlformats.org/officeDocument/2006/relationships/hyperlink" Target="https://doi.org/10.1007/s00430-002-0126-1" TargetMode="External"/><Relationship Id="rId81" Type="http://schemas.openxmlformats.org/officeDocument/2006/relationships/hyperlink" Target="https://doi.org/10.1158/1078-0432.Ccr-10-2639" TargetMode="External"/><Relationship Id="rId86" Type="http://schemas.openxmlformats.org/officeDocument/2006/relationships/hyperlink" Target="https://doi.org/10.1016/s0046-8177(96)90311-1" TargetMode="External"/><Relationship Id="rId94" Type="http://schemas.openxmlformats.org/officeDocument/2006/relationships/hyperlink" Target="https://doi.org/10.1038/s41416-019-0602-7" TargetMode="External"/><Relationship Id="rId99" Type="http://schemas.openxmlformats.org/officeDocument/2006/relationships/hyperlink" Target="https://doi.org/10.1159/000275612" TargetMode="External"/><Relationship Id="rId101" Type="http://schemas.openxmlformats.org/officeDocument/2006/relationships/hyperlink" Target="https://doi.org/10.1056/NEJM199301213280306"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www.sciencedirect.com/topics/medicine-and-dentistry/hypopharyngeal-cancer" TargetMode="External"/><Relationship Id="rId39" Type="http://schemas.openxmlformats.org/officeDocument/2006/relationships/header" Target="header6.xml"/><Relationship Id="rId34" Type="http://schemas.openxmlformats.org/officeDocument/2006/relationships/hyperlink" Target="https://clincancerres.aacrjournals.org/content/22/11/2639" TargetMode="External"/><Relationship Id="rId50" Type="http://schemas.openxmlformats.org/officeDocument/2006/relationships/hyperlink" Target="https://doi.org/10.1158/1078-0432.CCR-10-2244" TargetMode="External"/><Relationship Id="rId55" Type="http://schemas.openxmlformats.org/officeDocument/2006/relationships/hyperlink" Target="https://doi.org/10.1016/s1470-2045(09)70096-8" TargetMode="External"/><Relationship Id="rId76" Type="http://schemas.openxmlformats.org/officeDocument/2006/relationships/hyperlink" Target="https://doi.org/10.1002/1878-0261.12430" TargetMode="External"/><Relationship Id="rId97" Type="http://schemas.openxmlformats.org/officeDocument/2006/relationships/hyperlink" Target="https://doi.org/10.1002/ijc.2910510602" TargetMode="External"/><Relationship Id="rId104" Type="http://schemas.openxmlformats.org/officeDocument/2006/relationships/hyperlink" Target="https://doi.org/10.1016/j.canlet.2009.08.010" TargetMode="External"/><Relationship Id="rId7" Type="http://schemas.openxmlformats.org/officeDocument/2006/relationships/endnotes" Target="endnotes.xml"/><Relationship Id="rId71" Type="http://schemas.openxmlformats.org/officeDocument/2006/relationships/hyperlink" Target="https://doi.org/10.1093/jnci/92.9.709" TargetMode="External"/><Relationship Id="rId92" Type="http://schemas.openxmlformats.org/officeDocument/2006/relationships/hyperlink" Target="https://doi.org/10.1016/0196-0709(94)90006-x"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3.0.co/" TargetMode="External"/><Relationship Id="rId45" Type="http://schemas.openxmlformats.org/officeDocument/2006/relationships/image" Target="media/image20.png"/><Relationship Id="rId66" Type="http://schemas.openxmlformats.org/officeDocument/2006/relationships/hyperlink" Target="https://doi.org/10.1093/ajcp/71.5.483" TargetMode="External"/><Relationship Id="rId87" Type="http://schemas.openxmlformats.org/officeDocument/2006/relationships/hyperlink" Target="https://doi.org/10.3322/canjclin.45.6.328" TargetMode="External"/><Relationship Id="rId61" Type="http://schemas.openxmlformats.org/officeDocument/2006/relationships/hyperlink" Target="https://doi.org/10.1007/2789_2007_046" TargetMode="External"/><Relationship Id="rId82" Type="http://schemas.openxmlformats.org/officeDocument/2006/relationships/hyperlink" Target="https://doi.org/10.1002/1097-0142(20010815)92:4" TargetMode="Externa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yperlink" Target="https://clincancerres.aacrjournals.org/content/22/11/2639" TargetMode="External"/><Relationship Id="rId56" Type="http://schemas.openxmlformats.org/officeDocument/2006/relationships/hyperlink" Target="https://doi.org/10.1016/j.critrevonc.2018.07.006" TargetMode="External"/><Relationship Id="rId77" Type="http://schemas.openxmlformats.org/officeDocument/2006/relationships/hyperlink" Target="https://doi.org/10.1001/archotol.1993.01880200093013" TargetMode="External"/><Relationship Id="rId100" Type="http://schemas.openxmlformats.org/officeDocument/2006/relationships/hyperlink" Target="https://doi.org/10.1097/00000478-200202000-00002" TargetMode="Externa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oi.org/10.1002/hed.20279" TargetMode="External"/><Relationship Id="rId72" Type="http://schemas.openxmlformats.org/officeDocument/2006/relationships/hyperlink" Target="https://doi.org/10.1038/ncponc0046" TargetMode="External"/><Relationship Id="rId93" Type="http://schemas.openxmlformats.org/officeDocument/2006/relationships/hyperlink" Target="https://doi.org/10.1002/ijc.10960" TargetMode="External"/><Relationship Id="rId98" Type="http://schemas.openxmlformats.org/officeDocument/2006/relationships/hyperlink" Target="https://doi.org/10.1002/cncr.22963"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doi.org/10.1007/978-1-59745-280-9_11" TargetMode="External"/><Relationship Id="rId67" Type="http://schemas.openxmlformats.org/officeDocument/2006/relationships/hyperlink" Target="https://doi.org/10.1067/j.cpsurg.2008.10.00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538088B5-A035-D249-B5AA-064FF871DC08}"/>
      </w:docPartPr>
      <w:docPartBody>
        <w:p w:rsidR="00783746" w:rsidRDefault="009D02F0">
          <w:r w:rsidRPr="00424BA2">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2F0"/>
    <w:rsid w:val="00003BB0"/>
    <w:rsid w:val="000735B1"/>
    <w:rsid w:val="00081A9C"/>
    <w:rsid w:val="000B74CD"/>
    <w:rsid w:val="000E408B"/>
    <w:rsid w:val="00130A7D"/>
    <w:rsid w:val="00136012"/>
    <w:rsid w:val="00137C91"/>
    <w:rsid w:val="00197C63"/>
    <w:rsid w:val="001B5F14"/>
    <w:rsid w:val="002249DD"/>
    <w:rsid w:val="00256C37"/>
    <w:rsid w:val="0036574F"/>
    <w:rsid w:val="00377643"/>
    <w:rsid w:val="00425C4F"/>
    <w:rsid w:val="004261B8"/>
    <w:rsid w:val="00437B1E"/>
    <w:rsid w:val="00441F4D"/>
    <w:rsid w:val="00496C5F"/>
    <w:rsid w:val="004E0B35"/>
    <w:rsid w:val="00505828"/>
    <w:rsid w:val="0053743A"/>
    <w:rsid w:val="0054657D"/>
    <w:rsid w:val="00573519"/>
    <w:rsid w:val="00592185"/>
    <w:rsid w:val="00596D67"/>
    <w:rsid w:val="00642F9A"/>
    <w:rsid w:val="006568A4"/>
    <w:rsid w:val="00694202"/>
    <w:rsid w:val="0076128B"/>
    <w:rsid w:val="00783746"/>
    <w:rsid w:val="007D4383"/>
    <w:rsid w:val="007F4464"/>
    <w:rsid w:val="00826649"/>
    <w:rsid w:val="0084610B"/>
    <w:rsid w:val="008A5A4B"/>
    <w:rsid w:val="008A65C0"/>
    <w:rsid w:val="008D0A60"/>
    <w:rsid w:val="00906283"/>
    <w:rsid w:val="00973CB8"/>
    <w:rsid w:val="009C4F37"/>
    <w:rsid w:val="009D02F0"/>
    <w:rsid w:val="009E01DF"/>
    <w:rsid w:val="00A14A24"/>
    <w:rsid w:val="00A40B6F"/>
    <w:rsid w:val="00A64021"/>
    <w:rsid w:val="00B2245C"/>
    <w:rsid w:val="00B35AE9"/>
    <w:rsid w:val="00B4626F"/>
    <w:rsid w:val="00B56E36"/>
    <w:rsid w:val="00B67C39"/>
    <w:rsid w:val="00BE3A8C"/>
    <w:rsid w:val="00BF76A2"/>
    <w:rsid w:val="00C02A1A"/>
    <w:rsid w:val="00C12F7B"/>
    <w:rsid w:val="00C219DF"/>
    <w:rsid w:val="00C83098"/>
    <w:rsid w:val="00C9679F"/>
    <w:rsid w:val="00D05DD6"/>
    <w:rsid w:val="00D11B79"/>
    <w:rsid w:val="00D52FBD"/>
    <w:rsid w:val="00D64E18"/>
    <w:rsid w:val="00D95295"/>
    <w:rsid w:val="00DE4024"/>
    <w:rsid w:val="00E64726"/>
    <w:rsid w:val="00E854FF"/>
    <w:rsid w:val="00EA60B5"/>
    <w:rsid w:val="00EE182E"/>
    <w:rsid w:val="00EE34CD"/>
    <w:rsid w:val="00F31F18"/>
    <w:rsid w:val="00F475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D02F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28687</Words>
  <Characters>180734</Characters>
  <Application>Microsoft Office Word</Application>
  <DocSecurity>0</DocSecurity>
  <Lines>1506</Lines>
  <Paragraphs>418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209003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1</cp:revision>
  <cp:lastPrinted>2024-05-01T20:11:00Z</cp:lastPrinted>
  <dcterms:created xsi:type="dcterms:W3CDTF">2025-04-07T07:41:00Z</dcterms:created>
  <dcterms:modified xsi:type="dcterms:W3CDTF">2025-06-21T19:35:00Z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id="jXkZCaxI"/&gt;&lt;style id="http://www.zotero.org/styles/human-mutation" hasBibliography="1" bibliographyStyleHasBeenSet="0"/&gt;&lt;prefs&gt;&lt;pref name="fieldType" value="Field"/&gt;&lt;pref name="automaticJournalAbb</vt:lpwstr>
  </property>
  <property fmtid="{D5CDD505-2E9C-101B-9397-08002B2CF9AE}" pid="3" name="ZOTERO_PREF_2">
    <vt:lpwstr>reviations" value="true"/&gt;&lt;/prefs&gt;&lt;/data&gt;</vt:lpwstr>
  </property>
</Properties>
</file>