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2835"/>
        <w:gridCol w:w="7937"/>
      </w:tblGrid>
      <w:tr>
        <w:tc>
          <w:tcPr>
            <w:tcW w:type="dxa" w:w="4513"/>
            <w:shd w:val="clear" w:color="auto" w:fill="1A3460"/>
            <w:vAlign w:val="center"/>
          </w:tcPr>
          <w:p>
            <w:pPr>
              <w:jc w:val="center"/>
            </w:pPr>
            <w:r>
              <w:rPr>
                <w:rFonts w:ascii="Calibri" w:hAnsi="Calibri"/>
                <w:b w:val="0"/>
                <w:i w:val="0"/>
                <w:color w:val="FFFFFF"/>
                <w:sz w:val="18"/>
              </w:rPr>
              <w:br/>
              <w:t>[PHOTO]</w:t>
              <w:br/>
            </w:r>
          </w:p>
          <w:p>
            <w:pPr>
              <w:jc w:val="center"/>
            </w:pPr>
            <w:r>
              <w:rPr>
                <w:rFonts w:ascii="Calibri" w:hAnsi="Calibri"/>
                <w:b w:val="0"/>
                <w:i/>
                <w:color w:val="C8C8C8"/>
                <w:sz w:val="16"/>
              </w:rPr>
              <w:t>(Optional)</w:t>
              <w:br/>
              <w:t>90×120 px</w:t>
            </w:r>
          </w:p>
        </w:tc>
        <w:tc>
          <w:tcPr>
            <w:tcW w:type="dxa" w:w="4513"/>
          </w:tcPr>
          <w:p>
            <w:pPr>
              <w:spacing w:before="120"/>
              <w:ind w:left="288"/>
              <w:jc w:val="left"/>
            </w:pPr>
            <w:r>
              <w:rPr>
                <w:rFonts w:ascii="Calibri" w:hAnsi="Calibri"/>
                <w:b/>
                <w:i w:val="0"/>
                <w:color w:val="1A345C"/>
                <w:sz w:val="44"/>
              </w:rPr>
              <w:t>Lukas Müller</w:t>
            </w:r>
          </w:p>
          <w:p>
            <w:pPr>
              <w:ind w:left="288"/>
            </w:pPr>
            <w:r>
              <w:rPr>
                <w:rFonts w:ascii="Calibri" w:hAnsi="Calibri"/>
                <w:b w:val="0"/>
                <w:i/>
                <w:color w:val="505050"/>
                <w:sz w:val="24"/>
              </w:rPr>
              <w:t>Data Scientist  |  Machine Learning Engineer</w:t>
            </w:r>
          </w:p>
          <w:p>
            <w:pPr>
              <w:ind w:left="288"/>
            </w:pPr>
            <w:r>
              <w:rPr>
                <w:rFonts w:ascii="Calibri" w:hAnsi="Calibri"/>
                <w:b w:val="0"/>
                <w:i w:val="0"/>
                <w:color w:val="3C3C3C"/>
                <w:sz w:val="19"/>
              </w:rPr>
              <w:t>Berlin, Germany</w:t>
            </w:r>
          </w:p>
          <w:p>
            <w:pPr>
              <w:ind w:left="288"/>
            </w:pPr>
            <w:r>
              <w:rPr>
                <w:rFonts w:ascii="Calibri" w:hAnsi="Calibri"/>
                <w:b w:val="0"/>
                <w:i w:val="0"/>
                <w:color w:val="3C3C3C"/>
                <w:sz w:val="19"/>
              </w:rPr>
              <w:t>+49 170 1234567  •  l.muller@email.de</w:t>
            </w:r>
          </w:p>
          <w:p>
            <w:pPr>
              <w:ind w:left="288"/>
            </w:pPr>
            <w:r>
              <w:rPr>
                <w:rFonts w:ascii="Calibri" w:hAnsi="Calibri"/>
                <w:b w:val="0"/>
                <w:i w:val="0"/>
                <w:color w:val="3C3C3C"/>
                <w:sz w:val="19"/>
              </w:rPr>
              <w:t>linkedin.com/in/lukasmuller  •  github.com/lukasmuller</w:t>
            </w:r>
          </w:p>
          <w:p>
            <w:pPr>
              <w:ind w:left="288"/>
            </w:pPr>
            <w:r>
              <w:rPr>
                <w:rFonts w:ascii="Calibri" w:hAnsi="Calibri"/>
                <w:b w:val="0"/>
                <w:i w:val="0"/>
                <w:color w:val="3C3C3C"/>
                <w:sz w:val="19"/>
              </w:rPr>
              <w:t>Nationality: German  •  Date of Birth: 14 March 1990</w:t>
            </w:r>
          </w:p>
        </w:tc>
      </w:tr>
    </w:tbl>
    <w:p/>
    <w:p>
      <w:pPr>
        <w:spacing w:before="200" w:after="40"/>
        <w:jc w:val="left"/>
      </w:pPr>
      <w:r>
        <w:rPr>
          <w:rFonts w:ascii="Calibri" w:hAnsi="Calibri"/>
          <w:b/>
          <w:i w:val="0"/>
          <w:color w:val="1A345C"/>
          <w:sz w:val="24"/>
        </w:rPr>
        <w:t>PERSONAL STATEMENT</w:t>
      </w:r>
    </w:p>
    <w:p>
      <w:pPr>
        <w:spacing w:before="40" w:after="40"/>
        <w:pBdr>
          <w:bottom w:val="single" w:sz="6" w:space="1" w:color="1A345C"/>
        </w:pBdr>
      </w:pPr>
    </w:p>
    <w:p>
      <w:pPr>
        <w:spacing w:before="0" w:after="120"/>
        <w:jc w:val="left"/>
      </w:pPr>
      <w:r>
        <w:rPr>
          <w:rFonts w:ascii="Calibri" w:hAnsi="Calibri"/>
          <w:b w:val="0"/>
          <w:i w:val="0"/>
          <w:sz w:val="21"/>
        </w:rPr>
        <w:t>Experienced Data Scientist with 7 years of expertise in machine learning, statistical modelling, and large-scale data infrastructure across the automotive and financial sectors. Fluent in German, English, and French. Committed to delivering explainable AI solutions that comply with EU AI Act requirements and GDPR data governance standards.</w:t>
      </w:r>
    </w:p>
    <w:p>
      <w:pPr>
        <w:spacing w:before="200" w:after="40"/>
        <w:jc w:val="left"/>
      </w:pPr>
      <w:r>
        <w:rPr>
          <w:rFonts w:ascii="Calibri" w:hAnsi="Calibri"/>
          <w:b/>
          <w:i w:val="0"/>
          <w:color w:val="1A345C"/>
          <w:sz w:val="24"/>
        </w:rPr>
        <w:t>WORK EXPERIENCE</w:t>
      </w:r>
    </w:p>
    <w:p>
      <w:pPr>
        <w:spacing w:before="40" w:after="40"/>
        <w:pBdr>
          <w:bottom w:val="single" w:sz="6" w:space="1" w:color="1A345C"/>
        </w:pBdr>
      </w:pPr>
    </w:p>
    <w:p>
      <w:pPr>
        <w:spacing w:before="160" w:after="0"/>
        <w:jc w:val="left"/>
      </w:pPr>
      <w:r>
        <w:rPr>
          <w:rFonts w:ascii="Calibri" w:hAnsi="Calibri"/>
          <w:b/>
          <w:i w:val="0"/>
          <w:color w:val="1A345C"/>
          <w:sz w:val="22"/>
        </w:rPr>
        <w:t>Lead Data Scientist</w:t>
      </w:r>
    </w:p>
    <w:p>
      <w:pPr>
        <w:spacing w:before="0" w:after="20"/>
        <w:jc w:val="left"/>
      </w:pPr>
      <w:r>
        <w:rPr>
          <w:rFonts w:ascii="Calibri" w:hAnsi="Calibri"/>
          <w:b w:val="0"/>
          <w:i/>
          <w:color w:val="646464"/>
          <w:sz w:val="20"/>
        </w:rPr>
        <w:t>AutoVision GmbH — Munich, Germany  |  Jan 2021 – Present</w:t>
      </w:r>
    </w:p>
    <w:p>
      <w:pPr>
        <w:pStyle w:val="ListBullet"/>
        <w:spacing w:after="40"/>
        <w:ind w:left="432"/>
      </w:pPr>
      <w:r>
        <w:rPr>
          <w:rFonts w:ascii="Calibri" w:hAnsi="Calibri"/>
          <w:b w:val="0"/>
          <w:i w:val="0"/>
          <w:sz w:val="21"/>
        </w:rPr>
        <w:t>Developed computer vision pipeline for autonomous driving perception system, achieving mAP of 0.94 on internal benchmark — top 3% in KITTI leaderboard.</w:t>
      </w:r>
    </w:p>
    <w:p>
      <w:pPr>
        <w:pStyle w:val="ListBullet"/>
        <w:spacing w:after="40"/>
        <w:ind w:left="432"/>
      </w:pPr>
      <w:r>
        <w:rPr>
          <w:rFonts w:ascii="Calibri" w:hAnsi="Calibri"/>
          <w:b w:val="0"/>
          <w:i w:val="0"/>
          <w:sz w:val="21"/>
        </w:rPr>
        <w:t>Built GDPR-compliant data anonymisation framework processing 12 TB/day of sensor data.</w:t>
      </w:r>
    </w:p>
    <w:p>
      <w:pPr>
        <w:pStyle w:val="ListBullet"/>
        <w:spacing w:after="40"/>
        <w:ind w:left="432"/>
      </w:pPr>
      <w:r>
        <w:rPr>
          <w:rFonts w:ascii="Calibri" w:hAnsi="Calibri"/>
          <w:b w:val="0"/>
          <w:i w:val="0"/>
          <w:sz w:val="21"/>
        </w:rPr>
        <w:t>Delivered EU AI Act conformity assessment documentation ahead of 2024 regulatory deadline.</w:t>
      </w:r>
    </w:p>
    <w:p>
      <w:pPr>
        <w:pStyle w:val="ListBullet"/>
        <w:spacing w:after="40"/>
        <w:ind w:left="432"/>
      </w:pPr>
      <w:r>
        <w:rPr>
          <w:rFonts w:ascii="Calibri" w:hAnsi="Calibri"/>
          <w:b w:val="0"/>
          <w:i w:val="0"/>
          <w:sz w:val="21"/>
        </w:rPr>
        <w:t>Mentored team of 5 junior scientists; introduced MLflow model registry reducing experiment duplication by 45%.</w:t>
      </w:r>
    </w:p>
    <w:p>
      <w:pPr>
        <w:spacing w:before="160" w:after="0"/>
        <w:jc w:val="left"/>
      </w:pPr>
      <w:r>
        <w:rPr>
          <w:rFonts w:ascii="Calibri" w:hAnsi="Calibri"/>
          <w:b/>
          <w:i w:val="0"/>
          <w:color w:val="1A345C"/>
          <w:sz w:val="22"/>
        </w:rPr>
        <w:t>Senior Data Analyst</w:t>
      </w:r>
    </w:p>
    <w:p>
      <w:pPr>
        <w:spacing w:before="0" w:after="20"/>
        <w:jc w:val="left"/>
      </w:pPr>
      <w:r>
        <w:rPr>
          <w:rFonts w:ascii="Calibri" w:hAnsi="Calibri"/>
          <w:b w:val="0"/>
          <w:i/>
          <w:color w:val="646464"/>
          <w:sz w:val="20"/>
        </w:rPr>
        <w:t>FinServe AG — Frankfurt, Germany  |  Mar 2018 – Dec 2020</w:t>
      </w:r>
    </w:p>
    <w:p>
      <w:pPr>
        <w:pStyle w:val="ListBullet"/>
        <w:spacing w:after="40"/>
        <w:ind w:left="432"/>
      </w:pPr>
      <w:r>
        <w:rPr>
          <w:rFonts w:ascii="Calibri" w:hAnsi="Calibri"/>
          <w:b w:val="0"/>
          <w:i w:val="0"/>
          <w:sz w:val="21"/>
        </w:rPr>
        <w:t>Built credit risk scoring models (XGBoost, LightGBM) reducing non-performing loan ratio by 12 bps.</w:t>
      </w:r>
    </w:p>
    <w:p>
      <w:pPr>
        <w:pStyle w:val="ListBullet"/>
        <w:spacing w:after="40"/>
        <w:ind w:left="432"/>
      </w:pPr>
      <w:r>
        <w:rPr>
          <w:rFonts w:ascii="Calibri" w:hAnsi="Calibri"/>
          <w:b w:val="0"/>
          <w:i w:val="0"/>
          <w:sz w:val="21"/>
        </w:rPr>
        <w:t>Deployed real-time fraud detection API (FastAPI + Kafka) with &lt;50 ms inference latency.</w:t>
      </w:r>
    </w:p>
    <w:p>
      <w:pPr>
        <w:spacing w:before="200" w:after="40"/>
        <w:jc w:val="left"/>
      </w:pPr>
      <w:r>
        <w:rPr>
          <w:rFonts w:ascii="Calibri" w:hAnsi="Calibri"/>
          <w:b/>
          <w:i w:val="0"/>
          <w:color w:val="1A345C"/>
          <w:sz w:val="24"/>
        </w:rPr>
        <w:t>EDUCATION</w:t>
      </w:r>
    </w:p>
    <w:p>
      <w:pPr>
        <w:spacing w:before="40" w:after="40"/>
        <w:pBdr>
          <w:bottom w:val="single" w:sz="6" w:space="1" w:color="1A345C"/>
        </w:pBdr>
      </w:pPr>
    </w:p>
    <w:p>
      <w:pPr>
        <w:spacing w:before="120" w:after="0"/>
        <w:jc w:val="left"/>
      </w:pPr>
      <w:r>
        <w:rPr>
          <w:rFonts w:ascii="Calibri" w:hAnsi="Calibri"/>
          <w:b/>
          <w:i w:val="0"/>
          <w:sz w:val="22"/>
        </w:rPr>
        <w:t>MSc Data Science</w:t>
      </w:r>
    </w:p>
    <w:p>
      <w:pPr>
        <w:spacing w:before="0" w:after="40"/>
        <w:jc w:val="left"/>
      </w:pPr>
      <w:r>
        <w:rPr>
          <w:rFonts w:ascii="Calibri" w:hAnsi="Calibri"/>
          <w:b w:val="0"/>
          <w:i w:val="0"/>
          <w:sz w:val="21"/>
        </w:rPr>
        <w:t>Technical University of Munich (TUM), Germany  |  2015–2017  |  Grade: 1.2 (Excellent)</w:t>
      </w:r>
    </w:p>
    <w:p>
      <w:pPr>
        <w:spacing w:before="120" w:after="0"/>
        <w:jc w:val="left"/>
      </w:pPr>
      <w:r>
        <w:rPr>
          <w:rFonts w:ascii="Calibri" w:hAnsi="Calibri"/>
          <w:b/>
          <w:i w:val="0"/>
          <w:sz w:val="22"/>
        </w:rPr>
        <w:t>BSc Computer Science</w:t>
      </w:r>
    </w:p>
    <w:p>
      <w:pPr>
        <w:spacing w:before="0" w:after="40"/>
        <w:jc w:val="left"/>
      </w:pPr>
      <w:r>
        <w:rPr>
          <w:rFonts w:ascii="Calibri" w:hAnsi="Calibri"/>
          <w:b w:val="0"/>
          <w:i w:val="0"/>
          <w:sz w:val="21"/>
        </w:rPr>
        <w:t>Humboldt-Universität zu Berlin, Germany  |  2012–2015  |  Grade: 1.5 (Very Good)</w:t>
      </w:r>
    </w:p>
    <w:p>
      <w:pPr>
        <w:spacing w:before="200" w:after="40"/>
        <w:jc w:val="left"/>
      </w:pPr>
      <w:r>
        <w:rPr>
          <w:rFonts w:ascii="Calibri" w:hAnsi="Calibri"/>
          <w:b/>
          <w:i w:val="0"/>
          <w:color w:val="1A345C"/>
          <w:sz w:val="24"/>
        </w:rPr>
        <w:t>LANGUAGE SKILLS</w:t>
      </w:r>
    </w:p>
    <w:p>
      <w:pPr>
        <w:spacing w:before="40" w:after="40"/>
        <w:pBdr>
          <w:bottom w:val="single" w:sz="6" w:space="1" w:color="1A345C"/>
        </w:pBdr>
      </w:pPr>
    </w:p>
    <w:tbl>
      <w:tblPr>
        <w:tblW w:type="auto" w:w="0"/>
        <w:tblLook w:firstColumn="1" w:firstRow="1" w:lastColumn="0" w:lastRow="0" w:noHBand="0" w:noVBand="1" w:val="04A0"/>
        <w:tblBorders>
          <w:top w:val="none"/>
          <w:left w:val="none"/>
          <w:bottom w:val="none"/>
          <w:right w:val="none"/>
          <w:insideH w:val="none"/>
          <w:insideV w:val="none"/>
        </w:tblBorders>
      </w:tblPr>
      <w:tblGrid>
        <w:gridCol w:w="2256"/>
        <w:gridCol w:w="2256"/>
        <w:gridCol w:w="2256"/>
        <w:gridCol w:w="2256"/>
      </w:tblGrid>
      <w:tr>
        <w:tc>
          <w:tcPr>
            <w:tcW w:type="dxa" w:w="2256"/>
          </w:tcPr>
          <w:p>
            <w:r>
              <w:rPr>
                <w:rFonts w:ascii="Calibri" w:hAnsi="Calibri"/>
                <w:b/>
                <w:i w:val="0"/>
                <w:color w:val="1A345C"/>
                <w:sz w:val="20"/>
              </w:rPr>
              <w:t>Language</w:t>
            </w:r>
          </w:p>
        </w:tc>
        <w:tc>
          <w:tcPr>
            <w:tcW w:type="dxa" w:w="2256"/>
          </w:tcPr>
          <w:p>
            <w:r>
              <w:rPr>
                <w:rFonts w:ascii="Calibri" w:hAnsi="Calibri"/>
                <w:b/>
                <w:i w:val="0"/>
                <w:color w:val="1A345C"/>
                <w:sz w:val="20"/>
              </w:rPr>
              <w:t>Understanding</w:t>
            </w:r>
          </w:p>
        </w:tc>
        <w:tc>
          <w:tcPr>
            <w:tcW w:type="dxa" w:w="2256"/>
          </w:tcPr>
          <w:p>
            <w:r>
              <w:rPr>
                <w:rFonts w:ascii="Calibri" w:hAnsi="Calibri"/>
                <w:b/>
                <w:i w:val="0"/>
                <w:color w:val="1A345C"/>
                <w:sz w:val="20"/>
              </w:rPr>
              <w:t>Speaking</w:t>
            </w:r>
          </w:p>
        </w:tc>
        <w:tc>
          <w:tcPr>
            <w:tcW w:type="dxa" w:w="2256"/>
          </w:tcPr>
          <w:p>
            <w:r>
              <w:rPr>
                <w:rFonts w:ascii="Calibri" w:hAnsi="Calibri"/>
                <w:b/>
                <w:i w:val="0"/>
                <w:color w:val="1A345C"/>
                <w:sz w:val="20"/>
              </w:rPr>
              <w:t>Writing</w:t>
            </w:r>
          </w:p>
        </w:tc>
      </w:tr>
      <w:tr>
        <w:tc>
          <w:tcPr>
            <w:tcW w:type="dxa" w:w="2256"/>
          </w:tcPr>
          <w:p>
            <w:r>
              <w:rPr>
                <w:rFonts w:ascii="Calibri" w:hAnsi="Calibri"/>
                <w:b w:val="0"/>
                <w:i w:val="0"/>
                <w:sz w:val="20"/>
              </w:rPr>
              <w:t>German</w:t>
            </w:r>
          </w:p>
        </w:tc>
        <w:tc>
          <w:tcPr>
            <w:tcW w:type="dxa" w:w="2256"/>
          </w:tcPr>
          <w:p>
            <w:r>
              <w:rPr>
                <w:rFonts w:ascii="Calibri" w:hAnsi="Calibri"/>
                <w:b w:val="0"/>
                <w:i w:val="0"/>
                <w:sz w:val="20"/>
              </w:rPr>
              <w:t>C2 (Native)</w:t>
            </w:r>
          </w:p>
        </w:tc>
        <w:tc>
          <w:tcPr>
            <w:tcW w:type="dxa" w:w="2256"/>
          </w:tcPr>
          <w:p>
            <w:r>
              <w:rPr>
                <w:rFonts w:ascii="Calibri" w:hAnsi="Calibri"/>
                <w:b w:val="0"/>
                <w:i w:val="0"/>
                <w:sz w:val="20"/>
              </w:rPr>
              <w:t>C2 (Native)</w:t>
            </w:r>
          </w:p>
        </w:tc>
        <w:tc>
          <w:tcPr>
            <w:tcW w:type="dxa" w:w="2256"/>
          </w:tcPr>
          <w:p>
            <w:r>
              <w:rPr>
                <w:rFonts w:ascii="Calibri" w:hAnsi="Calibri"/>
                <w:b w:val="0"/>
                <w:i w:val="0"/>
                <w:sz w:val="20"/>
              </w:rPr>
              <w:t>C2 (Native)</w:t>
            </w:r>
          </w:p>
        </w:tc>
      </w:tr>
      <w:tr>
        <w:tc>
          <w:tcPr>
            <w:tcW w:type="dxa" w:w="2256"/>
          </w:tcPr>
          <w:p>
            <w:r>
              <w:rPr>
                <w:rFonts w:ascii="Calibri" w:hAnsi="Calibri"/>
                <w:b w:val="0"/>
                <w:i w:val="0"/>
                <w:sz w:val="20"/>
              </w:rPr>
              <w:t>English</w:t>
            </w:r>
          </w:p>
        </w:tc>
        <w:tc>
          <w:tcPr>
            <w:tcW w:type="dxa" w:w="2256"/>
          </w:tcPr>
          <w:p>
            <w:r>
              <w:rPr>
                <w:rFonts w:ascii="Calibri" w:hAnsi="Calibri"/>
                <w:b w:val="0"/>
                <w:i w:val="0"/>
                <w:sz w:val="20"/>
              </w:rPr>
              <w:t>C1</w:t>
            </w:r>
          </w:p>
        </w:tc>
        <w:tc>
          <w:tcPr>
            <w:tcW w:type="dxa" w:w="2256"/>
          </w:tcPr>
          <w:p>
            <w:r>
              <w:rPr>
                <w:rFonts w:ascii="Calibri" w:hAnsi="Calibri"/>
                <w:b w:val="0"/>
                <w:i w:val="0"/>
                <w:sz w:val="20"/>
              </w:rPr>
              <w:t>C1</w:t>
            </w:r>
          </w:p>
        </w:tc>
        <w:tc>
          <w:tcPr>
            <w:tcW w:type="dxa" w:w="2256"/>
          </w:tcPr>
          <w:p>
            <w:r>
              <w:rPr>
                <w:rFonts w:ascii="Calibri" w:hAnsi="Calibri"/>
                <w:b w:val="0"/>
                <w:i w:val="0"/>
                <w:sz w:val="20"/>
              </w:rPr>
              <w:t>C1</w:t>
            </w:r>
          </w:p>
        </w:tc>
      </w:tr>
      <w:tr>
        <w:tc>
          <w:tcPr>
            <w:tcW w:type="dxa" w:w="2256"/>
          </w:tcPr>
          <w:p>
            <w:r>
              <w:rPr>
                <w:rFonts w:ascii="Calibri" w:hAnsi="Calibri"/>
                <w:b w:val="0"/>
                <w:i w:val="0"/>
                <w:sz w:val="20"/>
              </w:rPr>
              <w:t>French</w:t>
            </w:r>
          </w:p>
        </w:tc>
        <w:tc>
          <w:tcPr>
            <w:tcW w:type="dxa" w:w="2256"/>
          </w:tcPr>
          <w:p>
            <w:r>
              <w:rPr>
                <w:rFonts w:ascii="Calibri" w:hAnsi="Calibri"/>
                <w:b w:val="0"/>
                <w:i w:val="0"/>
                <w:sz w:val="20"/>
              </w:rPr>
              <w:t>B2</w:t>
            </w:r>
          </w:p>
        </w:tc>
        <w:tc>
          <w:tcPr>
            <w:tcW w:type="dxa" w:w="2256"/>
          </w:tcPr>
          <w:p>
            <w:r>
              <w:rPr>
                <w:rFonts w:ascii="Calibri" w:hAnsi="Calibri"/>
                <w:b w:val="0"/>
                <w:i w:val="0"/>
                <w:sz w:val="20"/>
              </w:rPr>
              <w:t>B1</w:t>
            </w:r>
          </w:p>
        </w:tc>
        <w:tc>
          <w:tcPr>
            <w:tcW w:type="dxa" w:w="2256"/>
          </w:tcPr>
          <w:p>
            <w:r>
              <w:rPr>
                <w:rFonts w:ascii="Calibri" w:hAnsi="Calibri"/>
                <w:b w:val="0"/>
                <w:i w:val="0"/>
                <w:sz w:val="20"/>
              </w:rPr>
              <w:t>B1</w:t>
            </w:r>
          </w:p>
        </w:tc>
      </w:tr>
    </w:tbl>
    <w:p>
      <w:pPr>
        <w:spacing w:before="200" w:after="40"/>
        <w:jc w:val="left"/>
      </w:pPr>
      <w:r>
        <w:rPr>
          <w:rFonts w:ascii="Calibri" w:hAnsi="Calibri"/>
          <w:b/>
          <w:i w:val="0"/>
          <w:color w:val="1A345C"/>
          <w:sz w:val="24"/>
        </w:rPr>
        <w:t>DIGITAL &amp; TECHNICAL SKILLS</w:t>
      </w:r>
    </w:p>
    <w:p>
      <w:pPr>
        <w:spacing w:before="40" w:after="40"/>
        <w:pBdr>
          <w:bottom w:val="single" w:sz="6" w:space="1" w:color="1A345C"/>
        </w:pBdr>
      </w:pPr>
    </w:p>
    <w:p>
      <w:pPr>
        <w:pStyle w:val="ListBullet"/>
        <w:spacing w:after="40"/>
        <w:ind w:left="432"/>
      </w:pPr>
      <w:r>
        <w:rPr>
          <w:rFonts w:ascii="Calibri" w:hAnsi="Calibri"/>
          <w:b w:val="0"/>
          <w:i w:val="0"/>
          <w:sz w:val="21"/>
        </w:rPr>
        <w:t>Programming: Python (expert), R (advanced), SQL (advanced), Scala (intermediate)</w:t>
      </w:r>
    </w:p>
    <w:p>
      <w:pPr>
        <w:pStyle w:val="ListBullet"/>
        <w:spacing w:after="40"/>
        <w:ind w:left="432"/>
      </w:pPr>
      <w:r>
        <w:rPr>
          <w:rFonts w:ascii="Calibri" w:hAnsi="Calibri"/>
          <w:b w:val="0"/>
          <w:i w:val="0"/>
          <w:sz w:val="21"/>
        </w:rPr>
        <w:t>ML/DL Frameworks: PyTorch, TensorFlow, scikit-learn, Hugging Face Transformers</w:t>
      </w:r>
    </w:p>
    <w:p>
      <w:pPr>
        <w:pStyle w:val="ListBullet"/>
        <w:spacing w:after="40"/>
        <w:ind w:left="432"/>
      </w:pPr>
      <w:r>
        <w:rPr>
          <w:rFonts w:ascii="Calibri" w:hAnsi="Calibri"/>
          <w:b w:val="0"/>
          <w:i w:val="0"/>
          <w:sz w:val="21"/>
        </w:rPr>
        <w:t>Data Engineering: Apache Spark, Kafka, Airflow, dbt, Snowflake</w:t>
      </w:r>
    </w:p>
    <w:p>
      <w:pPr>
        <w:pStyle w:val="ListBullet"/>
        <w:spacing w:after="40"/>
        <w:ind w:left="432"/>
      </w:pPr>
      <w:r>
        <w:rPr>
          <w:rFonts w:ascii="Calibri" w:hAnsi="Calibri"/>
          <w:b w:val="0"/>
          <w:i w:val="0"/>
          <w:sz w:val="21"/>
        </w:rPr>
        <w:t>Cloud &amp; MLOps: AWS SageMaker, Azure ML, MLflow, Docker, Kubernetes</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