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/>
          <w:i w:val="0"/>
          <w:color w:val="0054A6"/>
          <w:sz w:val="48"/>
        </w:rPr>
        <w:t>James O'Connor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color w:val="505050"/>
          <w:sz w:val="26"/>
        </w:rPr>
        <w:t>Project Manager — Construction &amp; Infrastructure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505050"/>
          <w:sz w:val="19"/>
        </w:rPr>
        <w:t>Sydney NSW 2000  |  +61 412 345 678  |  j.oconnor@email.com.au  |  linkedin.com/in/jamesoconnor</w:t>
      </w:r>
    </w:p>
    <w:p>
      <w:pPr>
        <w:spacing w:before="40" w:after="40"/>
        <w:pBdr>
          <w:bottom w:val="single" w:sz="6" w:space="1" w:color="0054A6"/>
        </w:pBdr>
      </w:pP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PROFESSIONAL SUMMARY</w:t>
      </w:r>
    </w:p>
    <w:p>
      <w:pPr>
        <w:spacing w:before="40" w:after="40"/>
        <w:pBdr>
          <w:bottom w:val="single" w:sz="6" w:space="1" w:color="0054A6"/>
        </w:pBdr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Highly accomplished Project Manager with 12 years' experience delivering major civil infrastructure, commercial construction, and public sector projects across NSW and QLD. Consistent record of on-time, on-budget delivery on projects valued up to $220M. Holds PMP and Prince2 Practitioner certifications. Strong stakeholder communicator with deep expertise in Australian Standards and Work Health &amp; Safety legislation.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CAREER HISTORY</w:t>
      </w:r>
    </w:p>
    <w:p>
      <w:pPr>
        <w:spacing w:before="40" w:after="40"/>
        <w:pBdr>
          <w:bottom w:val="single" w:sz="6" w:space="1" w:color="0054A6"/>
        </w:pBdr>
      </w:pP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54A6"/>
          <w:sz w:val="22"/>
        </w:rPr>
        <w:t>Senior Project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Lendlease Group, Sydney NSW  |  February 2020 – Present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Delivered $220M Western Sydney commercial precinct (8 buildings, 42,000 sqm GFA) 6 weeks ahead of programme and $1.8M under budget.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Led principal contractor team of 180 site personnel; maintained LTI frequency rate of 0 for 36 consecutive months.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Managed stakeholder engagement with NSW Infrastructure, local councils, and 14 subcontractors.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Implemented BIM (Revit/Navisworks) clash detection protocol reducing RFI volume by 38%.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54A6"/>
          <w:sz w:val="22"/>
        </w:rPr>
        <w:t>Project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John Holland Group, Brisbane QLD  |  March 2016 – January 2020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Managed $85M Cross River Rail enabling works package — delivered on programme within $400K of budget.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Coordinated with Queensland Rail, DTMR and Brisbane City Council on interface works and community impact mitigation.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Achieved 5-star Green Star rating on $42M commercial fitout by introducing sustainable procurement practices.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54A6"/>
          <w:sz w:val="22"/>
        </w:rPr>
        <w:t>Assistant Project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Multiplex, Sydney NSW  |  January 2013 – February 2016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Supported delivery of $130M mixed-use residential tower (430 apartments) — Kings Cross, Sydney.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Managed subcontractor packages (concrete, structural steel) valued at $28M combined.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EDUCATION</w:t>
      </w:r>
    </w:p>
    <w:p>
      <w:pPr>
        <w:spacing w:before="40" w:after="40"/>
        <w:pBdr>
          <w:bottom w:val="single" w:sz="6" w:space="1" w:color="0054A6"/>
        </w:pBdr>
      </w:pP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2"/>
        </w:rPr>
        <w:t>Bachelor of Civil Engineering (Honours Class I)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1"/>
        </w:rPr>
        <w:t>University of New South Wales (UNSW)  |  2009–2012</w:t>
      </w: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2"/>
        </w:rPr>
        <w:t>Graduate Certificate in Project Management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1"/>
        </w:rPr>
        <w:t>RMIT University Online  |  2015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LICENCES, CERTIFICATIONS &amp; MEMBERSHIPS</w:t>
      </w:r>
    </w:p>
    <w:p>
      <w:pPr>
        <w:spacing w:before="40" w:after="40"/>
        <w:pBdr>
          <w:bottom w:val="single" w:sz="6" w:space="1" w:color="0054A6"/>
        </w:pBdr>
      </w:pP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PMP — Project Management Professional (PMI, 2017, renewed 2023)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PRINCE2 Practitioner (AXELOS, 2019)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Construction Induction (White Card) — WorkSafe Australia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MiHi White Card (High Risk Work Licence — Scaffolding)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Member, Australian Institute of Project Management (AIPM) — CPPD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Engineers Australia — MIEAust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KEY SKILLS</w:t>
      </w:r>
    </w:p>
    <w:p>
      <w:pPr>
        <w:spacing w:before="40" w:after="40"/>
        <w:pBdr>
          <w:bottom w:val="single" w:sz="6" w:space="1" w:color="0054A6"/>
        </w:pBdr>
      </w:pP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Programme &amp; Cost Management (Primavera P6, MS Project)  •  Risk Management  •  NEC4 / AS 4300 Contracts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BIM Coordination (Revit, Navisworks)  •  WHS Management Systems  •  Stakeholder Engagement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Design Management  •  Community Consultation  •  Tender &amp; Procurement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4A6"/>
          <w:sz w:val="24"/>
        </w:rPr>
        <w:t>REFEREES</w:t>
      </w:r>
    </w:p>
    <w:p>
      <w:pPr>
        <w:spacing w:before="40" w:after="40"/>
        <w:pBdr>
          <w:bottom w:val="single" w:sz="6" w:space="1" w:color="0054A6"/>
        </w:pBdr>
      </w:pP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1"/>
        </w:rPr>
        <w:t>Two professional referees available on request.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