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left"/>
      </w:pPr>
      <w:r>
        <w:rPr>
          <w:rFonts w:ascii="Calibri" w:hAnsi="Calibri"/>
          <w:b/>
          <w:i w:val="0"/>
          <w:color w:val="00703C"/>
          <w:sz w:val="48"/>
        </w:rPr>
        <w:t>Sophie Walker</w:t>
      </w:r>
    </w:p>
    <w:p>
      <w:pPr>
        <w:spacing w:before="0" w:after="40"/>
        <w:jc w:val="left"/>
      </w:pPr>
      <w:r>
        <w:rPr>
          <w:rFonts w:ascii="Calibri" w:hAnsi="Calibri"/>
          <w:b w:val="0"/>
          <w:i/>
          <w:color w:val="505050"/>
          <w:sz w:val="26"/>
        </w:rPr>
        <w:t>Registered Nurse — Intensive Care &amp; Critical Care Specialist</w:t>
      </w:r>
    </w:p>
    <w:p>
      <w:pPr>
        <w:spacing w:before="0" w:after="120"/>
        <w:jc w:val="left"/>
      </w:pPr>
      <w:r>
        <w:rPr>
          <w:rFonts w:ascii="Calibri" w:hAnsi="Calibri"/>
          <w:b w:val="0"/>
          <w:i w:val="0"/>
          <w:color w:val="505050"/>
          <w:sz w:val="19"/>
        </w:rPr>
        <w:t>Auckland 1010, New Zealand  |  +64 21 987 654  |  s.walker@email.co.nz  |  NMC Registration: NZ-2018-RN-00123</w:t>
      </w:r>
    </w:p>
    <w:p>
      <w:pPr>
        <w:spacing w:before="40" w:after="40"/>
        <w:pBdr>
          <w:bottom w:val="single" w:sz="6" w:space="1" w:color="00703C"/>
        </w:pBdr>
      </w:pPr>
    </w:p>
    <w:p>
      <w:pPr>
        <w:spacing w:before="200" w:after="40"/>
        <w:jc w:val="left"/>
      </w:pPr>
      <w:r>
        <w:rPr>
          <w:rFonts w:ascii="Calibri" w:hAnsi="Calibri"/>
          <w:b/>
          <w:i w:val="0"/>
          <w:color w:val="00703C"/>
          <w:sz w:val="24"/>
        </w:rPr>
        <w:t>PROFESSIONAL PROFILE</w:t>
      </w:r>
    </w:p>
    <w:p>
      <w:pPr>
        <w:spacing w:before="40" w:after="40"/>
        <w:pBdr>
          <w:bottom w:val="single" w:sz="6" w:space="1" w:color="00703C"/>
        </w:pBdr>
      </w:pPr>
    </w:p>
    <w:p>
      <w:pPr>
        <w:spacing w:before="0" w:after="120"/>
        <w:jc w:val="left"/>
      </w:pPr>
      <w:r>
        <w:rPr>
          <w:rFonts w:ascii="Calibri" w:hAnsi="Calibri"/>
          <w:b w:val="0"/>
          <w:i w:val="0"/>
          <w:sz w:val="21"/>
        </w:rPr>
        <w:t>Compassionate and evidence-based Registered Nurse with 8 years of intensive care experience in tertiary hospitals across Aotearoa New Zealand and the United Kingdom. Specialises in cardiac and neuro ICU with expertise in ventilator management, ECMO support, and deteriorating patient recognition. Committed to whānau-centred care and Te Tiriti o Waitangi principles in all clinical practice.</w:t>
      </w:r>
    </w:p>
    <w:p>
      <w:pPr>
        <w:spacing w:before="200" w:after="40"/>
        <w:jc w:val="left"/>
      </w:pPr>
      <w:r>
        <w:rPr>
          <w:rFonts w:ascii="Calibri" w:hAnsi="Calibri"/>
          <w:b/>
          <w:i w:val="0"/>
          <w:color w:val="00703C"/>
          <w:sz w:val="24"/>
        </w:rPr>
        <w:t>REGISTRATION &amp; WORK RIGHTS</w:t>
      </w:r>
    </w:p>
    <w:p>
      <w:pPr>
        <w:spacing w:before="40" w:after="40"/>
        <w:pBdr>
          <w:bottom w:val="single" w:sz="6" w:space="1" w:color="00703C"/>
        </w:pBdr>
      </w:pPr>
    </w:p>
    <w:p>
      <w:pPr>
        <w:pStyle w:val="ListBullet"/>
        <w:spacing w:after="40"/>
        <w:ind w:left="432"/>
      </w:pPr>
      <w:r>
        <w:rPr>
          <w:rFonts w:ascii="Calibri" w:hAnsi="Calibri"/>
          <w:b w:val="0"/>
          <w:i w:val="0"/>
          <w:sz w:val="21"/>
        </w:rPr>
        <w:t>Nursing Council of New Zealand (NCNZ) — Annual Practising Certificate (current, expires Oct 2026)</w:t>
      </w:r>
    </w:p>
    <w:p>
      <w:pPr>
        <w:pStyle w:val="ListBullet"/>
        <w:spacing w:after="40"/>
        <w:ind w:left="432"/>
      </w:pPr>
      <w:r>
        <w:rPr>
          <w:rFonts w:ascii="Calibri" w:hAnsi="Calibri"/>
          <w:b w:val="0"/>
          <w:i w:val="0"/>
          <w:sz w:val="21"/>
        </w:rPr>
        <w:t>NZ Citizen — No visa or sponsorship required</w:t>
      </w:r>
    </w:p>
    <w:p>
      <w:pPr>
        <w:pStyle w:val="ListBullet"/>
        <w:spacing w:after="40"/>
        <w:ind w:left="432"/>
      </w:pPr>
      <w:r>
        <w:rPr>
          <w:rFonts w:ascii="Calibri" w:hAnsi="Calibri"/>
          <w:b w:val="0"/>
          <w:i w:val="0"/>
          <w:sz w:val="21"/>
        </w:rPr>
        <w:t>NZ Resuscitation Council Level 7 (ALS) — current</w:t>
      </w:r>
    </w:p>
    <w:p>
      <w:pPr>
        <w:spacing w:before="200" w:after="40"/>
        <w:jc w:val="left"/>
      </w:pPr>
      <w:r>
        <w:rPr>
          <w:rFonts w:ascii="Calibri" w:hAnsi="Calibri"/>
          <w:b/>
          <w:i w:val="0"/>
          <w:color w:val="00703C"/>
          <w:sz w:val="24"/>
        </w:rPr>
        <w:t>EMPLOYMENT HISTORY</w:t>
      </w:r>
    </w:p>
    <w:p>
      <w:pPr>
        <w:spacing w:before="40" w:after="40"/>
        <w:pBdr>
          <w:bottom w:val="single" w:sz="6" w:space="1" w:color="00703C"/>
        </w:pBdr>
      </w:pPr>
    </w:p>
    <w:p>
      <w:pPr>
        <w:spacing w:before="160" w:after="0"/>
        <w:jc w:val="left"/>
      </w:pPr>
      <w:r>
        <w:rPr>
          <w:rFonts w:ascii="Calibri" w:hAnsi="Calibri"/>
          <w:b/>
          <w:i w:val="0"/>
          <w:color w:val="00703C"/>
          <w:sz w:val="22"/>
        </w:rPr>
        <w:t>Senior Registered Nurse — ICU</w:t>
      </w:r>
    </w:p>
    <w:p>
      <w:pPr>
        <w:spacing w:before="0" w:after="20"/>
        <w:jc w:val="left"/>
      </w:pPr>
      <w:r>
        <w:rPr>
          <w:rFonts w:ascii="Calibri" w:hAnsi="Calibri"/>
          <w:b w:val="0"/>
          <w:i/>
          <w:color w:val="646464"/>
          <w:sz w:val="20"/>
        </w:rPr>
        <w:t>Auckland City Hospital (Te Toka Tumai), Auckland, NZ  |  August 2020 – Present</w:t>
      </w:r>
    </w:p>
    <w:p>
      <w:pPr>
        <w:pStyle w:val="ListBullet"/>
        <w:spacing w:after="40"/>
        <w:ind w:left="432"/>
      </w:pPr>
      <w:r>
        <w:rPr>
          <w:rFonts w:ascii="Calibri" w:hAnsi="Calibri"/>
          <w:b w:val="0"/>
          <w:i w:val="0"/>
          <w:sz w:val="21"/>
        </w:rPr>
        <w:t>Provide complex nursing care for ventilated and ECMO patients in a 28-bed Level 3 ICU (&gt;2,200 admissions/year).</w:t>
      </w:r>
    </w:p>
    <w:p>
      <w:pPr>
        <w:pStyle w:val="ListBullet"/>
        <w:spacing w:after="40"/>
        <w:ind w:left="432"/>
      </w:pPr>
      <w:r>
        <w:rPr>
          <w:rFonts w:ascii="Calibri" w:hAnsi="Calibri"/>
          <w:b w:val="0"/>
          <w:i w:val="0"/>
          <w:sz w:val="21"/>
        </w:rPr>
        <w:t>Preceptor for 6 graduate nurses annually; developed structured orientation workbook adopted across Auckland DHB ICU.</w:t>
      </w:r>
    </w:p>
    <w:p>
      <w:pPr>
        <w:pStyle w:val="ListBullet"/>
        <w:spacing w:after="40"/>
        <w:ind w:left="432"/>
      </w:pPr>
      <w:r>
        <w:rPr>
          <w:rFonts w:ascii="Calibri" w:hAnsi="Calibri"/>
          <w:b w:val="0"/>
          <w:i w:val="0"/>
          <w:sz w:val="21"/>
        </w:rPr>
        <w:t>Led quality improvement project reducing VAP (ventilator-associated pneumonia) rate by 52% over 18 months.</w:t>
      </w:r>
    </w:p>
    <w:p>
      <w:pPr>
        <w:pStyle w:val="ListBullet"/>
        <w:spacing w:after="40"/>
        <w:ind w:left="432"/>
      </w:pPr>
      <w:r>
        <w:rPr>
          <w:rFonts w:ascii="Calibri" w:hAnsi="Calibri"/>
          <w:b w:val="0"/>
          <w:i w:val="0"/>
          <w:sz w:val="21"/>
        </w:rPr>
        <w:t>Te Reo Māori speaker; champions culturally safe care aligned to Te Whare Tapa Whā model.</w:t>
      </w:r>
    </w:p>
    <w:p>
      <w:pPr>
        <w:spacing w:before="160" w:after="0"/>
        <w:jc w:val="left"/>
      </w:pPr>
      <w:r>
        <w:rPr>
          <w:rFonts w:ascii="Calibri" w:hAnsi="Calibri"/>
          <w:b/>
          <w:i w:val="0"/>
          <w:color w:val="00703C"/>
          <w:sz w:val="22"/>
        </w:rPr>
        <w:t>Staff Nurse — Cardiac ICU</w:t>
      </w:r>
    </w:p>
    <w:p>
      <w:pPr>
        <w:spacing w:before="0" w:after="20"/>
        <w:jc w:val="left"/>
      </w:pPr>
      <w:r>
        <w:rPr>
          <w:rFonts w:ascii="Calibri" w:hAnsi="Calibri"/>
          <w:b w:val="0"/>
          <w:i/>
          <w:color w:val="646464"/>
          <w:sz w:val="20"/>
        </w:rPr>
        <w:t>Waikato Hospital, Te Whatu Ora, Hamilton, NZ  |  February 2018 – July 2020</w:t>
      </w:r>
    </w:p>
    <w:p>
      <w:pPr>
        <w:pStyle w:val="ListBullet"/>
        <w:spacing w:after="40"/>
        <w:ind w:left="432"/>
      </w:pPr>
      <w:r>
        <w:rPr>
          <w:rFonts w:ascii="Calibri" w:hAnsi="Calibri"/>
          <w:b w:val="0"/>
          <w:i w:val="0"/>
          <w:sz w:val="21"/>
        </w:rPr>
        <w:t>Delivered post-operative cardiac surgery care (CABG, valve replacement, TAVI) for 10–12 patients per shift.</w:t>
      </w:r>
    </w:p>
    <w:p>
      <w:pPr>
        <w:pStyle w:val="ListBullet"/>
        <w:spacing w:after="40"/>
        <w:ind w:left="432"/>
      </w:pPr>
      <w:r>
        <w:rPr>
          <w:rFonts w:ascii="Calibri" w:hAnsi="Calibri"/>
          <w:b w:val="0"/>
          <w:i w:val="0"/>
          <w:sz w:val="21"/>
        </w:rPr>
        <w:t>Trained in intra-aortic balloon pump (IABP) and temporary transvenous pacing management.</w:t>
      </w:r>
    </w:p>
    <w:p>
      <w:pPr>
        <w:spacing w:before="160" w:after="0"/>
        <w:jc w:val="left"/>
      </w:pPr>
      <w:r>
        <w:rPr>
          <w:rFonts w:ascii="Calibri" w:hAnsi="Calibri"/>
          <w:b/>
          <w:i w:val="0"/>
          <w:color w:val="00703C"/>
          <w:sz w:val="22"/>
        </w:rPr>
        <w:t>Registered Nurse — General ICU</w:t>
      </w:r>
    </w:p>
    <w:p>
      <w:pPr>
        <w:spacing w:before="0" w:after="20"/>
        <w:jc w:val="left"/>
      </w:pPr>
      <w:r>
        <w:rPr>
          <w:rFonts w:ascii="Calibri" w:hAnsi="Calibri"/>
          <w:b w:val="0"/>
          <w:i/>
          <w:color w:val="646464"/>
          <w:sz w:val="20"/>
        </w:rPr>
        <w:t>Royal London Hospital, Barts Health NHS Trust, London, UK  |  March 2016 – December 2017</w:t>
      </w:r>
    </w:p>
    <w:p>
      <w:pPr>
        <w:pStyle w:val="ListBullet"/>
        <w:spacing w:after="40"/>
        <w:ind w:left="432"/>
      </w:pPr>
      <w:r>
        <w:rPr>
          <w:rFonts w:ascii="Calibri" w:hAnsi="Calibri"/>
          <w:b w:val="0"/>
          <w:i w:val="0"/>
          <w:sz w:val="21"/>
        </w:rPr>
        <w:t>Worked across a 55-bed Major Trauma Centre ICU, developing broad critical care competencies.</w:t>
      </w:r>
    </w:p>
    <w:p>
      <w:pPr>
        <w:pStyle w:val="ListBullet"/>
        <w:spacing w:after="40"/>
        <w:ind w:left="432"/>
      </w:pPr>
      <w:r>
        <w:rPr>
          <w:rFonts w:ascii="Calibri" w:hAnsi="Calibri"/>
          <w:b w:val="0"/>
          <w:i w:val="0"/>
          <w:sz w:val="21"/>
        </w:rPr>
        <w:t>Participated in NIHR-funded sepsis management research trial.</w:t>
      </w:r>
    </w:p>
    <w:p>
      <w:pPr>
        <w:spacing w:before="200" w:after="40"/>
        <w:jc w:val="left"/>
      </w:pPr>
      <w:r>
        <w:rPr>
          <w:rFonts w:ascii="Calibri" w:hAnsi="Calibri"/>
          <w:b/>
          <w:i w:val="0"/>
          <w:color w:val="00703C"/>
          <w:sz w:val="24"/>
        </w:rPr>
        <w:t>EDUCATION &amp; PROFESSIONAL DEVELOPMENT</w:t>
      </w:r>
    </w:p>
    <w:p>
      <w:pPr>
        <w:spacing w:before="40" w:after="40"/>
        <w:pBdr>
          <w:bottom w:val="single" w:sz="6" w:space="1" w:color="00703C"/>
        </w:pBdr>
      </w:pPr>
    </w:p>
    <w:p>
      <w:pPr>
        <w:spacing w:before="80" w:after="0"/>
        <w:jc w:val="left"/>
      </w:pPr>
      <w:r>
        <w:rPr>
          <w:rFonts w:ascii="Calibri" w:hAnsi="Calibri"/>
          <w:b/>
          <w:i w:val="0"/>
          <w:sz w:val="22"/>
        </w:rPr>
        <w:t>Postgraduate Diploma in Nursing (Critical Care)</w:t>
      </w:r>
    </w:p>
    <w:p>
      <w:pPr>
        <w:spacing w:before="0" w:after="40"/>
        <w:jc w:val="left"/>
      </w:pPr>
      <w:r>
        <w:rPr>
          <w:rFonts w:ascii="Calibri" w:hAnsi="Calibri"/>
          <w:b w:val="0"/>
          <w:i w:val="0"/>
          <w:sz w:val="21"/>
        </w:rPr>
        <w:t>The University of Auckland  |  2019  |  Grade A</w:t>
      </w:r>
    </w:p>
    <w:p>
      <w:pPr>
        <w:spacing w:before="80" w:after="0"/>
        <w:jc w:val="left"/>
      </w:pPr>
      <w:r>
        <w:rPr>
          <w:rFonts w:ascii="Calibri" w:hAnsi="Calibri"/>
          <w:b/>
          <w:i w:val="0"/>
          <w:sz w:val="22"/>
        </w:rPr>
        <w:t>Bachelor of Nursing</w:t>
      </w:r>
    </w:p>
    <w:p>
      <w:pPr>
        <w:spacing w:before="0" w:after="40"/>
        <w:jc w:val="left"/>
      </w:pPr>
      <w:r>
        <w:rPr>
          <w:rFonts w:ascii="Calibri" w:hAnsi="Calibri"/>
          <w:b w:val="0"/>
          <w:i w:val="0"/>
          <w:sz w:val="21"/>
        </w:rPr>
        <w:t>Auckland University of Technology (AUT)  |  2012–2015  |  GPA 8.1/9.0</w:t>
      </w:r>
    </w:p>
    <w:p>
      <w:pPr>
        <w:spacing w:before="80" w:after="0"/>
        <w:jc w:val="left"/>
      </w:pPr>
      <w:r>
        <w:rPr>
          <w:rFonts w:ascii="Calibri" w:hAnsi="Calibri"/>
          <w:b/>
          <w:i w:val="0"/>
          <w:sz w:val="22"/>
        </w:rPr>
        <w:t>Te Ara Reo Māori (Level 2)</w:t>
      </w:r>
    </w:p>
    <w:p>
      <w:pPr>
        <w:spacing w:before="0" w:after="40"/>
        <w:jc w:val="left"/>
      </w:pPr>
      <w:r>
        <w:rPr>
          <w:rFonts w:ascii="Calibri" w:hAnsi="Calibri"/>
          <w:b w:val="0"/>
          <w:i w:val="0"/>
          <w:sz w:val="21"/>
        </w:rPr>
        <w:t>Te Wānanga o Aotearoa  |  2021  |  Completed</w:t>
      </w:r>
    </w:p>
    <w:p>
      <w:pPr>
        <w:spacing w:before="200" w:after="40"/>
        <w:jc w:val="left"/>
      </w:pPr>
      <w:r>
        <w:rPr>
          <w:rFonts w:ascii="Calibri" w:hAnsi="Calibri"/>
          <w:b/>
          <w:i w:val="0"/>
          <w:color w:val="00703C"/>
          <w:sz w:val="24"/>
        </w:rPr>
        <w:t>CLINICAL COMPETENCIES</w:t>
      </w:r>
    </w:p>
    <w:p>
      <w:pPr>
        <w:spacing w:before="40" w:after="40"/>
        <w:pBdr>
          <w:bottom w:val="single" w:sz="6" w:space="1" w:color="00703C"/>
        </w:pBdr>
      </w:pPr>
    </w:p>
    <w:p>
      <w:pPr>
        <w:pStyle w:val="ListBullet"/>
        <w:spacing w:after="40"/>
        <w:ind w:left="432"/>
      </w:pPr>
      <w:r>
        <w:rPr>
          <w:rFonts w:ascii="Calibri" w:hAnsi="Calibri"/>
          <w:b w:val="0"/>
          <w:i w:val="0"/>
          <w:sz w:val="21"/>
        </w:rPr>
        <w:t>Mechanical Ventilation (invasive &amp; non-invasive)  •  ECMO Patient Management  •  Haemodynamic Monitoring</w:t>
      </w:r>
    </w:p>
    <w:p>
      <w:pPr>
        <w:pStyle w:val="ListBullet"/>
        <w:spacing w:after="40"/>
        <w:ind w:left="432"/>
      </w:pPr>
      <w:r>
        <w:rPr>
          <w:rFonts w:ascii="Calibri" w:hAnsi="Calibri"/>
          <w:b w:val="0"/>
          <w:i w:val="0"/>
          <w:sz w:val="21"/>
        </w:rPr>
        <w:t>Arterial &amp; Central Line Management  •  IABP  •  Continuous Renal Replacement Therapy (CRRT)</w:t>
      </w:r>
    </w:p>
    <w:p>
      <w:pPr>
        <w:pStyle w:val="ListBullet"/>
        <w:spacing w:after="40"/>
        <w:ind w:left="432"/>
      </w:pPr>
      <w:r>
        <w:rPr>
          <w:rFonts w:ascii="Calibri" w:hAnsi="Calibri"/>
          <w:b w:val="0"/>
          <w:i w:val="0"/>
          <w:sz w:val="21"/>
        </w:rPr>
        <w:t>MET/Rapid Response Call Leadership  •  Tracheostomy Care  •  Pain &amp; Sedation Management</w:t>
      </w:r>
    </w:p>
    <w:p>
      <w:pPr>
        <w:pStyle w:val="ListBullet"/>
        <w:spacing w:after="40"/>
        <w:ind w:left="432"/>
      </w:pPr>
      <w:r>
        <w:rPr>
          <w:rFonts w:ascii="Calibri" w:hAnsi="Calibri"/>
          <w:b w:val="0"/>
          <w:i w:val="0"/>
          <w:sz w:val="21"/>
        </w:rPr>
        <w:t>Software: Epic EMR, Metavision, WebPAS</w:t>
      </w:r>
    </w:p>
    <w:p>
      <w:pPr>
        <w:spacing w:before="200" w:after="40"/>
        <w:jc w:val="left"/>
      </w:pPr>
      <w:r>
        <w:rPr>
          <w:rFonts w:ascii="Calibri" w:hAnsi="Calibri"/>
          <w:b/>
          <w:i w:val="0"/>
          <w:color w:val="00703C"/>
          <w:sz w:val="24"/>
        </w:rPr>
        <w:t>REFEREES</w:t>
      </w:r>
    </w:p>
    <w:p>
      <w:pPr>
        <w:spacing w:before="40" w:after="40"/>
        <w:pBdr>
          <w:bottom w:val="single" w:sz="6" w:space="1" w:color="00703C"/>
        </w:pBdr>
      </w:pPr>
    </w:p>
    <w:p>
      <w:pPr>
        <w:spacing w:before="0" w:after="40"/>
        <w:jc w:val="left"/>
      </w:pPr>
      <w:r>
        <w:rPr>
          <w:rFonts w:ascii="Calibri" w:hAnsi="Calibri"/>
          <w:b w:val="0"/>
          <w:i/>
          <w:sz w:val="21"/>
        </w:rPr>
        <w:t>Two professional clinical referees (Charge Nurse Manager and Clinical Nurse Specialist) available upon request.</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