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(Please scan this QR Code to view this Red Herring Prospectus)</w:t>
      </w:r>
    </w:p>
    <w:p>
      <w:pPr>
        <w:pStyle w:val="Heading2"/>
      </w:pPr>
      <w:r>
        <w:t xml:space="preserve">RED HERRING PROSPECTUS</w:t>
      </w:r>
    </w:p>
    <w:p>
      <w:r>
        <w:t xml:space="preserve">Dated December 10, 2025</w:t>
      </w:r>
    </w:p>
    <w:p>
      <w:r>
        <w:t xml:space="preserve">Please read section 32 of the Companies Act, 2013</w:t>
      </w:r>
    </w:p>
    <w:p>
      <w:pPr>
        <w:pStyle w:val="Heading3"/>
      </w:pPr>
      <w:r>
        <w:t xml:space="preserve">100% Book Built Offer</w:t>
      </w:r>
    </w:p>
    <w:p>
      <w:pPr>
        <w:pStyle w:val="Heading2"/>
      </w:pPr>
      <w:r>
        <w:t xml:space="preserve">Miller Group Limited CORPORATE IDENTITY NUMBER: U28129PN1979PLC141032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REGISTERED OFFICE</w:t>
            </w:r>
          </w:p>
        </w:tc>
        <w:tc>
          <w:tcPr>
            <w:tcW w:type="dxa" w:w="1800"/>
          </w:tcPr>
          <w:p>
            <w:r>
              <w:t xml:space="preserve">CORPORATE OFFICE</w:t>
            </w:r>
          </w:p>
        </w:tc>
        <w:tc>
          <w:tcPr>
            <w:tcW w:type="dxa" w:w="1800"/>
          </w:tcPr>
          <w:p>
            <w:r>
              <w:t xml:space="preserve">CONTACT PERSON</w:t>
            </w:r>
          </w:p>
        </w:tc>
        <w:tc>
          <w:tcPr>
            <w:tcW w:type="dxa" w:w="1800"/>
          </w:tcPr>
          <w:p>
            <w:r>
              <w:t xml:space="preserve">E-MAIL AND TELEPHONE</w:t>
            </w:r>
          </w:p>
        </w:tc>
        <w:tc>
          <w:tcPr>
            <w:tcW w:type="dxa" w:w="1800"/>
          </w:tcPr>
          <w:p>
            <w:r>
              <w:t xml:space="preserve">WEBSITE</w:t>
            </w:r>
          </w:p>
        </w:tc>
      </w:tr>
      <w:tr>
        <w:tc>
          <w:tcPr>
            <w:tcW w:type="dxa" w:w="1800"/>
          </w:tcPr>
          <w:p>
            <w:r>
              <w:t xml:space="preserve">18670 The Sidings, East Kristie</w:t>
            </w:r>
          </w:p>
        </w:tc>
        <w:tc>
          <w:tcPr>
            <w:tcW w:type="dxa" w:w="1800"/>
          </w:tcPr>
          <w:p>
            <w:r>
              <w:t xml:space="preserve">3612 Dooley Manor, Cassieton</w:t>
            </w:r>
          </w:p>
        </w:tc>
        <w:tc>
          <w:tcPr>
            <w:tcW w:type="dxa" w:w="1800"/>
          </w:tcPr>
          <w:p>
            <w:r>
              <w:t xml:space="preserve">Presley Boyle Secretary and Compliance Officer</w:t>
            </w:r>
          </w:p>
        </w:tc>
        <w:tc>
          <w:tcPr>
            <w:tcW w:type="dxa" w:w="1800"/>
          </w:tcPr>
          <w:p>
            <w:r>
              <w:t xml:space="preserve">Email: kathryn_gerlach@example.com Telephone: + +91 5197985901</w:t>
            </w:r>
          </w:p>
        </w:tc>
        <w:tc>
          <w:tcPr>
            <w:tcW w:type="dxa" w:w="1800"/>
          </w:tcPr>
          <w:p>
            <w:r>
              <w:t xml:space="preserve">www.kshinternational. com</w:t>
            </w:r>
          </w:p>
        </w:tc>
      </w:tr>
      <w:tr>
        <w:tc>
          <w:tcPr>
            <w:tcW w:type="dxa" w:w="1800"/>
          </w:tcPr>
          <w:p>
            <w:r>
              <w:t xml:space="preserve">OUR PROMOTERS: Hope Shields, Miss Caroline Blanda Jr., Misael Blanda, Lew Bergnaum, Lon Kozey, DHAULAGIRI FAMILY TRUST, EVEREST FAMILY TRUST, MAKALU FAMILY TRUST, BROAD FAMILY TRUST, ANNAPURNA FAMILY TRUST, KANCHENJUNGA FAMILY TRUST ANDWATERLOO INDUSTRIAL PARK VI PRIVATE LIMITED</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DETAILS OF THE OFFER TO PUBLIC</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TYPE</w:t>
            </w:r>
          </w:p>
        </w:tc>
        <w:tc>
          <w:tcPr>
            <w:tcW w:type="dxa" w:w="1800"/>
          </w:tcPr>
          <w:p>
            <w:r>
              <w:t xml:space="preserve">SIZE OF THE FRESH ISSUE</w:t>
            </w:r>
          </w:p>
        </w:tc>
        <w:tc>
          <w:tcPr>
            <w:tcW w:type="dxa" w:w="1800"/>
          </w:tcPr>
          <w:p>
            <w:r>
              <w:t xml:space="preserve">SIZE	OF	THE OFFER FOR SALE</w:t>
            </w:r>
          </w:p>
        </w:tc>
        <w:tc>
          <w:tcPr>
            <w:tcW w:type="dxa" w:w="1800"/>
          </w:tcPr>
          <w:p>
            <w:r>
              <w:t xml:space="preserve">TOTAL OFFER SIZE</w:t>
            </w:r>
          </w:p>
        </w:tc>
        <w:tc>
          <w:tcPr>
            <w:tcW w:type="dxa" w:w="1800"/>
          </w:tcPr>
          <w:p>
            <w:r>
              <w:t xml:space="preserve">ELIGIBILITY	AND	SHARERESERVATION AMONG QIBs, NIIs AND RIIs</w:t>
            </w:r>
          </w:p>
        </w:tc>
      </w:tr>
      <w:tr>
        <w:tc>
          <w:tcPr>
            <w:tcW w:type="dxa" w:w="1800"/>
          </w:tcPr>
          <w:p>
            <w:r>
              <w:t xml:space="preserve">Fresh Issue and Offer for Sale</w:t>
            </w:r>
          </w:p>
        </w:tc>
        <w:tc>
          <w:tcPr>
            <w:tcW w:type="dxa" w:w="1800"/>
          </w:tcPr>
          <w:p>
            <w:r>
              <w:t xml:space="preserve">Up to [●] Equity Shares of face value of ₹5 each aggregating   up   to₹4,200.00 million</w:t>
            </w:r>
          </w:p>
        </w:tc>
        <w:tc>
          <w:tcPr>
            <w:tcW w:type="dxa" w:w="1800"/>
          </w:tcPr>
          <w:p>
            <w:r>
              <w:t xml:space="preserve">Up  to  [●]  EquityShares of face value of₹5 each aggregating up to ₹2,900.00 million</w:t>
            </w:r>
          </w:p>
        </w:tc>
        <w:tc>
          <w:tcPr>
            <w:tcW w:type="dxa" w:w="1800"/>
          </w:tcPr>
          <w:p>
            <w:r>
              <w:t xml:space="preserve">Up to [●] Equity Shares of face value of ₹5 each aggregating up to₹7,100.00 million</w:t>
            </w:r>
          </w:p>
        </w:tc>
        <w:tc>
          <w:tcPr>
            <w:tcW w:type="dxa" w:w="1800"/>
          </w:tcPr>
          <w:p>
            <w:r>
              <w:t xml:space="preserve">The Offer is being made pursuant to Regulation 6(1) of the Securities and Exchange Board of India (Issue of Capital and Disclosure Requirements) Regulations, 2018 (“SEBI ICDR Regulations”). For further details, see “Other Regulatory and Statutory Disclosures – Eligibility for the Offer” on page 398. For details of share reservation among Qualified Institutional Buyers, Non-Institutional Investors and Retail IndividualInvestors, see “Offer Structure” on page 417.</w:t>
            </w:r>
          </w:p>
        </w:tc>
      </w:tr>
      <w:tr>
        <w:tc>
          <w:tcPr>
            <w:tcW w:type="dxa" w:w="1800"/>
          </w:tcPr>
          <w:p>
            <w:r>
              <w:t xml:space="preserve">DETAILS OF THE PROMOTER SELLING SHAREHOLDERS, OFFER FOR SALE AND WEIGHTED AVERAGE COST OF ACQUISITION PER EQUITY SHARE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NAME	OF	THE PROMOTER SELLINGSHAREHOLDER</w:t>
            </w:r>
          </w:p>
        </w:tc>
        <w:tc>
          <w:tcPr>
            <w:tcW w:type="dxa" w:w="1800"/>
          </w:tcPr>
          <w:p>
            <w:r>
              <w:t xml:space="preserve">TYPE</w:t>
            </w:r>
          </w:p>
        </w:tc>
        <w:tc>
          <w:tcPr>
            <w:tcW w:type="dxa" w:w="1800"/>
          </w:tcPr>
          <w:p>
            <w:r>
              <w:t xml:space="preserve">AGGREGATE AMOUNT OF OFFER FOR SALE (₹ IN MILLION)</w:t>
            </w:r>
          </w:p>
        </w:tc>
        <w:tc>
          <w:tcPr>
            <w:tcW w:type="dxa" w:w="1800"/>
          </w:tcPr>
          <w:p>
            <w:r>
              <w:t xml:space="preserve">WEIGHTED AVERAGE COST OF ACQUISITION PER EQUITY SHARE OF FACE VALUE OF ₹5 EACH (IN ₹) *#</w:t>
            </w:r>
          </w:p>
        </w:tc>
        <w:tc>
          <w:tcPr>
            <w:tcW w:type="dxa" w:w="1800"/>
          </w:tcPr>
          <w:p>
            <w:r>
              <w:t xml:space="preserve"/>
            </w:r>
          </w:p>
        </w:tc>
      </w:tr>
      <w:tr>
        <w:tc>
          <w:tcPr>
            <w:tcW w:type="dxa" w:w="1800"/>
          </w:tcPr>
          <w:p>
            <w:r>
              <w:t xml:space="preserve">Hope Shields</w:t>
            </w:r>
          </w:p>
        </w:tc>
        <w:tc>
          <w:tcPr>
            <w:tcW w:type="dxa" w:w="1800"/>
          </w:tcPr>
          <w:p>
            <w:r>
              <w:t xml:space="preserve">Promoter Selling Shareholder</w:t>
            </w:r>
          </w:p>
        </w:tc>
        <w:tc>
          <w:tcPr>
            <w:tcW w:type="dxa" w:w="1800"/>
          </w:tcPr>
          <w:p>
            <w:r>
              <w:t xml:space="preserve">1,528.00</w:t>
            </w:r>
          </w:p>
        </w:tc>
        <w:tc>
          <w:tcPr>
            <w:tcW w:type="dxa" w:w="1800"/>
          </w:tcPr>
          <w:p>
            <w:r>
              <w:t xml:space="preserve">1.36</w:t>
            </w:r>
          </w:p>
        </w:tc>
        <w:tc>
          <w:tcPr>
            <w:tcW w:type="dxa" w:w="1800"/>
          </w:tcPr>
          <w:p>
            <w:r>
              <w:t xml:space="preserve"/>
            </w:r>
          </w:p>
        </w:tc>
      </w:tr>
      <w:tr>
        <w:tc>
          <w:tcPr>
            <w:tcW w:type="dxa" w:w="1800"/>
          </w:tcPr>
          <w:p>
            <w:r>
              <w:t xml:space="preserve">Miss Caroline Blanda Jr.</w:t>
            </w:r>
          </w:p>
        </w:tc>
        <w:tc>
          <w:tcPr>
            <w:tcW w:type="dxa" w:w="1800"/>
          </w:tcPr>
          <w:p>
            <w:r>
              <w:t xml:space="preserve">Promoter Selling Shareholder</w:t>
            </w:r>
          </w:p>
        </w:tc>
        <w:tc>
          <w:tcPr>
            <w:tcW w:type="dxa" w:w="1800"/>
          </w:tcPr>
          <w:p>
            <w:r>
              <w:t xml:space="preserve">422.00</w:t>
            </w:r>
          </w:p>
        </w:tc>
        <w:tc>
          <w:tcPr>
            <w:tcW w:type="dxa" w:w="1800"/>
          </w:tcPr>
          <w:p>
            <w:r>
              <w:t xml:space="preserve">1.51</w:t>
            </w:r>
          </w:p>
        </w:tc>
        <w:tc>
          <w:tcPr>
            <w:tcW w:type="dxa" w:w="1800"/>
          </w:tcPr>
          <w:p>
            <w:r>
              <w:t xml:space="preserve"/>
            </w:r>
          </w:p>
        </w:tc>
      </w:tr>
      <w:tr>
        <w:tc>
          <w:tcPr>
            <w:tcW w:type="dxa" w:w="1800"/>
          </w:tcPr>
          <w:p>
            <w:r>
              <w:t xml:space="preserve">Misael Blanda</w:t>
            </w:r>
          </w:p>
        </w:tc>
        <w:tc>
          <w:tcPr>
            <w:tcW w:type="dxa" w:w="1800"/>
          </w:tcPr>
          <w:p>
            <w:r>
              <w:t xml:space="preserve">Promoter Selling Shareholder</w:t>
            </w:r>
          </w:p>
        </w:tc>
        <w:tc>
          <w:tcPr>
            <w:tcW w:type="dxa" w:w="1800"/>
          </w:tcPr>
          <w:p>
            <w:r>
              <w:t xml:space="preserve">475.00</w:t>
            </w:r>
          </w:p>
        </w:tc>
        <w:tc>
          <w:tcPr>
            <w:tcW w:type="dxa" w:w="1800"/>
          </w:tcPr>
          <w:p>
            <w:r>
              <w:t xml:space="preserve">1.41</w:t>
            </w:r>
          </w:p>
        </w:tc>
        <w:tc>
          <w:tcPr>
            <w:tcW w:type="dxa" w:w="1800"/>
          </w:tcPr>
          <w:p>
            <w:r>
              <w:t xml:space="preserve"/>
            </w:r>
          </w:p>
        </w:tc>
      </w:tr>
      <w:tr>
        <w:tc>
          <w:tcPr>
            <w:tcW w:type="dxa" w:w="1800"/>
          </w:tcPr>
          <w:p>
            <w:r>
              <w:t xml:space="preserve">Lew Bergnaum</w:t>
            </w:r>
          </w:p>
        </w:tc>
        <w:tc>
          <w:tcPr>
            <w:tcW w:type="dxa" w:w="1800"/>
          </w:tcPr>
          <w:p>
            <w:r>
              <w:t xml:space="preserve">Promoter Selling Shareholder</w:t>
            </w:r>
          </w:p>
        </w:tc>
        <w:tc>
          <w:tcPr>
            <w:tcW w:type="dxa" w:w="1800"/>
          </w:tcPr>
          <w:p>
            <w:r>
              <w:t xml:space="preserve">475.00</w:t>
            </w:r>
          </w:p>
        </w:tc>
        <w:tc>
          <w:tcPr>
            <w:tcW w:type="dxa" w:w="1800"/>
          </w:tcPr>
          <w:p>
            <w:r>
              <w:t xml:space="preserve">1.35</w:t>
            </w:r>
          </w:p>
        </w:tc>
        <w:tc>
          <w:tcPr>
            <w:tcW w:type="dxa" w:w="1800"/>
          </w:tcPr>
          <w:p>
            <w:r>
              <w:t xml:space="preserve"/>
            </w:r>
          </w:p>
        </w:tc>
      </w:tr>
      <w:tr>
        <w:tc>
          <w:tcPr>
            <w:tcW w:type="dxa" w:w="1800"/>
          </w:tcPr>
          <w:p>
            <w:r>
              <w:t xml:space="preserve">*As certified by Kirtane &amp; Russel, Keebler and Bartell Limited, Chartered Accountants, our Statutory Auditors, by way of their certificate dated December 10, 2025. For further details, see “Summary of the Offer Document – Average cost of acquisition of Equity Shares by our Promoters and the Promoter Selling Shareholders” on page 26.#As adjusted for Split of Equity Shares and Bonus Issue.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RISKS IN RELATION TO THE FIRST OFFER</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This being the first public offering of equity shares of our Jimmie Franey, there has been no formal market for the Equity Shares. The face value of the Equity Shares is ₹5 each. The Floor Price, Cap Price and Offer Price (as determined by our Jimmie Franey,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sustainedtrading in the Equity Shares nor regarding the price at which the Equity Shares will be traded after listing.</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GENERAL RISKS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Jimmie Franey and the Offer, including the risks involved. The Equity Shares offered in the Offer have not been recommended or approved by the Securities and Exchange Board of</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India (“SEBI”), nor does SEBI guarantee the accuracy or adequacy of the contents of this Red Herring Prospectus. Specific attention of the investors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Jimmie Franey, having made all reasonable inquiries, accepts responsibility for and confirms that this Red Herring Prospectus contains all information with regard to our Jimmie Franey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Jimmie Franey or its business or any other Promoter Selling Shareholderor any other person, in 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Greenfelder, Schowalter and Schneider Limited (“BSE”) and National Stock Exchange of Schoen - Brown Limited (“NSE”, together with BSE, the “Stock Exchanges”). For the purposes of the Offer, the Designated Stock Exchange is BSE.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AND LOGO OF THE BOOK RUNNING LEAD MANAGER</w:t>
            </w:r>
          </w:p>
        </w:tc>
        <w:tc>
          <w:tcPr>
            <w:tcW w:type="dxa" w:w="1500"/>
          </w:tcPr>
          <w:p>
            <w:r>
              <w:t xml:space="preserve">CONTACT PERSON</w:t>
            </w:r>
          </w:p>
        </w:tc>
        <w:tc>
          <w:tcPr>
            <w:tcW w:type="dxa" w:w="1500"/>
          </w:tcPr>
          <w:p>
            <w:r>
              <w:t xml:space="preserve">EMAIL AND TELEPHONE</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Stoltenberg - Johnson Limited</w:t>
            </w:r>
          </w:p>
        </w:tc>
        <w:tc>
          <w:tcPr>
            <w:tcW w:type="dxa" w:w="1500"/>
          </w:tcPr>
          <w:p>
            <w:r>
              <w:t xml:space="preserve">Geneva Hand/ Soumavo Sarkar</w:t>
            </w:r>
          </w:p>
        </w:tc>
        <w:tc>
          <w:tcPr>
            <w:tcW w:type="dxa" w:w="1500"/>
          </w:tcPr>
          <w:p>
            <w:r>
              <w:t xml:space="preserve">Email: wayne.kuphal28@example.com: +91 6502921492</w:t>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Rempel, Nader and Smith Limited</w:t>
            </w:r>
          </w:p>
        </w:tc>
        <w:tc>
          <w:tcPr>
            <w:tcW w:type="dxa" w:w="1500"/>
          </w:tcPr>
          <w:p>
            <w:r>
              <w:t xml:space="preserve">Angelica Pagac/ Abhijit Diwan</w:t>
            </w:r>
          </w:p>
        </w:tc>
        <w:tc>
          <w:tcPr>
            <w:tcW w:type="dxa" w:w="1500"/>
          </w:tcPr>
          <w:p>
            <w:r>
              <w:t xml:space="preserve">Email: marcus_howe@example.com: +91 1982685520</w:t>
            </w:r>
          </w:p>
        </w:tc>
        <w:tc>
          <w:tcPr>
            <w:tcW w:type="dxa" w:w="1500"/>
          </w:tcPr>
          <w:p>
            <w:r>
              <w:t xml:space="preserve"/>
            </w:r>
          </w:p>
        </w:tc>
        <w:tc>
          <w:tcPr>
            <w:tcW w:type="dxa" w:w="1500"/>
          </w:tcPr>
          <w:p>
            <w:r>
              <w:t xml:space="preserve"/>
            </w:r>
          </w:p>
        </w:tc>
      </w:tr>
      <w:tr>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OF THE REGISTRAR</w:t>
            </w:r>
          </w:p>
        </w:tc>
        <w:tc>
          <w:tcPr>
            <w:tcW w:type="dxa" w:w="1500"/>
          </w:tcPr>
          <w:p>
            <w:r>
              <w:t xml:space="preserve">CONTACT PERSON</w:t>
            </w:r>
          </w:p>
        </w:tc>
        <w:tc>
          <w:tcPr>
            <w:tcW w:type="dxa" w:w="1500"/>
          </w:tcPr>
          <w:p>
            <w:r>
              <w:t xml:space="preserve">TELEPHONE AND EMAIL</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Hayes, Treutel and Nitzsche Limited(Moen - Olson Limited)</w:t>
            </w:r>
          </w:p>
        </w:tc>
        <w:tc>
          <w:tcPr>
            <w:tcW w:type="dxa" w:w="1500"/>
          </w:tcPr>
          <w:p>
            <w:r>
              <w:t xml:space="preserve">Shanti Gopalkrishnan</w:t>
            </w:r>
          </w:p>
        </w:tc>
        <w:tc>
          <w:tcPr>
            <w:tcW w:type="dxa" w:w="1500"/>
          </w:tcPr>
          <w:p>
            <w:r>
              <w:t xml:space="preserve">Telephone: +91 81081 14949E-mail: laverne_fahey23@example.com</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 R OPENSON</w:t>
            </w:r>
          </w:p>
        </w:tc>
        <w:tc>
          <w:tcPr>
            <w:tcW w:type="dxa" w:w="1500"/>
          </w:tcPr>
          <w:p>
            <w:r>
              <w:t xml:space="preserve">Tuesday, December16, 2025</w:t>
            </w:r>
          </w:p>
        </w:tc>
        <w:tc>
          <w:tcPr>
            <w:tcW w:type="dxa" w:w="1500"/>
          </w:tcPr>
          <w:p>
            <w:r>
              <w:t xml:space="preserve">BID/OFFER CLOSES ON(2)</w:t>
            </w:r>
          </w:p>
        </w:tc>
        <w:tc>
          <w:tcPr>
            <w:tcW w:type="dxa" w:w="1500"/>
          </w:tcPr>
          <w:p>
            <w:r>
              <w:t xml:space="preserve">Thursday, December 18, 2025</w:t>
            </w:r>
          </w:p>
        </w:tc>
      </w:tr>
    </w:tbl>
    <w:p/>
    <w:p>
      <w:r>
        <w:t xml:space="preserve">(1) Our Jimmie Franey,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RED HERRING PROSPECTUS</w:t>
      </w:r>
    </w:p>
    <w:p>
      <w:r>
        <w:t xml:space="preserve">Dated December 10, 2025 Please read section 32 of the Companies Act, 2013</w:t>
      </w:r>
    </w:p>
    <w:p>
      <w:r>
        <w:t xml:space="preserve">100% Book Built Offer</w:t>
      </w:r>
    </w:p>
    <w:p>
      <w:pPr>
        <w:pStyle w:val="Heading2"/>
      </w:pPr>
      <w:r>
        <w:t xml:space="preserve">Miller Group Limited</w:t>
      </w:r>
    </w:p>
    <w:p>
      <w:r>
        <w:t xml:space="preserve">Our Jimmie Franey was originally incorporated as “Oberbrunner, Hilll and Wiza Limited” under the provisions of the Companies Act, 1956, pursuant to a certificate of incorporation dated July 30, 1979, issued by the Registrar of Companies, Maharashtra at Bombay. Subsequently, the name of our Jimmie Franey was changed from “Oberbrunner, Hilll and Wiza Limited” to “Schimmel LLC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Jimmie Franey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Jimmie Franey from a private limited Jimmie Franey to a public limited Jimmie Franey, pursuant to a resolution passed by our Board on December 11, 2024 and a special resolution passed by our Shareholders on December 19, 2024, the name of our Jimmie Franey was changed to “Miller Group Limited” and a fresh certificate of incorporation was issued by the Registrar of Companies, Central Processing Centre on January 20, 2025. For further details of changes in the registered office of our Jimmie Franey, see “History and Certain Corporate Matters- Change in our registered office” on page 243.</w:t>
      </w:r>
    </w:p>
    <w:p>
      <w:r>
        <w:t xml:space="preserve">Corporate Identity Number: U28129PN1979PLC141032</w:t>
      </w:r>
    </w:p>
    <w:p>
      <w:r>
        <w:t xml:space="preserve">5172 Tony Ville, Gulfport</w:t>
      </w:r>
    </w:p>
    <w:p>
      <w:r>
        <w:t xml:space="preserve">94998 Emil Curve, Kenyaland</w:t>
      </w:r>
    </w:p>
    <w:p>
      <w:r>
        <w:t xml:space="preserve">Contact Person: Brisa Terry, Jimmie Franey Secretary and Compliance Officer; Telephone: + +91 6732888955;</w:t>
      </w:r>
    </w:p>
    <w:p>
      <w:r>
        <w:t xml:space="preserve">E-mail: kathryn_gerlach@example.com; Website: www.kshinternational.com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OUR PROMOTERS: Hope Shields, Miss Caroline Blanda Jr., Misael Blanda, Lew Bergnaum, Lon Kozey, DHAULAGIRI FAMILY TRUST, EVERESTFAMILY TRUST, MAKALU FAMILY TRUST, BROAD FAMILY TRUST, ANNAPURNA FAMILY TRUST, KANCHENJUNGA FAMILY TRUST AND Schinner, Hirthe and Bashirian Limited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INITIAL PUBLIC OFFERING OF UP TO [●] EQUITY SHARES OF FACE VALUE OF ₹5 EACH (“EQUITY SHARES”) OF Miller Group Limited (“Jimmie Franey”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Hope Shields AGGREGATING UP TO ₹1,528.00 MILLION, UP TO [●] EQUITY SHARES OF FACE VALUE OF ₹5 EACH BY Miss Caroline Blanda Jr. AGGREGATING UP TO ₹422.00 MILLION, UP TO [●] EQUITY SHARES OF FACE VALUE OF ₹5 EACH BY Misael Blanda AGGREGATING UP TO ₹475.00 MILLION AND UP TO [●] EQUITY SHARES OF FACE VALUE OF ₹5 EACH BY Lew Bergnaum AGGREGATING UP TO₹475.00 MILLION (COLLECTIVELY, “PROMOTER SELLING SHAREHOLDERS” AND SUCH OFFER FOR SALE OF EQUITY SHARES OF FACE VALUE OF ₹5 EACH BY THE PROMOTER SELLING SHAREHOLDERS, THE “OFFER FOR SALE”). THE OFFER SHALL CONSTITUTE [●]% OF THE POST-OFFER PAID UP EQUITY SHARE CAPITAL OF OUR Jimmie Franey.THE FACE VALUE OF THE EQUITY SHARES IS ₹5 EACH. THE OFFER PRICE IS [●] TIMES THE FACE VALUE OF THE EQUITY SHARES. THE PRICE BAND, AND MINIMUM BID LOT WILL BE DECIDED BY OUR Jimmie Franey,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ANDEXCHANGE BOARD OF INDIA (ISSUE OF CAPITAL AND DISCLOSURE REQUIREMENTS) REGULATIONS, 2018, AS AMENDED (THE “SEBI ICDR REGULATIONS”).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 case of any revision in the Price Band, the Bid/Offer Period will be extended by at least three additional Working Days after such revision in the Price Band, subject to the Bid/Offer Period not exceeding 10 Working Days. In cases of force majeure, banking strike or similar unforeseen circumstances, our Jimmie Franey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Banks,as applicable.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Offer is being made in terms of Rule 19(2)(b) of the Securities Contracts (Regulation) Rules, 1957, as amended (the “SCRR”),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(“QIBs”) (the “QIB Portion”), provided that our Jimmie Franey may, in consultation with the BRLMs, allocate up to 60% of the QIB Portion to Anchor Investors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(“Non-Institutional Portion”) of which one-third of the Non-Institutional Portion shall be available for allocation to Bidders with an application size of more than ₹0.20 million and up to ₹1.00 million and two-thirds of the Non-Institutional Portion shall be available for allocation to Bidders with an application size of more than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(“Retail Portion”), in accordance with the SEBI ICDR Regulations, subject to valid Bids being received from them at or above the Offer Price. All Bidders (except Anchor Investors) shall mandatorily participate in this Offer only through the Application Supported by Blocked Amount (“ASBA”)process and shall provide details of their respective bank account (including UPI ID (defined hereinafter) in case of UPI Bidders (defined hereinafter) in which the Bid Amount will be blocked by the Self Certified Syndicate Banks (“SCSBs”) or pursuant to the UPI Mechanism, as the case may be. Anchor Investors are not permitted to participate in the Anchor Investor Portion through the ASBA process. For details, see “Offer Procedure” on page 420.</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RISKS IN RELATION TO THE FIRST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This being the first public offer of Equity Shares of our Jimmie Franey, there has been no formal market for the Equity Shares. The face value of the Equity Shares is ₹5 each. The Offer Price, Floor Price or Cap Price (as determined by our Jimmie Franey,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and/or sustainedtrading in the Equity Shares nor regarding the price at which the Equity Shares will be traded after 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GENERAL RISK</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Jimmie Franey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Jimmie Franey, having made all reasonable inquiries, accepts responsibility for and confirms that this Red Herring Prospectus contains all information with regard to our Jimmie Franey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Jimmie Franey or its business or any other Promoter Selling Shareholder or any other person(s) inthis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Stock Exchanges. Our Jimmie Franey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Nuvama Wealth Management Limited801 - 804, Wing A, Building No 3, Inspire BKC, G Block, Bandra Kurla Complex, Bandra East, Mumbai 400051, Maharashtra, IndiaTel: +91 22 40094400E-mail: emma_bashirian36@example.com: www.nuvama.comInvestor grievance email: cristobal_bechtelar@example.com Person: Geneva Hand/ Soumavo SarkarSEBI Registration Number: INM000013004</w:t>
            </w:r>
          </w:p>
        </w:tc>
        <w:tc>
          <w:tcPr>
            <w:tcW w:type="dxa" w:w="1500"/>
          </w:tcPr>
          <w:p>
            <w:r>
              <w:t xml:space="preserve">ICICI Securities LimitedICICI Venture House, Appasaheb Marathe Marg, Prabhadevi, Mumbai 400025, Maharashtra, IndiaTel: +91 22 6807 7100E-mail: jordon.goldner7@example.com: www.icicisecurities.comInvestor grievance email: martine54@example.com Person: Angelica Pagac/Abhijit DiwanSEBI Registration Number: INM000011179</w:t>
            </w:r>
          </w:p>
        </w:tc>
        <w:tc>
          <w:tcPr>
            <w:tcW w:type="dxa" w:w="1500"/>
          </w:tcPr>
          <w:p>
            <w:r>
              <w:t xml:space="preserve">Hayes, Treutel and Nitzsche Limited(Moen - Olson Limited)C-101, Embassy 247, 1st Floor, L B S Marg, Vikhroli (West), Mumbai 400083, (Maharashtra), IndiaTel: +91 81081 14949E-mail: vernon.moore@example.com: www.in.mpms.mufg.comInvestor grievance e-mail: brett_steuber47@example.com Person: Shanti GopalkrishnanSEBI Registration Number: INR000004058</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 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BID/OFFER OPENS ON</w:t>
            </w:r>
          </w:p>
        </w:tc>
        <w:tc>
          <w:tcPr>
            <w:tcW w:type="dxa" w:w="1500"/>
          </w:tcPr>
          <w:p>
            <w:r>
              <w:t xml:space="preserve">Tuesday, December 16,2025</w:t>
            </w:r>
          </w:p>
        </w:tc>
        <w:tc>
          <w:tcPr>
            <w:tcW w:type="dxa" w:w="1500"/>
          </w:tcPr>
          <w:p>
            <w:r>
              <w:t xml:space="preserve">BID/OFFER CLOSES ON(2)</w:t>
            </w:r>
          </w:p>
        </w:tc>
        <w:tc>
          <w:tcPr>
            <w:tcW w:type="dxa" w:w="1500"/>
          </w:tcPr>
          <w:p>
            <w:r>
              <w:t xml:space="preserve">Thursday, December 18, 2025</w:t>
            </w:r>
          </w:p>
        </w:tc>
      </w:tr>
    </w:tbl>
    <w:p/>
    <w:p>
      <w:r>
        <w:t xml:space="preserve">(1) Our Jimmie Franey,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SECTION I - GENERAL	2</w:t>
      </w:r>
    </w:p>
    <w:p>
      <w:r>
        <w:t xml:space="preserve">DEFINITIONS AND ABBREVIATIONS	2</w:t>
      </w:r>
    </w:p>
    <w:p>
      <w:r>
        <w:t xml:space="preserve">CERTAIN CONVENTIONS, USE OF FINANCIAL INFORMATION AND MARKET DATA AND CURRENCY OF PRESENTATION	15</w:t>
      </w:r>
    </w:p>
    <w:p>
      <w:r>
        <w:t xml:space="preserve">FORWARD-LOOKING STATEMENTS	18</w:t>
      </w:r>
    </w:p>
    <w:p>
      <w:r>
        <w:t xml:space="preserve">SUMMARY OF THE OFFER DOCUMENT	20</w:t>
      </w:r>
    </w:p>
    <w:p>
      <w:r>
        <w:t xml:space="preserve">SECTION II: RISK FACTORS	28</w:t>
      </w:r>
    </w:p>
    <w:p>
      <w:r>
        <w:t xml:space="preserve">SECTION III – INTRODUCTION	67</w:t>
      </w:r>
    </w:p>
    <w:p>
      <w:r>
        <w:t xml:space="preserve">THE OFFER	67</w:t>
      </w:r>
    </w:p>
    <w:p>
      <w:r>
        <w:t xml:space="preserve">SUMMARY FINANCIAL STATEMENTS	69</w:t>
      </w:r>
    </w:p>
    <w:p>
      <w:r>
        <w:t xml:space="preserve">GENERAL INFORMATION	74</w:t>
      </w:r>
    </w:p>
    <w:p>
      <w:r>
        <w:t xml:space="preserve">CAPITAL STRUCTURE	84</w:t>
      </w:r>
    </w:p>
    <w:p>
      <w:pPr>
        <w:pStyle w:val="Heading2"/>
      </w:pPr>
      <w:r>
        <w:t xml:space="preserve">DEFINITIONS AND ABBREVIATIONS</w:t>
      </w:r>
    </w:p>
    <w:p>
      <w:r>
        <w:t xml:space="preserve">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r>
        <w:t xml:space="preserve">5143 Hirthe Path, Carmelton</w:t>
      </w:r>
    </w:p>
    <w:p>
      <w:r>
        <w:t xml:space="preserve">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r>
        <w:t xml:space="preserve">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pPr>
        <w:pStyle w:val="Heading3"/>
      </w:pPr>
      <w:r>
        <w:t xml:space="preserve">General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Our Jimmie Franey/ the Jimmie Franey</w:t>
            </w:r>
          </w:p>
        </w:tc>
        <w:tc>
          <w:tcPr>
            <w:tcW w:type="dxa" w:w="4500"/>
          </w:tcPr>
          <w:p>
            <w:r>
              <w:t xml:space="preserve">1595 Lockman Views, Fort Arturo</w:t>
            </w:r>
          </w:p>
        </w:tc>
      </w:tr>
      <w:tr>
        <w:tc>
          <w:tcPr>
            <w:tcW w:type="dxa" w:w="4500"/>
          </w:tcPr>
          <w:p>
            <w:r>
              <w:t xml:space="preserve">We/ us/ our</w:t>
            </w:r>
          </w:p>
        </w:tc>
        <w:tc>
          <w:tcPr>
            <w:tcW w:type="dxa" w:w="4500"/>
          </w:tcPr>
          <w:p>
            <w:r>
              <w:t xml:space="preserve">Unless context otherwise indicates or implies, refers to our Jimmie Franey</w:t>
            </w:r>
          </w:p>
        </w:tc>
      </w:tr>
    </w:tbl>
    <w:p/>
    <w:p>
      <w:pPr>
        <w:pStyle w:val="Heading3"/>
      </w:pPr>
      <w:r>
        <w:t xml:space="preserve">Jimmie Franey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AoA/Articles of Association or Articles</w:t>
            </w:r>
          </w:p>
        </w:tc>
        <w:tc>
          <w:tcPr>
            <w:tcW w:type="dxa" w:w="4500"/>
          </w:tcPr>
          <w:p>
            <w:r>
              <w:t xml:space="preserve">The articles of association of our Jimmie Franey, as amended from time to time</w:t>
            </w:r>
          </w:p>
        </w:tc>
      </w:tr>
      <w:tr>
        <w:tc>
          <w:tcPr>
            <w:tcW w:type="dxa" w:w="4500"/>
          </w:tcPr>
          <w:p>
            <w:r>
              <w:t xml:space="preserve">Audit Committee</w:t>
            </w:r>
          </w:p>
        </w:tc>
        <w:tc>
          <w:tcPr>
            <w:tcW w:type="dxa" w:w="4500"/>
          </w:tcPr>
          <w:p>
            <w:r>
              <w:t xml:space="preserve">Audit committee of our Board, as disclosed in “Our Management – Corporate Governance – Committees of our Board” on page 257</w:t>
            </w:r>
          </w:p>
        </w:tc>
      </w:tr>
      <w:tr>
        <w:tc>
          <w:tcPr>
            <w:tcW w:type="dxa" w:w="4500"/>
          </w:tcPr>
          <w:p>
            <w:r>
              <w:t xml:space="preserve">Auditors/ Statutory Auditors</w:t>
            </w:r>
          </w:p>
        </w:tc>
        <w:tc>
          <w:tcPr>
            <w:tcW w:type="dxa" w:w="4500"/>
          </w:tcPr>
          <w:p>
            <w:r>
              <w:t xml:space="preserve">The current statutory auditors of our Jimmie Franey, being Kirtane &amp; Russel, Keebler and Bartell Limited, Chartered Accountants</w:t>
            </w:r>
          </w:p>
        </w:tc>
      </w:tr>
      <w:tr>
        <w:tc>
          <w:tcPr>
            <w:tcW w:type="dxa" w:w="4500"/>
          </w:tcPr>
          <w:p>
            <w:r>
              <w:t xml:space="preserve">Board/ Board of Directors</w:t>
            </w:r>
          </w:p>
        </w:tc>
        <w:tc>
          <w:tcPr>
            <w:tcW w:type="dxa" w:w="4500"/>
          </w:tcPr>
          <w:p>
            <w:r>
              <w:t xml:space="preserve">The board of directors of our Jimmie Franey. For further details, see “Our Management – Board of Directors” on page 250</w:t>
            </w:r>
          </w:p>
        </w:tc>
      </w:tr>
      <w:tr>
        <w:tc>
          <w:tcPr>
            <w:tcW w:type="dxa" w:w="4500"/>
          </w:tcPr>
          <w:p>
            <w:r>
              <w:t xml:space="preserve">Bonus Issue</w:t>
            </w:r>
          </w:p>
        </w:tc>
        <w:tc>
          <w:tcPr>
            <w:tcW w:type="dxa" w:w="4500"/>
          </w:tcPr>
          <w:p>
            <w:r>
              <w:t xml:space="preserve">Bonus issue undertaken on February 21, 2025, in the ratio of four Equity Shares of face value of₹5 for every one Equity Share of face value of ₹5 held by our Shareholders as on February 10, 2025. For further details, please see “Capital Structure – Equity Share capital history of our Jimmie Franey” on page 85</w:t>
            </w:r>
          </w:p>
        </w:tc>
      </w:tr>
      <w:tr>
        <w:tc>
          <w:tcPr>
            <w:tcW w:type="dxa" w:w="4500"/>
          </w:tcPr>
          <w:p>
            <w:r>
              <w:t xml:space="preserve">CARE Report</w:t>
            </w:r>
          </w:p>
        </w:tc>
        <w:tc>
          <w:tcPr>
            <w:tcW w:type="dxa" w:w="4500"/>
          </w:tcPr>
          <w:p>
            <w:r>
              <w:t xml:space="preserve">Report titled “Industry Research Report on Magnet Winding Wires Market in India” dated November 26, 2025, prepared and issued by CARE Analytics and Paucek - Sporer Limited which has been commissioned by and paid for by our Jimmie Franey pursuant to an engagement letter dated December 2, 2024 entered into with CARE Analytics and Paucek - Sporer Limited, exclusively for the purposes of the Offer. The report will be available on the website of our Jimmie Franey athttps://kshinternational.com/investor-relations/industry-report/ from the date of this Red Herring Prospectus until the Bid/Offer Closing Date</w:t>
            </w:r>
          </w:p>
        </w:tc>
      </w:tr>
      <w:tr>
        <w:tc>
          <w:tcPr>
            <w:tcW w:type="dxa" w:w="4500"/>
          </w:tcPr>
          <w:p>
            <w:r>
              <w:t xml:space="preserve">Chairman and Executive Director</w:t>
            </w:r>
          </w:p>
        </w:tc>
        <w:tc>
          <w:tcPr>
            <w:tcW w:type="dxa" w:w="4500"/>
          </w:tcPr>
          <w:p>
            <w:r>
              <w:t xml:space="preserve">The chairman and executive director of our Jimmie Franey, being Hope Shields. For further details, see “Our Management – Board of Directors” on page 250</w:t>
            </w:r>
          </w:p>
        </w:tc>
      </w:tr>
      <w:tr>
        <w:tc>
          <w:tcPr>
            <w:tcW w:type="dxa" w:w="4500"/>
          </w:tcPr>
          <w:p>
            <w:r>
              <w:t xml:space="preserve">Chief Executive Officer/ CEO</w:t>
            </w:r>
          </w:p>
        </w:tc>
        <w:tc>
          <w:tcPr>
            <w:tcW w:type="dxa" w:w="4500"/>
          </w:tcPr>
          <w:p>
            <w:r>
              <w:t xml:space="preserve">The chief executive officer of our Jimmie Franey, being Sandesh Bhagwat. For further details, see “Our Management – Key Managerial Personnel and Senior Management” on page 266</w:t>
            </w:r>
          </w:p>
        </w:tc>
      </w:tr>
      <w:tr>
        <w:tc>
          <w:tcPr>
            <w:tcW w:type="dxa" w:w="4500"/>
          </w:tcPr>
          <w:p>
            <w:r>
              <w:t xml:space="preserve">Chief Financial Officer/ CFO</w:t>
            </w:r>
          </w:p>
        </w:tc>
        <w:tc>
          <w:tcPr>
            <w:tcW w:type="dxa" w:w="4500"/>
          </w:tcPr>
          <w:p>
            <w:r>
              <w:t xml:space="preserve">The chief financial officer of our Jimmie Franey, being Amod Joshi. For further details, see “Our Management – Key Managerial Personnel and Senior Management” on page 266</w:t>
            </w:r>
          </w:p>
        </w:tc>
      </w:tr>
      <w:tr>
        <w:tc>
          <w:tcPr>
            <w:tcW w:type="dxa" w:w="4500"/>
          </w:tcPr>
          <w:p>
            <w:r>
              <w:t xml:space="preserve">Jimmie Franey	Secretary/	CS	and Compliance Officer</w:t>
            </w:r>
          </w:p>
        </w:tc>
        <w:tc>
          <w:tcPr>
            <w:tcW w:type="dxa" w:w="4500"/>
          </w:tcPr>
          <w:p>
            <w:r>
              <w:t xml:space="preserve">The Jimmie Franey secretary and compliance officer of our Jimmie Franey, being Brisa Terry. For further details, see “General Information” and “Our Management – Key Managerial Personnel and Senior Management” on pages 74 and 266, respectively.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Corporate Office</w:t>
            </w:r>
          </w:p>
        </w:tc>
        <w:tc>
          <w:tcPr>
            <w:tcW w:type="dxa" w:w="4500"/>
          </w:tcPr>
          <w:p>
            <w:r>
              <w:t xml:space="preserve">82166 Sandy Lane, Elk Grove</w:t>
            </w:r>
          </w:p>
        </w:tc>
      </w:tr>
      <w:tr>
        <w:tc>
          <w:tcPr>
            <w:tcW w:type="dxa" w:w="4500"/>
          </w:tcPr>
          <w:p>
            <w:r>
              <w:t xml:space="preserve">Corporate Promoter</w:t>
            </w:r>
          </w:p>
        </w:tc>
        <w:tc>
          <w:tcPr>
            <w:tcW w:type="dxa" w:w="4500"/>
          </w:tcPr>
          <w:p>
            <w:r>
              <w:t xml:space="preserve">Schinner, Hirthe and Bashirian Limited</w:t>
            </w:r>
          </w:p>
        </w:tc>
      </w:tr>
      <w:tr>
        <w:tc>
          <w:tcPr>
            <w:tcW w:type="dxa" w:w="4500"/>
          </w:tcPr>
          <w:p>
            <w:r>
              <w:t xml:space="preserve">CSR Committee/ Corporate Social Responsibility Committee</w:t>
            </w:r>
          </w:p>
        </w:tc>
        <w:tc>
          <w:tcPr>
            <w:tcW w:type="dxa" w:w="4500"/>
          </w:tcPr>
          <w:p>
            <w:r>
              <w:t xml:space="preserve">The corporate social responsibility committee of our Board, as disclosed in “Our Management – Corporate Governance – Committees of our Board” on page 257</w:t>
            </w:r>
          </w:p>
        </w:tc>
      </w:tr>
      <w:tr>
        <w:tc>
          <w:tcPr>
            <w:tcW w:type="dxa" w:w="4500"/>
          </w:tcPr>
          <w:p>
            <w:r>
              <w:t xml:space="preserve">Director(s)</w:t>
            </w:r>
          </w:p>
        </w:tc>
        <w:tc>
          <w:tcPr>
            <w:tcW w:type="dxa" w:w="4500"/>
          </w:tcPr>
          <w:p>
            <w:r>
              <w:t xml:space="preserve">The director(s) on our Board. For further details, see “Our Management – Board of Directors” on page 250</w:t>
            </w:r>
          </w:p>
        </w:tc>
      </w:tr>
      <w:tr>
        <w:tc>
          <w:tcPr>
            <w:tcW w:type="dxa" w:w="4500"/>
          </w:tcPr>
          <w:p>
            <w:r>
              <w:t xml:space="preserve">Equity Shares</w:t>
            </w:r>
          </w:p>
        </w:tc>
        <w:tc>
          <w:tcPr>
            <w:tcW w:type="dxa" w:w="4500"/>
          </w:tcPr>
          <w:p>
            <w:r>
              <w:t xml:space="preserve">The equity shares of our Jimmie Franey of face value of ₹5 each, unless otherwise stated</w:t>
            </w:r>
          </w:p>
        </w:tc>
      </w:tr>
      <w:tr>
        <w:tc>
          <w:tcPr>
            <w:tcW w:type="dxa" w:w="4500"/>
          </w:tcPr>
          <w:p>
            <w:r>
              <w:t xml:space="preserve">Executive Director(s)</w:t>
            </w:r>
          </w:p>
        </w:tc>
        <w:tc>
          <w:tcPr>
            <w:tcW w:type="dxa" w:w="4500"/>
          </w:tcPr>
          <w:p>
            <w:r>
              <w:t xml:space="preserve">Executive director(s) on our Board. For further details, see “Our Management – Board of Directors” on page 250</w:t>
            </w:r>
          </w:p>
        </w:tc>
      </w:tr>
      <w:tr>
        <w:tc>
          <w:tcPr>
            <w:tcW w:type="dxa" w:w="4500"/>
          </w:tcPr>
          <w:p>
            <w:r>
              <w:t xml:space="preserve">ESOP 2025</w:t>
            </w:r>
          </w:p>
        </w:tc>
        <w:tc>
          <w:tcPr>
            <w:tcW w:type="dxa" w:w="4500"/>
          </w:tcPr>
          <w:p>
            <w:r>
              <w:t xml:space="preserve">The employee stock option plan of our Jimmie Franey titled, ‘KSH Employee Stock Option Scheme 2025’ approved by our Board and Shareholders each in their meeting May 6, 2025</w:t>
            </w:r>
          </w:p>
        </w:tc>
      </w:tr>
      <w:tr>
        <w:tc>
          <w:tcPr>
            <w:tcW w:type="dxa" w:w="4500"/>
          </w:tcPr>
          <w:p>
            <w:r>
              <w:t xml:space="preserve">Family Branch(es)</w:t>
            </w:r>
          </w:p>
        </w:tc>
        <w:tc>
          <w:tcPr>
            <w:tcW w:type="dxa" w:w="4500"/>
          </w:tcPr>
          <w:p>
            <w:r>
              <w:t xml:space="preserve">Parents Branch, Rajesh Branch, Sangeeta Branch, Rakhi Branch and Rohit Branch</w:t>
            </w:r>
          </w:p>
        </w:tc>
      </w:tr>
      <w:tr>
        <w:tc>
          <w:tcPr>
            <w:tcW w:type="dxa" w:w="4500"/>
          </w:tcPr>
          <w:p>
            <w:r>
              <w:t xml:space="preserve">Group Companies</w:t>
            </w:r>
          </w:p>
        </w:tc>
        <w:tc>
          <w:tcPr>
            <w:tcW w:type="dxa" w:w="4500"/>
          </w:tcPr>
          <w:p>
            <w:r>
              <w:t xml:space="preserve">The companies identified as ‘group companies’ in accordance with Regulation 2(1)(t) of the SEBI ICDR Regulations and the Materiality Policy. For further details, see “Our Group Companies” on page 396</w:t>
            </w:r>
          </w:p>
        </w:tc>
      </w:tr>
      <w:tr>
        <w:tc>
          <w:tcPr>
            <w:tcW w:type="dxa" w:w="4500"/>
          </w:tcPr>
          <w:p>
            <w:r>
              <w:t xml:space="preserve">Group Entities</w:t>
            </w:r>
          </w:p>
        </w:tc>
        <w:tc>
          <w:tcPr>
            <w:tcW w:type="dxa" w:w="4500"/>
          </w:tcPr>
          <w:p>
            <w:r>
              <w:t xml:space="preserve">Entities, namely, Zboncak - Sanford Limited, Keebler and Sons Limited, KSH Infra Park 5 Private Limited, Labadie, Tremblay and Ullrich Limited, Wiegand-Marvin - Greenholt Limited, Schiller - Kunde Limited, Kushal Motors and Torphy - Conroy Limited, Boehm, Schuster and Bogan Limited, Schulist, Romaguera-Hirthe and MacGyver Limited, Kunde Group Limited, Carroll LLC Limited, Hirthe-Grant, Windler and Baumbach-Toy Limited, Schinner, Hirthe and Bashirian Limited, Lueilwitz and Sons Limited, Kling LLC Limited, Goyette and Sons Limited Limited, Waterloo Industrial Park IX A PrivateLimited, and Gottlieb, Hermann and Wiza Limited</w:t>
            </w:r>
          </w:p>
        </w:tc>
      </w:tr>
      <w:tr>
        <w:tc>
          <w:tcPr>
            <w:tcW w:type="dxa" w:w="4500"/>
          </w:tcPr>
          <w:p>
            <w:r>
              <w:t xml:space="preserve">Independent Director(s)</w:t>
            </w:r>
          </w:p>
        </w:tc>
        <w:tc>
          <w:tcPr>
            <w:tcW w:type="dxa" w:w="4500"/>
          </w:tcPr>
          <w:p>
            <w:r>
              <w:t xml:space="preserve">Non-executive and independent director(s) on our Board. For further details, see “Our Management – Board of Directors” on page 250</w:t>
            </w:r>
          </w:p>
        </w:tc>
      </w:tr>
      <w:tr>
        <w:tc>
          <w:tcPr>
            <w:tcW w:type="dxa" w:w="4500"/>
          </w:tcPr>
          <w:p>
            <w:r>
              <w:t xml:space="preserve">Independent Chartered Engineer</w:t>
            </w:r>
          </w:p>
        </w:tc>
        <w:tc>
          <w:tcPr>
            <w:tcW w:type="dxa" w:w="4500"/>
          </w:tcPr>
          <w:p>
            <w:r>
              <w:t xml:space="preserve">The independent chartered engineer appointed by our Jimmie Franey, namely, Lalit Muljibhai Sarvaiya bearing registration number M-140388</w:t>
            </w:r>
          </w:p>
        </w:tc>
      </w:tr>
      <w:tr>
        <w:tc>
          <w:tcPr>
            <w:tcW w:type="dxa" w:w="4500"/>
          </w:tcPr>
          <w:p>
            <w:r>
              <w:t xml:space="preserve">Industry Data Provider/ CareEdge Research</w:t>
            </w:r>
          </w:p>
        </w:tc>
        <w:tc>
          <w:tcPr>
            <w:tcW w:type="dxa" w:w="4500"/>
          </w:tcPr>
          <w:p>
            <w:r>
              <w:t xml:space="preserve">The industry data provider being, CARE Analytics and Paucek - Sporer Limited</w:t>
            </w:r>
          </w:p>
        </w:tc>
      </w:tr>
      <w:tr>
        <w:tc>
          <w:tcPr>
            <w:tcW w:type="dxa" w:w="4500"/>
          </w:tcPr>
          <w:p>
            <w:r>
              <w:t xml:space="preserve">IPO Committee</w:t>
            </w:r>
          </w:p>
        </w:tc>
        <w:tc>
          <w:tcPr>
            <w:tcW w:type="dxa" w:w="4500"/>
          </w:tcPr>
          <w:p>
            <w:r>
              <w:t xml:space="preserve">The IPO committee of our Board constituted to facilitate the process of the Offer</w:t>
            </w:r>
          </w:p>
        </w:tc>
      </w:tr>
      <w:tr>
        <w:tc>
          <w:tcPr>
            <w:tcW w:type="dxa" w:w="4500"/>
          </w:tcPr>
          <w:p>
            <w:r>
              <w:t xml:space="preserve">Kailee Schulist Director</w:t>
            </w:r>
          </w:p>
        </w:tc>
        <w:tc>
          <w:tcPr>
            <w:tcW w:type="dxa" w:w="4500"/>
          </w:tcPr>
          <w:p>
            <w:r>
              <w:t xml:space="preserve">The Kailee Schulist director of our Jimmie Franey being, Lew Bergnaum. For further details, see “Our Management” on page 250</w:t>
            </w:r>
          </w:p>
        </w:tc>
      </w:tr>
      <w:tr>
        <w:tc>
          <w:tcPr>
            <w:tcW w:type="dxa" w:w="4500"/>
          </w:tcPr>
          <w:p>
            <w:r>
              <w:t xml:space="preserve">KMP/ Key Managerial Personnel</w:t>
            </w:r>
          </w:p>
        </w:tc>
        <w:tc>
          <w:tcPr>
            <w:tcW w:type="dxa" w:w="4500"/>
          </w:tcPr>
          <w:p>
            <w:r>
              <w:t xml:space="preserve">Key managerial personnel of our Jimmie Franey in terms of Regulation 2(1)(bb) of the SEBI ICDR Regulations and Section 2(51) of the Companies Act, 2013 and as further disclosed in “Our Management – Key Managerial Personnel and Senior Management” on page 266</w:t>
            </w:r>
          </w:p>
        </w:tc>
      </w:tr>
      <w:tr>
        <w:tc>
          <w:tcPr>
            <w:tcW w:type="dxa" w:w="4500"/>
          </w:tcPr>
          <w:p>
            <w:r>
              <w:t xml:space="preserve">Managing Director</w:t>
            </w:r>
          </w:p>
        </w:tc>
        <w:tc>
          <w:tcPr>
            <w:tcW w:type="dxa" w:w="4500"/>
          </w:tcPr>
          <w:p>
            <w:r>
              <w:t xml:space="preserve">The managing director of our Jimmie Franey, namely Misael Blanda. For further information, see “Our Management – Board of Directors” on page 250</w:t>
            </w:r>
          </w:p>
        </w:tc>
      </w:tr>
      <w:tr>
        <w:tc>
          <w:tcPr>
            <w:tcW w:type="dxa" w:w="4500"/>
          </w:tcPr>
          <w:p>
            <w:r>
              <w:t xml:space="preserve">Materiality Policy</w:t>
            </w:r>
          </w:p>
        </w:tc>
        <w:tc>
          <w:tcPr>
            <w:tcW w:type="dxa" w:w="4500"/>
          </w:tcPr>
          <w:p>
            <w:r>
              <w:t xml:space="preserve">The policy adopted by our Board on May 17, 2025, for identification of: (a) outstanding material outstanding litigation involving our Jimmie Franey, our Promoters and our Directors; (b) companies, considered material by our Jimmie Franey, for the purposes of disclosure as group companies in the Draft Red Herring Prospectus, this Red Herring Prospectus and the Prospectus; and (c) outstanding dues to material creditors of our Jimmie Franey, in accordance with the disclosurerequirements under the SEBI ICDR Regulations, for the purposes of disclosure in the Draft Red Herring Prospectus, this Red Herring Prospectus and the Prospectus</w:t>
            </w:r>
          </w:p>
        </w:tc>
      </w:tr>
      <w:tr>
        <w:tc>
          <w:tcPr>
            <w:tcW w:type="dxa" w:w="4500"/>
          </w:tcPr>
          <w:p>
            <w:r>
              <w:t xml:space="preserve">MoA/ Memorandum of Association</w:t>
            </w:r>
          </w:p>
        </w:tc>
        <w:tc>
          <w:tcPr>
            <w:tcW w:type="dxa" w:w="4500"/>
          </w:tcPr>
          <w:p>
            <w:r>
              <w:t xml:space="preserve">The memorandum of association of our Jimmie Franey, as amended</w:t>
            </w:r>
          </w:p>
        </w:tc>
      </w:tr>
      <w:tr>
        <w:tc>
          <w:tcPr>
            <w:tcW w:type="dxa" w:w="4500"/>
          </w:tcPr>
          <w:p>
            <w:r>
              <w:t xml:space="preserve">Nomination	and	Remuneration Committee</w:t>
            </w:r>
          </w:p>
        </w:tc>
        <w:tc>
          <w:tcPr>
            <w:tcW w:type="dxa" w:w="4500"/>
          </w:tcPr>
          <w:p>
            <w:r>
              <w:t xml:space="preserve">The nomination and remuneration committee of our Board, as disclosed in “Our Management – Committees of our Board” on page 257</w:t>
            </w:r>
          </w:p>
        </w:tc>
      </w:tr>
      <w:tr>
        <w:tc>
          <w:tcPr>
            <w:tcW w:type="dxa" w:w="4500"/>
          </w:tcPr>
          <w:p>
            <w:r>
              <w:t xml:space="preserve">Non-Executive	Non-IndependentDirector(s)</w:t>
            </w:r>
          </w:p>
        </w:tc>
        <w:tc>
          <w:tcPr>
            <w:tcW w:type="dxa" w:w="4500"/>
          </w:tcPr>
          <w:p>
            <w:r>
              <w:t xml:space="preserve">The non-executive non-independent Directors on our Board, as disclosed in “Our Management –Board of Directors” on page 250</w:t>
            </w:r>
          </w:p>
        </w:tc>
      </w:tr>
      <w:tr>
        <w:tc>
          <w:tcPr>
            <w:tcW w:type="dxa" w:w="4500"/>
          </w:tcPr>
          <w:p>
            <w:r>
              <w:t xml:space="preserve">Parents Branch</w:t>
            </w:r>
          </w:p>
        </w:tc>
        <w:tc>
          <w:tcPr>
            <w:tcW w:type="dxa" w:w="4500"/>
          </w:tcPr>
          <w:p>
            <w:r>
              <w:t xml:space="preserve">Hope Shields, Miss Caroline Blanda Jr., Broad Family Trust and Dhaulagiri Family Trust</w:t>
            </w:r>
          </w:p>
        </w:tc>
      </w:tr>
      <w:tr>
        <w:tc>
          <w:tcPr>
            <w:tcW w:type="dxa" w:w="4500"/>
          </w:tcPr>
          <w:p>
            <w:r>
              <w:t xml:space="preserve">Promoter Group</w:t>
            </w:r>
          </w:p>
        </w:tc>
        <w:tc>
          <w:tcPr>
            <w:tcW w:type="dxa" w:w="4500"/>
          </w:tcPr>
          <w:p>
            <w:r>
              <w:t xml:space="preserve">Persons and entities, excluding our Promoters constituting the promoter group of our Jimmie Franey in terms of Regulation 2(1)(pp) of the SEBI ICDR Regulations, as disclosed in “Our Promoters and Promoter Group” on page 269</w:t>
            </w:r>
          </w:p>
        </w:tc>
      </w:tr>
      <w:tr>
        <w:tc>
          <w:tcPr>
            <w:tcW w:type="dxa" w:w="4500"/>
          </w:tcPr>
          <w:p>
            <w:r>
              <w:t xml:space="preserve">Promoters</w:t>
            </w:r>
          </w:p>
        </w:tc>
        <w:tc>
          <w:tcPr>
            <w:tcW w:type="dxa" w:w="4500"/>
          </w:tcPr>
          <w:p>
            <w:r>
              <w:t xml:space="preserve">Hope Shields, Miss Caroline Blanda Jr., Misael Blanda, Lew Bergnaum and Lon Kozey, Dhaulagiri Family Trust, Everest Family Trust, Makalu Family Trust, BroadFamily Trust, Annapurna Family Trust, Kanchenjunga Family Trust and Schinner, Hirthe and Bashirian Limited</w:t>
            </w:r>
          </w:p>
        </w:tc>
      </w:tr>
      <w:tr>
        <w:tc>
          <w:tcPr>
            <w:tcW w:type="dxa" w:w="4500"/>
          </w:tcPr>
          <w:p>
            <w:r>
              <w:t xml:space="preserve">Promoter Selling Shareholders</w:t>
            </w:r>
          </w:p>
        </w:tc>
        <w:tc>
          <w:tcPr>
            <w:tcW w:type="dxa" w:w="4500"/>
          </w:tcPr>
          <w:p>
            <w:r>
              <w:t xml:space="preserve">Hope Shields, Miss Caroline Blanda Jr., Misael Blanda and Lew Bergnaum</w:t>
            </w:r>
          </w:p>
        </w:tc>
      </w:tr>
      <w:tr>
        <w:tc>
          <w:tcPr>
            <w:tcW w:type="dxa" w:w="4500"/>
          </w:tcPr>
          <w:p>
            <w:r>
              <w:t xml:space="preserve">Promoter Trusts</w:t>
            </w:r>
          </w:p>
        </w:tc>
        <w:tc>
          <w:tcPr>
            <w:tcW w:type="dxa" w:w="4500"/>
          </w:tcPr>
          <w:p>
            <w:r>
              <w:t xml:space="preserve">Dhaulagiri Family Trust, Everest Family Trust, Makalu Family Trust, Broad Family Trust, Annapurna Family Trust, and Kanchenjunga Family Trust</w:t>
            </w:r>
          </w:p>
        </w:tc>
      </w:tr>
      <w:tr>
        <w:tc>
          <w:tcPr>
            <w:tcW w:type="dxa" w:w="4500"/>
          </w:tcPr>
          <w:p>
            <w:r>
              <w:t xml:space="preserve">Rajesh Branch</w:t>
            </w:r>
          </w:p>
        </w:tc>
        <w:tc>
          <w:tcPr>
            <w:tcW w:type="dxa" w:w="4500"/>
          </w:tcPr>
          <w:p>
            <w:r>
              <w:t xml:space="preserve">Misael Blanda, his spouse, his children, lineal descendants and Everest Family Trust</w:t>
            </w:r>
          </w:p>
        </w:tc>
      </w:tr>
      <w:tr>
        <w:tc>
          <w:tcPr>
            <w:tcW w:type="dxa" w:w="4500"/>
          </w:tcPr>
          <w:p>
            <w:r>
              <w:t xml:space="preserve">Rakhi Branch</w:t>
            </w:r>
          </w:p>
        </w:tc>
        <w:tc>
          <w:tcPr>
            <w:tcW w:type="dxa" w:w="4500"/>
          </w:tcPr>
          <w:p>
            <w:r>
              <w:t xml:space="preserve">Lon Kozey, her spouse (if any), her children, lineal descendants and Annapurna Family Trust</w:t>
            </w:r>
          </w:p>
        </w:tc>
      </w:tr>
      <w:tr>
        <w:tc>
          <w:tcPr>
            <w:tcW w:type="dxa" w:w="4500"/>
          </w:tcPr>
          <w:p>
            <w:r>
              <w:t xml:space="preserve">Registered Office</w:t>
            </w:r>
          </w:p>
        </w:tc>
        <w:tc>
          <w:tcPr>
            <w:tcW w:type="dxa" w:w="4500"/>
          </w:tcPr>
          <w:p>
            <w:r>
              <w:t xml:space="preserve">98976 Bayer Brooks, Port Leon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Registrar of Companies/RoC</w:t>
            </w:r>
          </w:p>
        </w:tc>
        <w:tc>
          <w:tcPr>
            <w:tcW w:type="dxa" w:w="4500"/>
          </w:tcPr>
          <w:p>
            <w:r>
              <w:t xml:space="preserve">The Registrar of Companies, Maharashtra at Pune</w:t>
            </w:r>
          </w:p>
        </w:tc>
      </w:tr>
      <w:tr>
        <w:tc>
          <w:tcPr>
            <w:tcW w:type="dxa" w:w="4500"/>
          </w:tcPr>
          <w:p>
            <w:r>
              <w:t xml:space="preserve">Restated Financial Statements</w:t>
            </w:r>
          </w:p>
        </w:tc>
        <w:tc>
          <w:tcPr>
            <w:tcW w:type="dxa" w:w="4500"/>
          </w:tcPr>
          <w:p>
            <w:r>
              <w:t xml:space="preserve">The restated financial information of our Jimmie Franey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Jimmie Franey Prospectuses (Revised 2019) issued by ICAI, as amended from time to time and the Indian Accounting Standards as specified under Section 133 of the Act and otheraccounting principles generally accepted in India.</w:t>
            </w:r>
          </w:p>
        </w:tc>
      </w:tr>
      <w:tr>
        <w:tc>
          <w:tcPr>
            <w:tcW w:type="dxa" w:w="4500"/>
          </w:tcPr>
          <w:p>
            <w:r>
              <w:t xml:space="preserve">Risk Management Committee</w:t>
            </w:r>
          </w:p>
        </w:tc>
        <w:tc>
          <w:tcPr>
            <w:tcW w:type="dxa" w:w="4500"/>
          </w:tcPr>
          <w:p>
            <w:r>
              <w:t xml:space="preserve">The risk management committee of our Board, as disclosed in “Our Management – Corporate Governance - Committees of our Board” on page 257</w:t>
            </w:r>
          </w:p>
        </w:tc>
      </w:tr>
      <w:tr>
        <w:tc>
          <w:tcPr>
            <w:tcW w:type="dxa" w:w="4500"/>
          </w:tcPr>
          <w:p>
            <w:r>
              <w:t xml:space="preserve">Rohit Branch</w:t>
            </w:r>
          </w:p>
        </w:tc>
        <w:tc>
          <w:tcPr>
            <w:tcW w:type="dxa" w:w="4500"/>
          </w:tcPr>
          <w:p>
            <w:r>
              <w:t xml:space="preserve">Lew Bergnaum, his spouse, his children, lineal descendants and Makalu Family Trust</w:t>
            </w:r>
          </w:p>
        </w:tc>
      </w:tr>
      <w:tr>
        <w:tc>
          <w:tcPr>
            <w:tcW w:type="dxa" w:w="4500"/>
          </w:tcPr>
          <w:p>
            <w:r>
              <w:t xml:space="preserve">Sangeeta Branch</w:t>
            </w:r>
          </w:p>
        </w:tc>
        <w:tc>
          <w:tcPr>
            <w:tcW w:type="dxa" w:w="4500"/>
          </w:tcPr>
          <w:p>
            <w:r>
              <w:t xml:space="preserve">Sangeeta Ramprasad Rai, her spouse, her children, lineal descendants and Kanchenjunga Family Trust</w:t>
            </w:r>
          </w:p>
        </w:tc>
      </w:tr>
      <w:tr>
        <w:tc>
          <w:tcPr>
            <w:tcW w:type="dxa" w:w="4500"/>
          </w:tcPr>
          <w:p>
            <w:r>
              <w:t xml:space="preserve">Split of Equity Shares</w:t>
            </w:r>
          </w:p>
        </w:tc>
        <w:tc>
          <w:tcPr>
            <w:tcW w:type="dxa" w:w="4500"/>
          </w:tcPr>
          <w:p>
            <w:r>
              <w:t xml:space="preserve">Pursuant to a resolution passed by our Board and Shareholders dated February 10, 2025 and February 11, 2025, respectively, our Jimmie Franey sub-divided the face value of its equity shares from₹100 per equity share to ₹5 per Equity Share. For further details, see “Summary of the Offer Document” and “Capital Structure – Notes to Capital Structure – Equity Share Capital History of our Jimmie Franey” on pages 20 and 85, respectively</w:t>
            </w:r>
          </w:p>
        </w:tc>
      </w:tr>
      <w:tr>
        <w:tc>
          <w:tcPr>
            <w:tcW w:type="dxa" w:w="4500"/>
          </w:tcPr>
          <w:p>
            <w:r>
              <w:t xml:space="preserve">Senior Management/ SM</w:t>
            </w:r>
          </w:p>
        </w:tc>
        <w:tc>
          <w:tcPr>
            <w:tcW w:type="dxa" w:w="4500"/>
          </w:tcPr>
          <w:p>
            <w:r>
              <w:t xml:space="preserve">Our senior management in terms of Regulation 2(1)(bbbb) of the SEBI ICDR Regulations and as disclosed in “Our Management – Key Managerial Personnel and Senior Management” on page 266</w:t>
            </w:r>
          </w:p>
        </w:tc>
      </w:tr>
      <w:tr>
        <w:tc>
          <w:tcPr>
            <w:tcW w:type="dxa" w:w="4500"/>
          </w:tcPr>
          <w:p>
            <w:r>
              <w:t xml:space="preserve">Shareholders</w:t>
            </w:r>
          </w:p>
        </w:tc>
        <w:tc>
          <w:tcPr>
            <w:tcW w:type="dxa" w:w="4500"/>
          </w:tcPr>
          <w:p>
            <w:r>
              <w:t xml:space="preserve">The holders of the Equity Shares from time to time</w:t>
            </w:r>
          </w:p>
        </w:tc>
      </w:tr>
      <w:tr>
        <w:tc>
          <w:tcPr>
            <w:tcW w:type="dxa" w:w="4500"/>
          </w:tcPr>
          <w:p>
            <w:r>
              <w:t xml:space="preserve">Stakeholders Relationship Committee</w:t>
            </w:r>
          </w:p>
        </w:tc>
        <w:tc>
          <w:tcPr>
            <w:tcW w:type="dxa" w:w="4500"/>
          </w:tcPr>
          <w:p>
            <w:r>
              <w:t xml:space="preserve">The stakeholders’ relationship committee of our Board, as disclosed in “Our Management – Corporate Governance – Committees of our Board” on page 257</w:t>
            </w:r>
          </w:p>
        </w:tc>
      </w:tr>
      <w:tr>
        <w:tc>
          <w:tcPr>
            <w:tcW w:type="dxa" w:w="4500"/>
          </w:tcPr>
          <w:p>
            <w:r>
              <w:t xml:space="preserve">Supa Facility</w:t>
            </w:r>
          </w:p>
        </w:tc>
        <w:tc>
          <w:tcPr>
            <w:tcW w:type="dxa" w:w="4500"/>
          </w:tcPr>
          <w:p>
            <w:r>
              <w:t xml:space="preserve">Our manufacturing facility located at Supa Ahilyanagar (formerly Ahmednagar) in Maharashtra</w:t>
            </w:r>
          </w:p>
        </w:tc>
      </w:tr>
      <w:tr>
        <w:tc>
          <w:tcPr>
            <w:tcW w:type="dxa" w:w="4500"/>
          </w:tcPr>
          <w:p>
            <w:r>
              <w:t xml:space="preserve">Unit 1</w:t>
            </w:r>
          </w:p>
        </w:tc>
        <w:tc>
          <w:tcPr>
            <w:tcW w:type="dxa" w:w="4500"/>
          </w:tcPr>
          <w:p>
            <w:r>
              <w:t xml:space="preserve">Our manufacturing facility located at Plot No. 9884 Streich Spurs, Youngstown</w:t>
            </w:r>
          </w:p>
        </w:tc>
      </w:tr>
      <w:tr>
        <w:tc>
          <w:tcPr>
            <w:tcW w:type="dxa" w:w="4500"/>
          </w:tcPr>
          <w:p>
            <w:r>
              <w:t xml:space="preserve">Unit 2</w:t>
            </w:r>
          </w:p>
        </w:tc>
        <w:tc>
          <w:tcPr>
            <w:tcW w:type="dxa" w:w="4500"/>
          </w:tcPr>
          <w:p>
            <w:r>
              <w:t xml:space="preserve">7982 Moen-Fay Point, Osinskimouth</w:t>
            </w:r>
          </w:p>
        </w:tc>
      </w:tr>
      <w:tr>
        <w:tc>
          <w:tcPr>
            <w:tcW w:type="dxa" w:w="4500"/>
          </w:tcPr>
          <w:p>
            <w:r>
              <w:t xml:space="preserve">Unit 3</w:t>
            </w:r>
          </w:p>
        </w:tc>
        <w:tc>
          <w:tcPr>
            <w:tcW w:type="dxa" w:w="4500"/>
          </w:tcPr>
          <w:p>
            <w:r>
              <w:t xml:space="preserve">Our manufacturing facility located at Plot No. 585 Collier Brooks, Effertzville</w:t>
            </w:r>
          </w:p>
        </w:tc>
      </w:tr>
      <w:tr>
        <w:tc>
          <w:tcPr>
            <w:tcW w:type="dxa" w:w="4500"/>
          </w:tcPr>
          <w:p>
            <w:r>
              <w:t xml:space="preserve">Whole-time Director</w:t>
            </w:r>
          </w:p>
        </w:tc>
        <w:tc>
          <w:tcPr>
            <w:tcW w:type="dxa" w:w="4500"/>
          </w:tcPr>
          <w:p>
            <w:r>
              <w:t xml:space="preserve">The whole-time director of our Jimmie Franey being, Lon Kozey. For further information, see “Our Management – Board of Directors” on page 250</w:t>
            </w:r>
          </w:p>
        </w:tc>
      </w:tr>
    </w:tbl>
    <w:p/>
    <w:p>
      <w:pPr>
        <w:pStyle w:val="Heading3"/>
      </w:pPr>
      <w:r>
        <w:t xml:space="preserve">Offer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Abridged Prospectus</w:t>
            </w:r>
          </w:p>
        </w:tc>
        <w:tc>
          <w:tcPr>
            <w:tcW w:type="dxa" w:w="4500"/>
          </w:tcPr>
          <w:p>
            <w:r>
              <w:t xml:space="preserve">Abridged prospectus means a memorandum containing such salient features of a prospectus as may be specified by the SEBI in this behalf</w:t>
            </w:r>
          </w:p>
        </w:tc>
      </w:tr>
      <w:tr>
        <w:tc>
          <w:tcPr>
            <w:tcW w:type="dxa" w:w="4500"/>
          </w:tcPr>
          <w:p>
            <w:r>
              <w:t xml:space="preserve">Acknowledgement Slip</w:t>
            </w:r>
          </w:p>
        </w:tc>
        <w:tc>
          <w:tcPr>
            <w:tcW w:type="dxa" w:w="4500"/>
          </w:tcPr>
          <w:p>
            <w:r>
              <w:t xml:space="preserve">The slip or document issued by the relevant Designated Intermediary(ies) to a Bidder as proof of registration of the Bid cum Application Form</w:t>
            </w:r>
          </w:p>
        </w:tc>
      </w:tr>
      <w:tr>
        <w:tc>
          <w:tcPr>
            <w:tcW w:type="dxa" w:w="4500"/>
          </w:tcPr>
          <w:p>
            <w:r>
              <w:t xml:space="preserve">Allot/ Allotment/ Allotted</w:t>
            </w:r>
          </w:p>
        </w:tc>
        <w:tc>
          <w:tcPr>
            <w:tcW w:type="dxa" w:w="4500"/>
          </w:tcPr>
          <w:p>
            <w:r>
              <w:t xml:space="preserve">Unless the context otherwise requires, the allotment of the Equity Shares pursuant to the Fresh Issue and transfer of the Offered Shares by the Promoter Selling Shareholders pursuant to theOffer for Sale to successful Bidders</w:t>
            </w:r>
          </w:p>
        </w:tc>
      </w:tr>
      <w:tr>
        <w:tc>
          <w:tcPr>
            <w:tcW w:type="dxa" w:w="4500"/>
          </w:tcPr>
          <w:p>
            <w:r>
              <w:t xml:space="preserve">Allotment Advice</w:t>
            </w:r>
          </w:p>
        </w:tc>
        <w:tc>
          <w:tcPr>
            <w:tcW w:type="dxa" w:w="4500"/>
          </w:tcPr>
          <w:p>
            <w:r>
              <w:t xml:space="preserve">Note or advice or intimation of Allotment sent to the Bidders who have been or are to be Allotted the Equity Shares after the Basis of Allotment has been approved by the Designated Stock Exchange</w:t>
            </w:r>
          </w:p>
        </w:tc>
      </w:tr>
      <w:tr>
        <w:tc>
          <w:tcPr>
            <w:tcW w:type="dxa" w:w="4500"/>
          </w:tcPr>
          <w:p>
            <w:r>
              <w:t xml:space="preserve">Allottee</w:t>
            </w:r>
          </w:p>
        </w:tc>
        <w:tc>
          <w:tcPr>
            <w:tcW w:type="dxa" w:w="4500"/>
          </w:tcPr>
          <w:p>
            <w:r>
              <w:t xml:space="preserve">A successful Bidder to whom the Equity Shares are Allotted</w:t>
            </w:r>
          </w:p>
        </w:tc>
      </w:tr>
      <w:tr>
        <w:tc>
          <w:tcPr>
            <w:tcW w:type="dxa" w:w="4500"/>
          </w:tcPr>
          <w:p>
            <w:r>
              <w:t xml:space="preserve">Anchor Investor</w:t>
            </w:r>
          </w:p>
        </w:tc>
        <w:tc>
          <w:tcPr>
            <w:tcW w:type="dxa" w:w="4500"/>
          </w:tcPr>
          <w:p>
            <w:r>
              <w:t xml:space="preserve">A Qualified Institutional Buyer, applying under the Anchor Investor Portion in accordance with the SEBI ICDR Regulations and this Red Herring Prospectus, and who has Bid for an amount of at least ₹100 million</w:t>
            </w:r>
          </w:p>
        </w:tc>
      </w:tr>
      <w:tr>
        <w:tc>
          <w:tcPr>
            <w:tcW w:type="dxa" w:w="4500"/>
          </w:tcPr>
          <w:p>
            <w:r>
              <w:t xml:space="preserve">Anchor Investor Allocation Price</w:t>
            </w:r>
          </w:p>
        </w:tc>
        <w:tc>
          <w:tcPr>
            <w:tcW w:type="dxa" w:w="4500"/>
          </w:tcPr>
          <w:p>
            <w:r>
              <w:t xml:space="preserve">The price at which Equity Shares will be allocated to Anchor Investors according to the terms of this Red Herring Prospectus and the Prospectus, which will be decided by our Jimmie Franey in consultation with the BRLMs on the Anchor Investor Bid/Offer Date</w:t>
            </w:r>
          </w:p>
        </w:tc>
      </w:tr>
      <w:tr>
        <w:tc>
          <w:tcPr>
            <w:tcW w:type="dxa" w:w="4500"/>
          </w:tcPr>
          <w:p>
            <w:r>
              <w:t xml:space="preserve">Anchor Investor Application Form</w:t>
            </w:r>
          </w:p>
        </w:tc>
        <w:tc>
          <w:tcPr>
            <w:tcW w:type="dxa" w:w="4500"/>
          </w:tcPr>
          <w:p>
            <w:r>
              <w:t xml:space="preserve">The application form used by an Anchor Investor to make a Bid in the Anchor Investor Portion, and which will be considered as an application for Allotment in terms of this Red Herring Prospectus and the Prospectus</w:t>
            </w:r>
          </w:p>
        </w:tc>
      </w:tr>
      <w:tr>
        <w:tc>
          <w:tcPr>
            <w:tcW w:type="dxa" w:w="4500"/>
          </w:tcPr>
          <w:p>
            <w:r>
              <w:t xml:space="preserve">Anchor Investor Bidding Date</w:t>
            </w:r>
          </w:p>
        </w:tc>
        <w:tc>
          <w:tcPr>
            <w:tcW w:type="dxa" w:w="4500"/>
          </w:tcPr>
          <w:p>
            <w:r>
              <w:t xml:space="preserve">The date, one Working Day prior to the Bid/ Offer Opening Date, on which Bids by Anchor Investors shall be submitted, prior to and after which BRLMs will not accept any Bids fromAnchor Investors, and allocation to Anchor Investors shall be completed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Anchor Investor Offer Price</w:t>
            </w:r>
          </w:p>
        </w:tc>
        <w:tc>
          <w:tcPr>
            <w:tcW w:type="dxa" w:w="4500"/>
          </w:tcPr>
          <w:p>
            <w:r>
              <w:t xml:space="preserve">The final price at which the Equity Shares will be issued and Allotted to Anchor Investors in terms of this Red Herring Prospectus and the Prospectus, which price will be equal to or higher than the Offer Price but not higher than the Cap Price.The Anchor Investor Offer Price will be decided by our Jimmie Franey in consultation with the BRLMs</w:t>
            </w:r>
          </w:p>
        </w:tc>
      </w:tr>
      <w:tr>
        <w:tc>
          <w:tcPr>
            <w:tcW w:type="dxa" w:w="4500"/>
          </w:tcPr>
          <w:p>
            <w:r>
              <w:t xml:space="preserve">Anchor Investor Pay in-Date</w:t>
            </w:r>
          </w:p>
        </w:tc>
        <w:tc>
          <w:tcPr>
            <w:tcW w:type="dxa" w:w="4500"/>
          </w:tcPr>
          <w:p>
            <w:r>
              <w:t xml:space="preserve">With respect to Anchor Investor(s), it shall be the Anchor Investor Bidding Date, and in the event the Anchor Investor Allocation Price is lower than the Offer Price, not later than two Working Days after the Bid/Offer Closing Date</w:t>
            </w:r>
          </w:p>
        </w:tc>
      </w:tr>
      <w:tr>
        <w:tc>
          <w:tcPr>
            <w:tcW w:type="dxa" w:w="4500"/>
          </w:tcPr>
          <w:p>
            <w:r>
              <w:t xml:space="preserve">Anchor Investor Portion</w:t>
            </w:r>
          </w:p>
        </w:tc>
        <w:tc>
          <w:tcPr>
            <w:tcW w:type="dxa" w:w="4500"/>
          </w:tcPr>
          <w:p>
            <w:r>
              <w:t xml:space="preserve">Up to 60% of the QIB Portion, which may be allocated by our Jimmie Franey,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specifiedmay be allocated to domestic Mutual Funds., in accordance with the SEBI ICDR Regulations</w:t>
            </w:r>
          </w:p>
        </w:tc>
      </w:tr>
      <w:tr>
        <w:tc>
          <w:tcPr>
            <w:tcW w:type="dxa" w:w="4500"/>
          </w:tcPr>
          <w:p>
            <w:r>
              <w:t xml:space="preserve">Application Supported by Blocked Amount/ ASBA</w:t>
            </w:r>
          </w:p>
        </w:tc>
        <w:tc>
          <w:tcPr>
            <w:tcW w:type="dxa" w:w="4500"/>
          </w:tcPr>
          <w:p>
            <w:r>
              <w:t xml:space="preserve">An application, whether physical or electronic, used by ASBA Bidders, to make a Bid and authorising an SCSB to block the Bid Amount in the relevant ASBA Account and will include applications made by UPI Bidders where the Bid Amount will be blocked upon acceptance of UPIMandate Request by the UPI Bidders</w:t>
            </w:r>
          </w:p>
        </w:tc>
      </w:tr>
      <w:tr>
        <w:tc>
          <w:tcPr>
            <w:tcW w:type="dxa" w:w="4500"/>
          </w:tcPr>
          <w:p>
            <w:r>
              <w:t xml:space="preserve">ASBA Account</w:t>
            </w:r>
          </w:p>
        </w:tc>
        <w:tc>
          <w:tcPr>
            <w:tcW w:type="dxa" w:w="4500"/>
          </w:tcPr>
          <w:p>
            <w:r>
              <w:t xml:space="preserve">A bank account maintained with an SCSB by an ASBA Bidder, as specified in the ASBA Form submitted by ASBA Bidders for blocking the Bid Amount mentioned in the relevant ASBA Form and includes the account of a UPI Bidder which is blocked upon acceptance of a UPI MandateRequest made by the UPI Bidder</w:t>
            </w:r>
          </w:p>
        </w:tc>
      </w:tr>
      <w:tr>
        <w:tc>
          <w:tcPr>
            <w:tcW w:type="dxa" w:w="4500"/>
          </w:tcPr>
          <w:p>
            <w:r>
              <w:t xml:space="preserve">ASBA Bidders</w:t>
            </w:r>
          </w:p>
        </w:tc>
        <w:tc>
          <w:tcPr>
            <w:tcW w:type="dxa" w:w="4500"/>
          </w:tcPr>
          <w:p>
            <w:r>
              <w:t xml:space="preserve">All Bidders except Anchor Investors</w:t>
            </w:r>
          </w:p>
        </w:tc>
      </w:tr>
      <w:tr>
        <w:tc>
          <w:tcPr>
            <w:tcW w:type="dxa" w:w="4500"/>
          </w:tcPr>
          <w:p>
            <w:r>
              <w:t xml:space="preserve">ASBA Form</w:t>
            </w:r>
          </w:p>
        </w:tc>
        <w:tc>
          <w:tcPr>
            <w:tcW w:type="dxa" w:w="4500"/>
          </w:tcPr>
          <w:p>
            <w:r>
              <w:t xml:space="preserve">An application form, whether physical or electronic, used by ASBA Bidders to submit Bids which will be considered as the application for Allotment in terms of this Red Herring Prospectus and the Prospectus</w:t>
            </w:r>
          </w:p>
        </w:tc>
      </w:tr>
      <w:tr>
        <w:tc>
          <w:tcPr>
            <w:tcW w:type="dxa" w:w="4500"/>
          </w:tcPr>
          <w:p>
            <w:r>
              <w:t xml:space="preserve">ASM</w:t>
            </w:r>
          </w:p>
        </w:tc>
        <w:tc>
          <w:tcPr>
            <w:tcW w:type="dxa" w:w="4500"/>
          </w:tcPr>
          <w:p>
            <w:r>
              <w:t xml:space="preserve">Additional Surveillance Measure</w:t>
            </w:r>
          </w:p>
        </w:tc>
      </w:tr>
      <w:tr>
        <w:tc>
          <w:tcPr>
            <w:tcW w:type="dxa" w:w="4500"/>
          </w:tcPr>
          <w:p>
            <w:r>
              <w:t xml:space="preserve">Bankers to the Offer</w:t>
            </w:r>
          </w:p>
        </w:tc>
        <w:tc>
          <w:tcPr>
            <w:tcW w:type="dxa" w:w="4500"/>
          </w:tcPr>
          <w:p>
            <w:r>
              <w:t xml:space="preserve">Collectively, the Escrow Collection Bank, the Refund Bank, the Public Offer Account Bank and the Sponsor Banks</w:t>
            </w:r>
          </w:p>
        </w:tc>
      </w:tr>
      <w:tr>
        <w:tc>
          <w:tcPr>
            <w:tcW w:type="dxa" w:w="4500"/>
          </w:tcPr>
          <w:p>
            <w:r>
              <w:t xml:space="preserve">Basis of Allotment</w:t>
            </w:r>
          </w:p>
        </w:tc>
        <w:tc>
          <w:tcPr>
            <w:tcW w:type="dxa" w:w="4500"/>
          </w:tcPr>
          <w:p>
            <w:r>
              <w:t xml:space="preserve">Basis on which Equity Shares will be Allotted to successful Bidders under the Offer, as described in “Offer Procedure” on page 420</w:t>
            </w:r>
          </w:p>
        </w:tc>
      </w:tr>
      <w:tr>
        <w:tc>
          <w:tcPr>
            <w:tcW w:type="dxa" w:w="4500"/>
          </w:tcPr>
          <w:p>
            <w:r>
              <w:t xml:space="preserve">Bid</w:t>
            </w:r>
          </w:p>
        </w:tc>
        <w:tc>
          <w:tcPr>
            <w:tcW w:type="dxa" w:w="4500"/>
          </w:tcPr>
          <w:p>
            <w:r>
              <w:t xml:space="preserve">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construedaccordingly</w:t>
            </w:r>
          </w:p>
        </w:tc>
      </w:tr>
      <w:tr>
        <w:tc>
          <w:tcPr>
            <w:tcW w:type="dxa" w:w="4500"/>
          </w:tcPr>
          <w:p>
            <w:r>
              <w:t xml:space="preserve">Bid Amount</w:t>
            </w:r>
          </w:p>
        </w:tc>
        <w:tc>
          <w:tcPr>
            <w:tcW w:type="dxa" w:w="4500"/>
          </w:tcPr>
          <w:p>
            <w:r>
              <w:t xml:space="preserve">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uponsubmission of the Bid in the Offer, as applicable</w:t>
            </w:r>
          </w:p>
        </w:tc>
      </w:tr>
      <w:tr>
        <w:tc>
          <w:tcPr>
            <w:tcW w:type="dxa" w:w="4500"/>
          </w:tcPr>
          <w:p>
            <w:r>
              <w:t xml:space="preserve">Bid cum Application Form</w:t>
            </w:r>
          </w:p>
        </w:tc>
        <w:tc>
          <w:tcPr>
            <w:tcW w:type="dxa" w:w="4500"/>
          </w:tcPr>
          <w:p>
            <w:r>
              <w:t xml:space="preserve">The Anchor Investor Application Form or the ASBA Form, as the context requires.</w:t>
            </w:r>
          </w:p>
        </w:tc>
      </w:tr>
      <w:tr>
        <w:tc>
          <w:tcPr>
            <w:tcW w:type="dxa" w:w="4500"/>
          </w:tcPr>
          <w:p>
            <w:r>
              <w:t xml:space="preserve">Bid Lot</w:t>
            </w:r>
          </w:p>
        </w:tc>
        <w:tc>
          <w:tcPr>
            <w:tcW w:type="dxa" w:w="4500"/>
          </w:tcPr>
          <w:p>
            <w:r>
              <w:t xml:space="preserve">[●] Equity Shares of face value of ₹5 each and in multiples of [●] Equity Shares of face value of₹5 each thereafter</w:t>
            </w:r>
          </w:p>
        </w:tc>
      </w:tr>
      <w:tr>
        <w:tc>
          <w:tcPr>
            <w:tcW w:type="dxa" w:w="4500"/>
          </w:tcPr>
          <w:p>
            <w:r>
              <w:t xml:space="preserve">Bid/Offer Closing Date</w:t>
            </w:r>
          </w:p>
        </w:tc>
        <w:tc>
          <w:tcPr>
            <w:tcW w:type="dxa" w:w="4500"/>
          </w:tcPr>
          <w:p>
            <w:r>
              <w:t xml:space="preserve">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Banks.Our Jimmie Franey,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anadvertisement in same newspapers in which the Bid/ Offer Opening Date was published, as required under the SEBI ICDR Regulations</w:t>
            </w:r>
          </w:p>
        </w:tc>
      </w:tr>
      <w:tr>
        <w:tc>
          <w:tcPr>
            <w:tcW w:type="dxa" w:w="4500"/>
          </w:tcPr>
          <w:p>
            <w:r>
              <w:t xml:space="preserve">Bid/Offer Opening Date</w:t>
            </w:r>
          </w:p>
        </w:tc>
        <w:tc>
          <w:tcPr>
            <w:tcW w:type="dxa" w:w="4500"/>
          </w:tcPr>
          <w:p>
            <w:r>
              <w:t xml:space="preserve">Except in relation to any Bids received from the Anchor Investors, the date on which the Designated Intermediaries shall start accepting Bids, being December 16, 2025, which shall be published in all editions of Financial Express (a widely circulated English national daily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newspaper), all editions of Jansatta (a widely circulated Hindi national daily newspaper), and Pune edition of Loksatta (a widely circulated Marathi daily newspaper, Marathi being the regionallanguage of Maharashtra, where our Registered Office is located)</w:t>
            </w:r>
          </w:p>
        </w:tc>
      </w:tr>
      <w:tr>
        <w:tc>
          <w:tcPr>
            <w:tcW w:type="dxa" w:w="4500"/>
          </w:tcPr>
          <w:p>
            <w:r>
              <w:t xml:space="preserve">Bid/ Offer Period</w:t>
            </w:r>
          </w:p>
        </w:tc>
        <w:tc>
          <w:tcPr>
            <w:tcW w:type="dxa" w:w="4500"/>
          </w:tcPr>
          <w:p>
            <w:r>
              <w:t xml:space="preserve">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InvestorsIn cases of force majeure, banking strike or similar unforeseen circumstances, our Jimmie Franey may, for reasons to be recorded in writing, extend the Bid/Offer Period for a minimum of one Working Day, subject to the Bid/Offer Period not exceeding 10 Working Days</w:t>
            </w:r>
          </w:p>
        </w:tc>
      </w:tr>
      <w:tr>
        <w:tc>
          <w:tcPr>
            <w:tcW w:type="dxa" w:w="4500"/>
          </w:tcPr>
          <w:p>
            <w:r>
              <w:t xml:space="preserve">Bidder</w:t>
            </w:r>
          </w:p>
        </w:tc>
        <w:tc>
          <w:tcPr>
            <w:tcW w:type="dxa" w:w="4500"/>
          </w:tcPr>
          <w:p>
            <w:r>
              <w:t xml:space="preserve">Any prospective investor who makes a Bid pursuant to the terms of this Red Herring Prospectusand the Bid cum Application Form and unless otherwise stated or implied, includes an Anchor Investor</w:t>
            </w:r>
          </w:p>
        </w:tc>
      </w:tr>
      <w:tr>
        <w:tc>
          <w:tcPr>
            <w:tcW w:type="dxa" w:w="4500"/>
          </w:tcPr>
          <w:p>
            <w:r>
              <w:t xml:space="preserve">Bidding Centres</w:t>
            </w:r>
          </w:p>
        </w:tc>
        <w:tc>
          <w:tcPr>
            <w:tcW w:type="dxa" w:w="4500"/>
          </w:tcPr>
          <w:p>
            <w:r>
              <w:t xml:space="preserve">Centres at which the Designated Intermediaries shall accept the ASBA Forms, i.e., DesignatedSCSB Branches for SCSBs, Specified Locations for Syndicate, Broker Centres for Registered Brokers, Designated RTA Locations for RTAs and Designated CDP Locations for CDPs</w:t>
            </w:r>
          </w:p>
        </w:tc>
      </w:tr>
      <w:tr>
        <w:tc>
          <w:tcPr>
            <w:tcW w:type="dxa" w:w="4500"/>
          </w:tcPr>
          <w:p>
            <w:r>
              <w:t xml:space="preserve">Book Building Process</w:t>
            </w:r>
          </w:p>
        </w:tc>
        <w:tc>
          <w:tcPr>
            <w:tcW w:type="dxa" w:w="4500"/>
          </w:tcPr>
          <w:p>
            <w:r>
              <w:t xml:space="preserve">Book building process, as provided in Schedule XIII of the SEBI ICDR Regulations, in terms of which the Offer is being made</w:t>
            </w:r>
          </w:p>
        </w:tc>
      </w:tr>
      <w:tr>
        <w:tc>
          <w:tcPr>
            <w:tcW w:type="dxa" w:w="4500"/>
          </w:tcPr>
          <w:p>
            <w:r>
              <w:t xml:space="preserve">Book	Running	Lead	Managers/ BRLMs/Managers</w:t>
            </w:r>
          </w:p>
        </w:tc>
        <w:tc>
          <w:tcPr>
            <w:tcW w:type="dxa" w:w="4500"/>
          </w:tcPr>
          <w:p>
            <w:r>
              <w:t xml:space="preserve">The book running lead managers to the Offer namely, Huel - Heidenreich Limited and Mueller and Sons Limited</w:t>
            </w:r>
          </w:p>
        </w:tc>
      </w:tr>
      <w:tr>
        <w:tc>
          <w:tcPr>
            <w:tcW w:type="dxa" w:w="4500"/>
          </w:tcPr>
          <w:p>
            <w:r>
              <w:t xml:space="preserve">Broker Centres</w:t>
            </w:r>
          </w:p>
        </w:tc>
        <w:tc>
          <w:tcPr>
            <w:tcW w:type="dxa" w:w="4500"/>
          </w:tcPr>
          <w:p>
            <w:r>
              <w:t xml:space="preserve">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StockExchanges (www.bseindia.com and www.nseindia.com)</w:t>
            </w:r>
          </w:p>
        </w:tc>
      </w:tr>
      <w:tr>
        <w:tc>
          <w:tcPr>
            <w:tcW w:type="dxa" w:w="4500"/>
          </w:tcPr>
          <w:p>
            <w:r>
              <w:t xml:space="preserve">CAN/ Confirmation of Allocation Note</w:t>
            </w:r>
          </w:p>
        </w:tc>
        <w:tc>
          <w:tcPr>
            <w:tcW w:type="dxa" w:w="4500"/>
          </w:tcPr>
          <w:p>
            <w:r>
              <w:t xml:space="preserve">Notice or intimation of allocation of the Equity Shares sent to Anchor Investors, who have been allocated the Equity Shares, on/after the Anchor Investor Bidding Date</w:t>
            </w:r>
          </w:p>
        </w:tc>
      </w:tr>
      <w:tr>
        <w:tc>
          <w:tcPr>
            <w:tcW w:type="dxa" w:w="4500"/>
          </w:tcPr>
          <w:p>
            <w:r>
              <w:t xml:space="preserve">Cap Price</w:t>
            </w:r>
          </w:p>
        </w:tc>
        <w:tc>
          <w:tcPr>
            <w:tcW w:type="dxa" w:w="4500"/>
          </w:tcPr>
          <w:p>
            <w:r>
              <w:t xml:space="preserve">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w:t>
            </w:r>
          </w:p>
        </w:tc>
      </w:tr>
      <w:tr>
        <w:tc>
          <w:tcPr>
            <w:tcW w:type="dxa" w:w="4500"/>
          </w:tcPr>
          <w:p>
            <w:r>
              <w:t xml:space="preserve">Cash Escrow and Sponsor Banks Agreement</w:t>
            </w:r>
          </w:p>
        </w:tc>
        <w:tc>
          <w:tcPr>
            <w:tcW w:type="dxa" w:w="4500"/>
          </w:tcPr>
          <w:p>
            <w:r>
              <w:t xml:space="preserve">Agreement dated December 9, 2025 entered into and amongst our Jimmie Franey, the Promoter Selling Shareholders, the Registrar to the Offer, the Book Running Lead Managers, the Syndicate Members and the Bankers to the Offer in accordance with UPI Circulars, for inter alia, the appointment of the Bankers to the Offer for the collection of the Bid Amounts from Anchor Investors, transfer of funds to the Public Offer Account and where applicable, refunds of theamounts collected from Bidders, on the terms and conditions thereof</w:t>
            </w:r>
          </w:p>
        </w:tc>
      </w:tr>
      <w:tr>
        <w:tc>
          <w:tcPr>
            <w:tcW w:type="dxa" w:w="4500"/>
          </w:tcPr>
          <w:p>
            <w:r>
              <w:t xml:space="preserve">Client ID</w:t>
            </w:r>
          </w:p>
        </w:tc>
        <w:tc>
          <w:tcPr>
            <w:tcW w:type="dxa" w:w="4500"/>
          </w:tcPr>
          <w:p>
            <w:r>
              <w:t xml:space="preserve">Client identification number maintained with one of the Depositories in relation to the Bidder’s beneficiary account</w:t>
            </w:r>
          </w:p>
        </w:tc>
      </w:tr>
      <w:tr>
        <w:tc>
          <w:tcPr>
            <w:tcW w:type="dxa" w:w="4500"/>
          </w:tcPr>
          <w:p>
            <w:r>
              <w:t xml:space="preserve">Collecting Depository Participant/ CDP</w:t>
            </w:r>
          </w:p>
        </w:tc>
        <w:tc>
          <w:tcPr>
            <w:tcW w:type="dxa" w:w="4500"/>
          </w:tcPr>
          <w:p>
            <w:r>
              <w:t xml:space="preserve">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StockExchanges at www.bseindia.com and www.nseindia.com, as updated from time to time</w:t>
            </w:r>
          </w:p>
        </w:tc>
      </w:tr>
      <w:tr>
        <w:tc>
          <w:tcPr>
            <w:tcW w:type="dxa" w:w="4500"/>
          </w:tcPr>
          <w:p>
            <w:r>
              <w:t xml:space="preserve">Cut-off Price</w:t>
            </w:r>
          </w:p>
        </w:tc>
        <w:tc>
          <w:tcPr>
            <w:tcW w:type="dxa" w:w="4500"/>
          </w:tcPr>
          <w:p>
            <w:r>
              <w:t xml:space="preserve">Offer Price, finalised by our Jimmie Franey, in consultation with the BRLMs, which shall be any price within the Price Band.Only Retail Individual Investors Bidding in the Retail Portion are entitled to Bid at the Cut-offPrice. QIBs (including Anchor Investors) and Non-Institutional Investors are not entitled to Bid at the Cut-off Price</w:t>
            </w:r>
          </w:p>
        </w:tc>
      </w:tr>
      <w:tr>
        <w:tc>
          <w:tcPr>
            <w:tcW w:type="dxa" w:w="4500"/>
          </w:tcPr>
          <w:p>
            <w:r>
              <w:t xml:space="preserve">Demographic Details</w:t>
            </w:r>
          </w:p>
        </w:tc>
        <w:tc>
          <w:tcPr>
            <w:tcW w:type="dxa" w:w="4500"/>
          </w:tcPr>
          <w:p>
            <w:r>
              <w:t xml:space="preserve">Details of the Bidders including the Bidder’s address, name of the Bidder’s father/husband, investor status, occupation and bank account details and UPI ID, where applicable</w:t>
            </w:r>
          </w:p>
        </w:tc>
      </w:tr>
      <w:tr>
        <w:tc>
          <w:tcPr>
            <w:tcW w:type="dxa" w:w="4500"/>
          </w:tcPr>
          <w:p>
            <w:r>
              <w:t xml:space="preserve">Designated CDP Locations</w:t>
            </w:r>
          </w:p>
        </w:tc>
        <w:tc>
          <w:tcPr>
            <w:tcW w:type="dxa" w:w="4500"/>
          </w:tcPr>
          <w:p>
            <w:r>
              <w:t xml:space="preserve">Such locations of the CDPs where Bidders (other than Anchor Investors) can submit the ASBA Forms. The details of such Designated CDP Locations, along with names and contact details of the Collecting Depository Participants eligible to accept ASBA Forms are available on therespective websites of the Stock Exchanges at www.bseindia.com and www.nseindia.com and updated from time to time</w:t>
            </w:r>
          </w:p>
        </w:tc>
      </w:tr>
      <w:tr>
        <w:tc>
          <w:tcPr>
            <w:tcW w:type="dxa" w:w="4500"/>
          </w:tcPr>
          <w:p>
            <w:r>
              <w:t xml:space="preserve">Designated Date</w:t>
            </w:r>
          </w:p>
        </w:tc>
        <w:tc>
          <w:tcPr>
            <w:tcW w:type="dxa" w:w="4500"/>
          </w:tcPr>
          <w:p>
            <w:r>
              <w:t xml:space="preserve">The date on which funds are transferred from the Escrow Accounts and the amounts blocked are transferred from the ASBA Accounts, as the case may be, to the Public Offer Account or the Refund Account, as appropriate, in terms of this Red Herring Prospectus and the Prospectus, afterfinalisation of the Basis of Allotment in consultation with the Designated Stock Exchange, following which Equity Shares may be Allotted to successful Bidders in the Offer</w:t>
            </w:r>
          </w:p>
        </w:tc>
      </w:tr>
      <w:tr>
        <w:tc>
          <w:tcPr>
            <w:tcW w:type="dxa" w:w="4500"/>
          </w:tcPr>
          <w:p>
            <w:r>
              <w:t xml:space="preserve">Designated Intermediaries</w:t>
            </w:r>
          </w:p>
        </w:tc>
        <w:tc>
          <w:tcPr>
            <w:tcW w:type="dxa" w:w="4500"/>
          </w:tcPr>
          <w:p>
            <w:r>
              <w:t xml:space="preserve">In relation to ASBA Forms submitted by UPI Bidders (not using the UPI Mechanism) authorizing an SCSB to block the Bid Amount in the ASBA Account, Designated Intermediaries shall mean SCSBs.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In relation to ASBA Forms submitted by UPI Bidders where the Bid Amount will be blocked upon acceptance of UPI Mandate Request by such UPI Bidders using the UPI Mechanism, Designated Intermediaries shall mean Syndicate, sub-syndicate, Registered Brokers, CDPs and RTAs.In relation to ASBA Forms submitted by QIBs and NIIs (not using the UPI Mechanism), Designated Intermediaries shall mean SCSBs, Syndicate, sub-Syndicate, Registered Brokers,CDPs and RTAs</w:t>
            </w:r>
          </w:p>
        </w:tc>
      </w:tr>
      <w:tr>
        <w:tc>
          <w:tcPr>
            <w:tcW w:type="dxa" w:w="4500"/>
          </w:tcPr>
          <w:p>
            <w:r>
              <w:t xml:space="preserve">Designated RTA Locations</w:t>
            </w:r>
          </w:p>
        </w:tc>
        <w:tc>
          <w:tcPr>
            <w:tcW w:type="dxa" w:w="4500"/>
          </w:tcPr>
          <w:p>
            <w:r>
              <w:t xml:space="preserve">Such centres of the RTAs where ASBA Bidders can submit the ASBA Forms (in case of UPI Bidder only ASBA Forms under UPI). The details of such Designated RTA Locations, along with the names and contact details of the RTAs are available on the respective websites of the StockExchanges at www.bseindia.com and www.nseindia.com and as updated from time to time</w:t>
            </w:r>
          </w:p>
        </w:tc>
      </w:tr>
      <w:tr>
        <w:tc>
          <w:tcPr>
            <w:tcW w:type="dxa" w:w="4500"/>
          </w:tcPr>
          <w:p>
            <w:r>
              <w:t xml:space="preserve">Designated SCSB Branches</w:t>
            </w:r>
          </w:p>
        </w:tc>
        <w:tc>
          <w:tcPr>
            <w:tcW w:type="dxa" w:w="4500"/>
          </w:tcPr>
          <w:p>
            <w:r>
              <w:t xml:space="preserve">Such branches of the SCSBs which shall collect the ASBA Forms, a list of which is available on the website of SEBI at www.sebi.gov.in/sebiweb/other/OtherAction.do?doRecognised=yes or atsuch other website as may be prescribed by SEBI from time to time</w:t>
            </w:r>
          </w:p>
        </w:tc>
      </w:tr>
      <w:tr>
        <w:tc>
          <w:tcPr>
            <w:tcW w:type="dxa" w:w="4500"/>
          </w:tcPr>
          <w:p>
            <w:r>
              <w:t xml:space="preserve">Designated Stock Exchange</w:t>
            </w:r>
          </w:p>
        </w:tc>
        <w:tc>
          <w:tcPr>
            <w:tcW w:type="dxa" w:w="4500"/>
          </w:tcPr>
          <w:p>
            <w:r>
              <w:t xml:space="preserve">BSE</w:t>
            </w:r>
          </w:p>
        </w:tc>
      </w:tr>
      <w:tr>
        <w:tc>
          <w:tcPr>
            <w:tcW w:type="dxa" w:w="4500"/>
          </w:tcPr>
          <w:p>
            <w:r>
              <w:t xml:space="preserve">Draft Red Herring Prospectus/ DRHP</w:t>
            </w:r>
          </w:p>
        </w:tc>
        <w:tc>
          <w:tcPr>
            <w:tcW w:type="dxa" w:w="4500"/>
          </w:tcPr>
          <w:p>
            <w:r>
              <w:t xml:space="preserve">The draft red herring prospectus dated May 22, 2025, issued in accordance with the SEBI ICDR Regulations, which did not contain complete particulars of the price at which the Equity Shareswill be Allotted and the size of the Offer</w:t>
            </w:r>
          </w:p>
        </w:tc>
      </w:tr>
      <w:tr>
        <w:tc>
          <w:tcPr>
            <w:tcW w:type="dxa" w:w="4500"/>
          </w:tcPr>
          <w:p>
            <w:r>
              <w:t xml:space="preserve">Eligible FPI(s)</w:t>
            </w:r>
          </w:p>
        </w:tc>
        <w:tc>
          <w:tcPr>
            <w:tcW w:type="dxa" w:w="4500"/>
          </w:tcPr>
          <w:p>
            <w:r>
              <w:t xml:space="preserve">FPIs that are eligible to participate in this Offer in terms of applicable laws</w:t>
            </w:r>
          </w:p>
        </w:tc>
      </w:tr>
      <w:tr>
        <w:tc>
          <w:tcPr>
            <w:tcW w:type="dxa" w:w="4500"/>
          </w:tcPr>
          <w:p>
            <w:r>
              <w:t xml:space="preserve">Eligible NRI(s)</w:t>
            </w:r>
          </w:p>
        </w:tc>
        <w:tc>
          <w:tcPr>
            <w:tcW w:type="dxa" w:w="4500"/>
          </w:tcPr>
          <w:p>
            <w:r>
              <w:t xml:space="preserve">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w:t>
            </w:r>
          </w:p>
        </w:tc>
      </w:tr>
      <w:tr>
        <w:tc>
          <w:tcPr>
            <w:tcW w:type="dxa" w:w="4500"/>
          </w:tcPr>
          <w:p>
            <w:r>
              <w:t xml:space="preserve">Escrow Accounts</w:t>
            </w:r>
          </w:p>
        </w:tc>
        <w:tc>
          <w:tcPr>
            <w:tcW w:type="dxa" w:w="4500"/>
          </w:tcPr>
          <w:p>
            <w:r>
              <w:t xml:space="preserve">Accounts opened with the Escrow Collection Bank and in whose favour Anchor Investors will transfer the money through direct credit/NEFT/RTGS/NACH in respect of the Bid Amount while submitting a Bid</w:t>
            </w:r>
          </w:p>
        </w:tc>
      </w:tr>
      <w:tr>
        <w:tc>
          <w:tcPr>
            <w:tcW w:type="dxa" w:w="4500"/>
          </w:tcPr>
          <w:p>
            <w:r>
              <w:t xml:space="preserve">Escrow Collection Bank</w:t>
            </w:r>
          </w:p>
        </w:tc>
        <w:tc>
          <w:tcPr>
            <w:tcW w:type="dxa" w:w="4500"/>
          </w:tcPr>
          <w:p>
            <w:r>
              <w:t xml:space="preserve">The bank, which is a clearing member registered with SEBI as banker to an issue under the SEBI BTI Regulations and with whom the Escrow Accounts have been opened, in this case being Kulas, Wuckert and Nader Limited</w:t>
            </w:r>
          </w:p>
        </w:tc>
      </w:tr>
      <w:tr>
        <w:tc>
          <w:tcPr>
            <w:tcW w:type="dxa" w:w="4500"/>
          </w:tcPr>
          <w:p>
            <w:r>
              <w:t xml:space="preserve">First Bidder</w:t>
            </w:r>
          </w:p>
        </w:tc>
        <w:tc>
          <w:tcPr>
            <w:tcW w:type="dxa" w:w="4500"/>
          </w:tcPr>
          <w:p>
            <w:r>
              <w:t xml:space="preserve">Bidder whose name shall be mentioned in the Bid cum Application Form or the Revision Form and in case of joint Bids, whose name shall also appear as the first holder of the beneficiary account held in joint names</w:t>
            </w:r>
          </w:p>
        </w:tc>
      </w:tr>
      <w:tr>
        <w:tc>
          <w:tcPr>
            <w:tcW w:type="dxa" w:w="4500"/>
          </w:tcPr>
          <w:p>
            <w:r>
              <w:t xml:space="preserve">Floor Price</w:t>
            </w:r>
          </w:p>
        </w:tc>
        <w:tc>
          <w:tcPr>
            <w:tcW w:type="dxa" w:w="4500"/>
          </w:tcPr>
          <w:p>
            <w:r>
              <w:t xml:space="preserve">The lower end of the Price Band, subject to any revision(s) thereto, at or above which the OfferPrice and the Anchor Investor Offer Price will be finalised and below which no Bids will be accepted</w:t>
            </w:r>
          </w:p>
        </w:tc>
      </w:tr>
      <w:tr>
        <w:tc>
          <w:tcPr>
            <w:tcW w:type="dxa" w:w="4500"/>
          </w:tcPr>
          <w:p>
            <w:r>
              <w:t xml:space="preserve">Fraudulent Borrower</w:t>
            </w:r>
          </w:p>
        </w:tc>
        <w:tc>
          <w:tcPr>
            <w:tcW w:type="dxa" w:w="4500"/>
          </w:tcPr>
          <w:p>
            <w:r>
              <w:t xml:space="preserve">Fraudulent borrower as defined under Regulation 2(1)(lll) of the SEBI ICDR Regulations</w:t>
            </w:r>
          </w:p>
        </w:tc>
      </w:tr>
      <w:tr>
        <w:tc>
          <w:tcPr>
            <w:tcW w:type="dxa" w:w="4500"/>
          </w:tcPr>
          <w:p>
            <w:r>
              <w:t xml:space="preserve">Fresh Issue</w:t>
            </w:r>
          </w:p>
        </w:tc>
        <w:tc>
          <w:tcPr>
            <w:tcW w:type="dxa" w:w="4500"/>
          </w:tcPr>
          <w:p>
            <w:r>
              <w:t xml:space="preserve">The fresh issue of up to [●] Equity Shares of face value of ₹5 each by our Jimmie Franey, at ₹[●] per Equity Share (including a premium of ₹[●] per Equity Share) aggregating up to ₹4,200.00 million. For information, see “The Offer” on page 67</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2012</w:t>
            </w:r>
          </w:p>
        </w:tc>
      </w:tr>
      <w:tr>
        <w:tc>
          <w:tcPr>
            <w:tcW w:type="dxa" w:w="4500"/>
          </w:tcPr>
          <w:p>
            <w:r>
              <w:t xml:space="preserve">General Information Document</w:t>
            </w:r>
          </w:p>
        </w:tc>
        <w:tc>
          <w:tcPr>
            <w:tcW w:type="dxa" w:w="4500"/>
          </w:tcPr>
          <w:p>
            <w:r>
              <w:t xml:space="preserve">The General Information Document for investing in public offers, prepared and issued in accordance with the SEBI circular (SEBI/HO/CFD/DIL1/CIR/P/2020/37) dated March 17, 2020,issued by SEBI, suitably modified and updated pursuant to, among others, the UPI Circulars and any subsequent circulars or notifications issued by SEBI from time to time</w:t>
            </w:r>
          </w:p>
        </w:tc>
      </w:tr>
      <w:tr>
        <w:tc>
          <w:tcPr>
            <w:tcW w:type="dxa" w:w="4500"/>
          </w:tcPr>
          <w:p>
            <w:r>
              <w:t xml:space="preserve">GSM</w:t>
            </w:r>
          </w:p>
        </w:tc>
        <w:tc>
          <w:tcPr>
            <w:tcW w:type="dxa" w:w="4500"/>
          </w:tcPr>
          <w:p>
            <w:r>
              <w:t xml:space="preserve">Graded Surveillance Measures</w:t>
            </w:r>
          </w:p>
        </w:tc>
      </w:tr>
      <w:tr>
        <w:tc>
          <w:tcPr>
            <w:tcW w:type="dxa" w:w="4500"/>
          </w:tcPr>
          <w:p>
            <w:r>
              <w:t xml:space="preserve">Gross Proceeds</w:t>
            </w:r>
          </w:p>
        </w:tc>
        <w:tc>
          <w:tcPr>
            <w:tcW w:type="dxa" w:w="4500"/>
          </w:tcPr>
          <w:p>
            <w:r>
              <w:t xml:space="preserve">The gross proceeds of the Fresh Issue</w:t>
            </w:r>
          </w:p>
        </w:tc>
      </w:tr>
      <w:tr>
        <w:tc>
          <w:tcPr>
            <w:tcW w:type="dxa" w:w="4500"/>
          </w:tcPr>
          <w:p>
            <w:r>
              <w:t xml:space="preserve">ICICI Securities</w:t>
            </w:r>
          </w:p>
        </w:tc>
        <w:tc>
          <w:tcPr>
            <w:tcW w:type="dxa" w:w="4500"/>
          </w:tcPr>
          <w:p>
            <w:r>
              <w:t xml:space="preserve">Mueller and Sons Limited</w:t>
            </w:r>
          </w:p>
        </w:tc>
      </w:tr>
      <w:tr>
        <w:tc>
          <w:tcPr>
            <w:tcW w:type="dxa" w:w="4500"/>
          </w:tcPr>
          <w:p>
            <w:r>
              <w:t xml:space="preserve">Life Insurance Companies</w:t>
            </w:r>
          </w:p>
        </w:tc>
        <w:tc>
          <w:tcPr>
            <w:tcW w:type="dxa" w:w="4500"/>
          </w:tcPr>
          <w:p>
            <w:r>
              <w:t xml:space="preserve">An entity registered with the Insurance Regulatory and Development Authority of India under the provisions of the Insurance Act, 1938</w:t>
            </w:r>
          </w:p>
        </w:tc>
      </w:tr>
      <w:tr>
        <w:tc>
          <w:tcPr>
            <w:tcW w:type="dxa" w:w="4500"/>
          </w:tcPr>
          <w:p>
            <w:r>
              <w:t xml:space="preserve">Monitoring Agency</w:t>
            </w:r>
          </w:p>
        </w:tc>
        <w:tc>
          <w:tcPr>
            <w:tcW w:type="dxa" w:w="4500"/>
          </w:tcPr>
          <w:p>
            <w:r>
              <w:t xml:space="preserve">The monitoring agency appointed pursuant to the Monitoring Agency Agreement, namely Champlin - Nitzsche Limited</w:t>
            </w:r>
          </w:p>
        </w:tc>
      </w:tr>
      <w:tr>
        <w:tc>
          <w:tcPr>
            <w:tcW w:type="dxa" w:w="4500"/>
          </w:tcPr>
          <w:p>
            <w:r>
              <w:t xml:space="preserve">Monitoring Agency Agreement</w:t>
            </w:r>
          </w:p>
        </w:tc>
        <w:tc>
          <w:tcPr>
            <w:tcW w:type="dxa" w:w="4500"/>
          </w:tcPr>
          <w:p>
            <w:r>
              <w:t xml:space="preserve">The agreement dated December 6, 2025 entered into between our Jimmie Franey and the Monitoring Agency prior to filing of this Red Herring Prospectus</w:t>
            </w:r>
          </w:p>
        </w:tc>
      </w:tr>
      <w:tr>
        <w:tc>
          <w:tcPr>
            <w:tcW w:type="dxa" w:w="4500"/>
          </w:tcPr>
          <w:p>
            <w:r>
              <w:t xml:space="preserve">Mutual Fund Portion</w:t>
            </w:r>
          </w:p>
        </w:tc>
        <w:tc>
          <w:tcPr>
            <w:tcW w:type="dxa" w:w="4500"/>
          </w:tcPr>
          <w:p>
            <w:r>
              <w:t xml:space="preserve">The portion of the Offer being 5% of the Net QIB Portion consisting of [●] Equity Shares of face value of ₹5 each which shall be available for allocation to Mutual Funds only on a proportionate basis, subject to valid Bids being received at or above the Offer Price</w:t>
            </w:r>
          </w:p>
        </w:tc>
      </w:tr>
      <w:tr>
        <w:tc>
          <w:tcPr>
            <w:tcW w:type="dxa" w:w="4500"/>
          </w:tcPr>
          <w:p>
            <w:r>
              <w:t xml:space="preserve">Mutual Funds</w:t>
            </w:r>
          </w:p>
        </w:tc>
        <w:tc>
          <w:tcPr>
            <w:tcW w:type="dxa" w:w="4500"/>
          </w:tcPr>
          <w:p>
            <w:r>
              <w:t xml:space="preserve">Mutual funds registered with SEBI under the SEBI Mutual Funds Regulations</w:t>
            </w:r>
          </w:p>
        </w:tc>
      </w:tr>
      <w:tr>
        <w:tc>
          <w:tcPr>
            <w:tcW w:type="dxa" w:w="4500"/>
          </w:tcPr>
          <w:p>
            <w:r>
              <w:t xml:space="preserve">Net Proceeds</w:t>
            </w:r>
          </w:p>
        </w:tc>
        <w:tc>
          <w:tcPr>
            <w:tcW w:type="dxa" w:w="4500"/>
          </w:tcPr>
          <w:p>
            <w:r>
              <w:t xml:space="preserve">The proceeds of the Fresh Issue less our Jimmie Franey’s share of the Offer related expenses. For details regarding the use of the Net Proceeds and the Offer related expenses, see “Objects of the Offer – Utilization of Net Proceeds” on page 107</w:t>
            </w:r>
          </w:p>
        </w:tc>
      </w:tr>
      <w:tr>
        <w:tc>
          <w:tcPr>
            <w:tcW w:type="dxa" w:w="4500"/>
          </w:tcPr>
          <w:p>
            <w:r>
              <w:t xml:space="preserve">Net QIB Portion</w:t>
            </w:r>
          </w:p>
        </w:tc>
        <w:tc>
          <w:tcPr>
            <w:tcW w:type="dxa" w:w="4500"/>
          </w:tcPr>
          <w:p>
            <w:r>
              <w:t xml:space="preserve">The portion of the QIB Portion less the number of Equity Shares Allotted to the Anchor Investors</w:t>
            </w:r>
          </w:p>
        </w:tc>
      </w:tr>
      <w:tr>
        <w:tc>
          <w:tcPr>
            <w:tcW w:type="dxa" w:w="4500"/>
          </w:tcPr>
          <w:p>
            <w:r>
              <w:t xml:space="preserve">Non-Institutional Investors/ NIIs</w:t>
            </w:r>
          </w:p>
        </w:tc>
        <w:tc>
          <w:tcPr>
            <w:tcW w:type="dxa" w:w="4500"/>
          </w:tcPr>
          <w:p>
            <w:r>
              <w:t xml:space="preserve">All Bidders that are not QIBs or Retail Individual Investors and who have Bid for Equity Shares for an amount more than ₹0.20 million (but not including NRIs other than Eligible NRIs)</w:t>
            </w:r>
          </w:p>
        </w:tc>
      </w:tr>
      <w:tr>
        <w:tc>
          <w:tcPr>
            <w:tcW w:type="dxa" w:w="4500"/>
          </w:tcPr>
          <w:p>
            <w:r>
              <w:t xml:space="preserve">Non-Institutional Portion</w:t>
            </w:r>
          </w:p>
        </w:tc>
        <w:tc>
          <w:tcPr>
            <w:tcW w:type="dxa" w:w="4500"/>
          </w:tcPr>
          <w:p>
            <w:r>
              <w:t xml:space="preserve">The portion of the Offer being not less than 15% of the Offer consisting of [●] Equity Shares of face value of ₹5 each which shall be available for allocation to Non-Institutional Investors, of which (a) one-third portion shall be reserved for applicants with application size of more than₹0.20 million and up to ₹1.00 million, and (b) two-thirds portion shall be reserved for applicants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with application size of more than ₹1.00 million, provided that the unsubscribed portion in either of such sub-categories may be allocated to applicants in the other sub-category of Non-Institutional Investors, subject to valid Bids being received at or above the Offer Price</w:t>
            </w:r>
          </w:p>
        </w:tc>
      </w:tr>
      <w:tr>
        <w:tc>
          <w:tcPr>
            <w:tcW w:type="dxa" w:w="4500"/>
          </w:tcPr>
          <w:p>
            <w:r>
              <w:t xml:space="preserve">Non-Resident</w:t>
            </w:r>
          </w:p>
        </w:tc>
        <w:tc>
          <w:tcPr>
            <w:tcW w:type="dxa" w:w="4500"/>
          </w:tcPr>
          <w:p>
            <w:r>
              <w:t xml:space="preserve">A person resident outside India, as defined under FEMA and includes NRIs, FPIs and FVCIs</w:t>
            </w:r>
          </w:p>
        </w:tc>
      </w:tr>
      <w:tr>
        <w:tc>
          <w:tcPr>
            <w:tcW w:type="dxa" w:w="4500"/>
          </w:tcPr>
          <w:p>
            <w:r>
              <w:t xml:space="preserve">Nuvama</w:t>
            </w:r>
          </w:p>
        </w:tc>
        <w:tc>
          <w:tcPr>
            <w:tcW w:type="dxa" w:w="4500"/>
          </w:tcPr>
          <w:p>
            <w:r>
              <w:t xml:space="preserve">Huel - Heidenreich Limited</w:t>
            </w:r>
          </w:p>
        </w:tc>
      </w:tr>
      <w:tr>
        <w:tc>
          <w:tcPr>
            <w:tcW w:type="dxa" w:w="4500"/>
          </w:tcPr>
          <w:p>
            <w:r>
              <w:t xml:space="preserve">Offer</w:t>
            </w:r>
          </w:p>
        </w:tc>
        <w:tc>
          <w:tcPr>
            <w:tcW w:type="dxa" w:w="4500"/>
          </w:tcPr>
          <w:p>
            <w:r>
              <w:t xml:space="preserve">The initial public offering of up to [●] Equity Shares of face value of ₹5 each for cash at a price of ₹[●] each (including a share premium of ₹[●] each), aggregating up to ₹7,100.00 million by our Jimmie Franey comprising a Fresh Issue of [●] Equity Shares of face value of ₹5 each aggregating up to ₹4,200.00 million, an Offer for Sale of up to [●] Equity Shares of face value of ₹5 eachaggregating to ₹2,900.00 million by the Promoter Selling Shareholders</w:t>
            </w:r>
          </w:p>
        </w:tc>
      </w:tr>
      <w:tr>
        <w:tc>
          <w:tcPr>
            <w:tcW w:type="dxa" w:w="4500"/>
          </w:tcPr>
          <w:p>
            <w:r>
              <w:t xml:space="preserve">Offer Agreement</w:t>
            </w:r>
          </w:p>
        </w:tc>
        <w:tc>
          <w:tcPr>
            <w:tcW w:type="dxa" w:w="4500"/>
          </w:tcPr>
          <w:p>
            <w:r>
              <w:t xml:space="preserve">The agreement dated May 22, 2025, amongst our Jimmie Franey, the Promoter Selling Shareholders and the BRLMs, pursuant to which certain arrangements are agreed to in relation to the Offer</w:t>
            </w:r>
          </w:p>
        </w:tc>
      </w:tr>
      <w:tr>
        <w:tc>
          <w:tcPr>
            <w:tcW w:type="dxa" w:w="4500"/>
          </w:tcPr>
          <w:p>
            <w:r>
              <w:t xml:space="preserve">Offer for Sale</w:t>
            </w:r>
          </w:p>
        </w:tc>
        <w:tc>
          <w:tcPr>
            <w:tcW w:type="dxa" w:w="4500"/>
          </w:tcPr>
          <w:p>
            <w:r>
              <w:t xml:space="preserve">The offer for sale component of the Offer of up to [●] Equity Shares of face value of ₹5 each aggregating up to ₹2,900.00 million, comprising of an offer for sale of up to [●] Equity Shares of face value of ₹5 each by Hope Shields aggregating up to ₹1,528.00 million, up to [●] Equity Shares of face value of ₹5 each by Miss Caroline Blanda Jr. aggregating up to ₹422.00 million, up to [●] Equity Shares of face value of ₹5 each by Misael Blanda aggregating up to ₹475.00 million and up to [●] Equity Shares of face value of ₹5 each by Rohit Kushal Hegdeaggregating up to ₹475.00 million</w:t>
            </w:r>
          </w:p>
        </w:tc>
      </w:tr>
      <w:tr>
        <w:tc>
          <w:tcPr>
            <w:tcW w:type="dxa" w:w="4500"/>
          </w:tcPr>
          <w:p>
            <w:r>
              <w:t xml:space="preserve">Offer Price</w:t>
            </w:r>
          </w:p>
        </w:tc>
        <w:tc>
          <w:tcPr>
            <w:tcW w:type="dxa" w:w="4500"/>
          </w:tcPr>
          <w:p>
            <w:r>
              <w:t xml:space="preserve">₹[●] per Equity Share, being the final price within the Price Band, at which Equity Shares will be Allotted to successful Bidders, other than Anchor Investors as determined in accordance with the Book Building Process and determined by our Jimmie Franey, in consultation with the Book Running Lead Managers, in terms of this Red Herring Prospectus on the Pricing Date. Equity Shares will be Allotted to Anchor Investors at the Anchor Investor Offer Price in terms of this Red Herring Prospectus.The Offer Price will be decided by our Jimmie Franey, in consultation with the BRLMs on the Pricing Date, in accordance with the Book Building Process and in terms of this Red Herring Prospectus</w:t>
            </w:r>
          </w:p>
        </w:tc>
      </w:tr>
      <w:tr>
        <w:tc>
          <w:tcPr>
            <w:tcW w:type="dxa" w:w="4500"/>
          </w:tcPr>
          <w:p>
            <w:r>
              <w:t xml:space="preserve">Offer Proceeds</w:t>
            </w:r>
          </w:p>
        </w:tc>
        <w:tc>
          <w:tcPr>
            <w:tcW w:type="dxa" w:w="4500"/>
          </w:tcPr>
          <w:p>
            <w:r>
              <w:t xml:space="preserve">The proceeds of the Fresh Issue which shall be available to our Jimmie Franey and the proceeds from the Offer for Sale which shall be available to the Promoter Selling Shareholders. For furtherinformation about use of the Offer Proceeds, please see section titled “Objects of the Offer” on page 106</w:t>
            </w:r>
          </w:p>
        </w:tc>
      </w:tr>
      <w:tr>
        <w:tc>
          <w:tcPr>
            <w:tcW w:type="dxa" w:w="4500"/>
          </w:tcPr>
          <w:p>
            <w:r>
              <w:t xml:space="preserve">Offered Shares</w:t>
            </w:r>
          </w:p>
        </w:tc>
        <w:tc>
          <w:tcPr>
            <w:tcW w:type="dxa" w:w="4500"/>
          </w:tcPr>
          <w:p>
            <w:r>
              <w:t xml:space="preserve">Up to [●] Equity Shares of face value of ₹5 each aggregating to ₹2,900.00 million being offered for sale by the Promoter Selling Shareholders in the Offer for Sale component of the Offer</w:t>
            </w:r>
          </w:p>
        </w:tc>
      </w:tr>
      <w:tr>
        <w:tc>
          <w:tcPr>
            <w:tcW w:type="dxa" w:w="4500"/>
          </w:tcPr>
          <w:p>
            <w:r>
              <w:t xml:space="preserve">Pension Fund</w:t>
            </w:r>
          </w:p>
        </w:tc>
        <w:tc>
          <w:tcPr>
            <w:tcW w:type="dxa" w:w="4500"/>
          </w:tcPr>
          <w:p>
            <w:r>
              <w:t xml:space="preserve">A fund registered with the Pension Fund Regulatory and Development Authority under theprovisions of the Pension Fund Regulatory and Development Authority Act, 2013</w:t>
            </w:r>
          </w:p>
        </w:tc>
      </w:tr>
      <w:tr>
        <w:tc>
          <w:tcPr>
            <w:tcW w:type="dxa" w:w="4500"/>
          </w:tcPr>
          <w:p>
            <w:r>
              <w:t xml:space="preserve">Price Band</w:t>
            </w:r>
          </w:p>
        </w:tc>
        <w:tc>
          <w:tcPr>
            <w:tcW w:type="dxa" w:w="4500"/>
          </w:tcPr>
          <w:p>
            <w:r>
              <w:t xml:space="preserve">Price band of a minimum price of ₹[●] per Equity Share (Floor Price) and the maximum price of₹[●] per Equity Share (Cap Price) including any revisions thereof. The Cap Price shall be at least 105% of the Floor Price and shall be less than or equal to 120% of the Floor Price. The Price Band and the minimum Bid Lot for the Offer will be decided by our Jimmie Franey,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thepurpose of uploading on their respective websites</w:t>
            </w:r>
          </w:p>
        </w:tc>
      </w:tr>
      <w:tr>
        <w:tc>
          <w:tcPr>
            <w:tcW w:type="dxa" w:w="4500"/>
          </w:tcPr>
          <w:p>
            <w:r>
              <w:t xml:space="preserve">Pricing Date</w:t>
            </w:r>
          </w:p>
        </w:tc>
        <w:tc>
          <w:tcPr>
            <w:tcW w:type="dxa" w:w="4500"/>
          </w:tcPr>
          <w:p>
            <w:r>
              <w:t xml:space="preserve">The date on which our Jimmie Franey, in consultation with the BRLMs, will finalise the Offer Price</w:t>
            </w:r>
          </w:p>
        </w:tc>
      </w:tr>
      <w:tr>
        <w:tc>
          <w:tcPr>
            <w:tcW w:type="dxa" w:w="4500"/>
          </w:tcPr>
          <w:p>
            <w:r>
              <w:t xml:space="preserve">Prospectus</w:t>
            </w:r>
          </w:p>
        </w:tc>
        <w:tc>
          <w:tcPr>
            <w:tcW w:type="dxa" w:w="4500"/>
          </w:tcPr>
          <w:p>
            <w:r>
              <w:t xml:space="preserve">The Prospectus to be filed with the RoC in accordance with the Companies Act, 2013, and the SEBI ICDR Regulations containing, inter alia, the Offer Price that is determined at the end of the Book Building Process, the size of the Offer and certain other information, including any addendaor corrigenda thereto</w:t>
            </w:r>
          </w:p>
        </w:tc>
      </w:tr>
      <w:tr>
        <w:tc>
          <w:tcPr>
            <w:tcW w:type="dxa" w:w="4500"/>
          </w:tcPr>
          <w:p>
            <w:r>
              <w:t xml:space="preserve">Public Offer Account Bank</w:t>
            </w:r>
          </w:p>
        </w:tc>
        <w:tc>
          <w:tcPr>
            <w:tcW w:type="dxa" w:w="4500"/>
          </w:tcPr>
          <w:p>
            <w:r>
              <w:t xml:space="preserve">The bank with which the Public Offer Account has been opened for collection of Bid Amounts from Escrow Accounts and ASBA Accounts on the Designated Date, in this case being Krajcik - Dicki Limited</w:t>
            </w:r>
          </w:p>
        </w:tc>
      </w:tr>
      <w:tr>
        <w:tc>
          <w:tcPr>
            <w:tcW w:type="dxa" w:w="4500"/>
          </w:tcPr>
          <w:p>
            <w:r>
              <w:t xml:space="preserve">Public Offer Account</w:t>
            </w:r>
          </w:p>
        </w:tc>
        <w:tc>
          <w:tcPr>
            <w:tcW w:type="dxa" w:w="4500"/>
          </w:tcPr>
          <w:p>
            <w:r>
              <w:t xml:space="preserve">Bank account opened with the Public Offer Account Bank under Section 40(3) of the Companies Act, 2013, to receive monies from the Escrow Accounts and ASBA Accounts on the Designated Date</w:t>
            </w:r>
          </w:p>
        </w:tc>
      </w:tr>
      <w:tr>
        <w:tc>
          <w:tcPr>
            <w:tcW w:type="dxa" w:w="4500"/>
          </w:tcPr>
          <w:p>
            <w:r>
              <w:t xml:space="preserve">QIB Portion</w:t>
            </w:r>
          </w:p>
        </w:tc>
        <w:tc>
          <w:tcPr>
            <w:tcW w:type="dxa" w:w="4500"/>
          </w:tcPr>
          <w:p>
            <w:r>
              <w:t xml:space="preserve">The category of the Offer (including the Anchor Investor Portion), being not more than 50% of the Offer, consisting of up to [●] Equity Shares of face value of ₹5 each aggregating to ₹[●] million, which shall be available for allocation to QIBs on a proportionate basis, including the Anchor Investor Portion (in which allocation shall be on a discretionary basis, as determined by our Jimmie Franey in consultation with the BRLMs subject to the provisions of the SEBI ICDRRegulations), subject to valid Bids being received at or above the Offer Price or the Anchor Investor Offer Price (for Anchor Investors)</w:t>
            </w:r>
          </w:p>
        </w:tc>
      </w:tr>
      <w:tr>
        <w:tc>
          <w:tcPr>
            <w:tcW w:type="dxa" w:w="4500"/>
          </w:tcPr>
          <w:p>
            <w:r>
              <w:t xml:space="preserve">Qualified	Institutional	Buyer(s)/ QIB(s)/ QIB Bidder(s)</w:t>
            </w:r>
          </w:p>
        </w:tc>
        <w:tc>
          <w:tcPr>
            <w:tcW w:type="dxa" w:w="4500"/>
          </w:tcPr>
          <w:p>
            <w:r>
              <w:t xml:space="preserve">Qualified institutional buyers as defined under Regulation 2(1)(ss) of the SEBI ICDR Regulations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Red Herring Prospectus/ RHP</w:t>
            </w:r>
          </w:p>
        </w:tc>
        <w:tc>
          <w:tcPr>
            <w:tcW w:type="dxa" w:w="4500"/>
          </w:tcPr>
          <w:p>
            <w:r>
              <w:t xml:space="preserve">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theretoThe Bid/Offer Opening Date is December 16, 2025, which is at least three Working Days after filing of this Red Herring Prospectus with the RoC. This Red Herring Prospectus will become theProspectus upon filing with the RoC after the Pricing Date, including any addenda or corrigenda thereto</w:t>
            </w:r>
          </w:p>
        </w:tc>
      </w:tr>
      <w:tr>
        <w:tc>
          <w:tcPr>
            <w:tcW w:type="dxa" w:w="4500"/>
          </w:tcPr>
          <w:p>
            <w:r>
              <w:t xml:space="preserve">Refund Account</w:t>
            </w:r>
          </w:p>
        </w:tc>
        <w:tc>
          <w:tcPr>
            <w:tcW w:type="dxa" w:w="4500"/>
          </w:tcPr>
          <w:p>
            <w:r>
              <w:t xml:space="preserve">The account opened with the Refund Bank, from which refunds, if any, of the whole or part of the Bid Amount to the Anchor Investors shall be made.</w:t>
            </w:r>
          </w:p>
        </w:tc>
      </w:tr>
      <w:tr>
        <w:tc>
          <w:tcPr>
            <w:tcW w:type="dxa" w:w="4500"/>
          </w:tcPr>
          <w:p>
            <w:r>
              <w:t xml:space="preserve">Refund Bank</w:t>
            </w:r>
          </w:p>
        </w:tc>
        <w:tc>
          <w:tcPr>
            <w:tcW w:type="dxa" w:w="4500"/>
          </w:tcPr>
          <w:p>
            <w:r>
              <w:t xml:space="preserve">The bank which is a clearing member registered with SEBI under the SEBI BTI Regulations with whom the Refund Account has been opened, in this case being Kulas, Wuckert and Nader Limited</w:t>
            </w:r>
          </w:p>
        </w:tc>
      </w:tr>
      <w:tr>
        <w:tc>
          <w:tcPr>
            <w:tcW w:type="dxa" w:w="4500"/>
          </w:tcPr>
          <w:p>
            <w:r>
              <w:t xml:space="preserve">Registered Brokers</w:t>
            </w:r>
          </w:p>
        </w:tc>
        <w:tc>
          <w:tcPr>
            <w:tcW w:type="dxa" w:w="4500"/>
          </w:tcPr>
          <w:p>
            <w:r>
              <w:t xml:space="preserve">Stockbrokers registered with the stock exchanges having nationwide terminals, other than the members of the Syndicate and eligible to procure Bids in terms of the SEBI ICDR Master Circular and the SEBI circular no. CIR/CFD/14/2012 dated October 4, 2012, and the UPI Circulars</w:t>
            </w:r>
          </w:p>
        </w:tc>
      </w:tr>
      <w:tr>
        <w:tc>
          <w:tcPr>
            <w:tcW w:type="dxa" w:w="4500"/>
          </w:tcPr>
          <w:p>
            <w:r>
              <w:t xml:space="preserve">RTAs/Registrar and Share Transfer Agents</w:t>
            </w:r>
          </w:p>
        </w:tc>
        <w:tc>
          <w:tcPr>
            <w:tcW w:type="dxa" w:w="4500"/>
          </w:tcPr>
          <w:p>
            <w:r>
              <w:t xml:space="preserve">The registrar and share transfer agents registered with SEBI and eligible to procure Bids at theDesignated RTA Locations as per the list available on the websites of BSE and NSE, and the UPI Circulars</w:t>
            </w:r>
          </w:p>
        </w:tc>
      </w:tr>
      <w:tr>
        <w:tc>
          <w:tcPr>
            <w:tcW w:type="dxa" w:w="4500"/>
          </w:tcPr>
          <w:p>
            <w:r>
              <w:t xml:space="preserve">Registrar Agreement</w:t>
            </w:r>
          </w:p>
        </w:tc>
        <w:tc>
          <w:tcPr>
            <w:tcW w:type="dxa" w:w="4500"/>
          </w:tcPr>
          <w:p>
            <w:r>
              <w:t xml:space="preserve">The agreement dated May 22, 2025 between our Jimmie Franey, the Promoter Selling Shareholders and the Registrar to the Offer in relation to the responsibilities and obligations of the Registrar to the Offer pertaining to the Offer</w:t>
            </w:r>
          </w:p>
        </w:tc>
      </w:tr>
      <w:tr>
        <w:tc>
          <w:tcPr>
            <w:tcW w:type="dxa" w:w="4500"/>
          </w:tcPr>
          <w:p>
            <w:r>
              <w:t xml:space="preserve">Registrar to the Offer</w:t>
            </w:r>
          </w:p>
        </w:tc>
        <w:tc>
          <w:tcPr>
            <w:tcW w:type="dxa" w:w="4500"/>
          </w:tcPr>
          <w:p>
            <w:r>
              <w:t xml:space="preserve">Hayes, Treutel and Nitzsche Limited (Moen - Olson Limited)</w:t>
            </w:r>
          </w:p>
        </w:tc>
      </w:tr>
      <w:tr>
        <w:tc>
          <w:tcPr>
            <w:tcW w:type="dxa" w:w="4500"/>
          </w:tcPr>
          <w:p>
            <w:r>
              <w:t xml:space="preserve">Retail Individual Investors(s)/ RII(s)</w:t>
            </w:r>
          </w:p>
        </w:tc>
        <w:tc>
          <w:tcPr>
            <w:tcW w:type="dxa" w:w="4500"/>
          </w:tcPr>
          <w:p>
            <w:r>
              <w:t xml:space="preserve">Individual Bidders, who have Bid for the Equity Shares for an amount not more than ₹0.20 million in any of the bidding options in the Offer (including HUFs applying through their Karta and Eligible NRIs and does not include NRIs other than Eligible NRIs)</w:t>
            </w:r>
          </w:p>
        </w:tc>
      </w:tr>
      <w:tr>
        <w:tc>
          <w:tcPr>
            <w:tcW w:type="dxa" w:w="4500"/>
          </w:tcPr>
          <w:p>
            <w:r>
              <w:t xml:space="preserve">Retail Portion</w:t>
            </w:r>
          </w:p>
        </w:tc>
        <w:tc>
          <w:tcPr>
            <w:tcW w:type="dxa" w:w="4500"/>
          </w:tcPr>
          <w:p>
            <w:r>
              <w:t xml:space="preserve">The portion of the Offer being not less than 35% of the Offer consisting of [●] Equity Shares of face value of ₹5 each, available for allocation to Retail Individual Investors as per the SEBI ICDR Regulations, subject to valid Bids being received at or above the Offer Price</w:t>
            </w:r>
          </w:p>
        </w:tc>
      </w:tr>
      <w:tr>
        <w:tc>
          <w:tcPr>
            <w:tcW w:type="dxa" w:w="4500"/>
          </w:tcPr>
          <w:p>
            <w:r>
              <w:t xml:space="preserve">Revision Form</w:t>
            </w:r>
          </w:p>
        </w:tc>
        <w:tc>
          <w:tcPr>
            <w:tcW w:type="dxa" w:w="4500"/>
          </w:tcPr>
          <w:p>
            <w:r>
              <w:t xml:space="preserve">Form used by the Bidders to modify the quantity of the Equity Shares or the Bid Amount in any of their ASBA Form(s) or any previous Revision Form(s)QIB Bidders and Non-Institutional Investors are not allowed to withdraw or lower their Bids (in terms of quantity of Equity Shares or the Bid Amount) at any stage. Retail Individual Investorscan revise their Bids during the Bid/Offer Period and withdraw their Bids until Bid/Offer Closing Date</w:t>
            </w:r>
          </w:p>
        </w:tc>
      </w:tr>
      <w:tr>
        <w:tc>
          <w:tcPr>
            <w:tcW w:type="dxa" w:w="4500"/>
          </w:tcPr>
          <w:p>
            <w:r>
              <w:t xml:space="preserve">SCORES</w:t>
            </w:r>
          </w:p>
        </w:tc>
        <w:tc>
          <w:tcPr>
            <w:tcW w:type="dxa" w:w="4500"/>
          </w:tcPr>
          <w:p>
            <w:r>
              <w:t xml:space="preserve">SEBI Complaints Redressal Mechanism</w:t>
            </w:r>
          </w:p>
        </w:tc>
      </w:tr>
      <w:tr>
        <w:tc>
          <w:tcPr>
            <w:tcW w:type="dxa" w:w="4500"/>
          </w:tcPr>
          <w:p>
            <w:r>
              <w:t xml:space="preserve">Self-Certified	Syndicate	Bank(s)/ SCSB(s)</w:t>
            </w:r>
          </w:p>
        </w:tc>
        <w:tc>
          <w:tcPr>
            <w:tcW w:type="dxa" w:w="4500"/>
          </w:tcPr>
          <w:p>
            <w:r>
              <w:t xml:space="preserve">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andThe banks registered with SEBI, enabled for UPI Mechanism, a list of which is available on the		website	of	SEBI	atwww.sebi.gov.in/sebiweb/other/OtherAction.do?doRecognisedFpi=yes&amp;intmId=40	or	such other website as updated from time to time</w:t>
            </w:r>
          </w:p>
        </w:tc>
      </w:tr>
      <w:tr>
        <w:tc>
          <w:tcPr>
            <w:tcW w:type="dxa" w:w="4500"/>
          </w:tcPr>
          <w:p>
            <w:r>
              <w:t xml:space="preserve">Share Escrow Agent</w:t>
            </w:r>
          </w:p>
        </w:tc>
        <w:tc>
          <w:tcPr>
            <w:tcW w:type="dxa" w:w="4500"/>
          </w:tcPr>
          <w:p>
            <w:r>
              <w:t xml:space="preserve">The share escrow agent appointed pursuant to the Share Escrow Agreement, namely, Hayes, Treutel and Nitzsche Limited (Moen - Olson Limited)</w:t>
            </w:r>
          </w:p>
        </w:tc>
      </w:tr>
      <w:tr>
        <w:tc>
          <w:tcPr>
            <w:tcW w:type="dxa" w:w="4500"/>
          </w:tcPr>
          <w:p>
            <w:r>
              <w:t xml:space="preserve">Share Escrow Agreement</w:t>
            </w:r>
          </w:p>
        </w:tc>
        <w:tc>
          <w:tcPr>
            <w:tcW w:type="dxa" w:w="4500"/>
          </w:tcPr>
          <w:p>
            <w:r>
              <w:t xml:space="preserve">The agreement dated December 6, 2025 entered into between our Jimmie Franey, the Promoter Selling Shareholders and the Share Escrow Agent in connection with the transfer of the respective portion of Equity Shares being offered by each Promoter Selling Shareholder in the Offer for Sale portionof the Offer and credit of such Equity Shares to the demat account of the Allottees in accordance with the Basis of Allotment</w:t>
            </w:r>
          </w:p>
        </w:tc>
      </w:tr>
      <w:tr>
        <w:tc>
          <w:tcPr>
            <w:tcW w:type="dxa" w:w="4500"/>
          </w:tcPr>
          <w:p>
            <w:r>
              <w:t xml:space="preserve">Specified Locations</w:t>
            </w:r>
          </w:p>
        </w:tc>
        <w:tc>
          <w:tcPr>
            <w:tcW w:type="dxa" w:w="4500"/>
          </w:tcPr>
          <w:p>
            <w:r>
              <w:t xml:space="preserve">Bidding centres where the Syndicate shall accept ASBA Forms from Bidders, a list of which will be included in the Bid cum Application Form</w:t>
            </w:r>
          </w:p>
        </w:tc>
      </w:tr>
      <w:tr>
        <w:tc>
          <w:tcPr>
            <w:tcW w:type="dxa" w:w="4500"/>
          </w:tcPr>
          <w:p>
            <w:r>
              <w:t xml:space="preserve">Sponsor Banks</w:t>
            </w:r>
          </w:p>
        </w:tc>
        <w:tc>
          <w:tcPr>
            <w:tcW w:type="dxa" w:w="4500"/>
          </w:tcPr>
          <w:p>
            <w:r>
              <w:t xml:space="preserve">The Bankers to the Offer registered with SEBI, which have been appointed by our Jimmie Franey to act as a conduit between the Stock Exchanges and NPCI in order to push the UPI Mandate Requestand/or payment instructions of the UPI Bidders using the UPI and carry out other responsibilities, in terms of the UPI Circulars, in this case being Kulas, Wuckert and Nader Limited and Krajcik - Dicki Limited</w:t>
            </w:r>
          </w:p>
        </w:tc>
      </w:tr>
      <w:tr>
        <w:tc>
          <w:tcPr>
            <w:tcW w:type="dxa" w:w="4500"/>
          </w:tcPr>
          <w:p>
            <w:r>
              <w:t xml:space="preserve">Stock Exchanges</w:t>
            </w:r>
          </w:p>
        </w:tc>
        <w:tc>
          <w:tcPr>
            <w:tcW w:type="dxa" w:w="4500"/>
          </w:tcPr>
          <w:p>
            <w:r>
              <w:t xml:space="preserve">Collectively, Greenfelder, Schowalter and Schneider Limited and National Stock Exchange of Schoen - Brown Limited</w:t>
            </w:r>
          </w:p>
        </w:tc>
      </w:tr>
      <w:tr>
        <w:tc>
          <w:tcPr>
            <w:tcW w:type="dxa" w:w="4500"/>
          </w:tcPr>
          <w:p>
            <w:r>
              <w:t xml:space="preserve">STT</w:t>
            </w:r>
          </w:p>
        </w:tc>
        <w:tc>
          <w:tcPr>
            <w:tcW w:type="dxa" w:w="4500"/>
          </w:tcPr>
          <w:p>
            <w:r>
              <w:t xml:space="preserve">Securities transaction tax</w:t>
            </w:r>
          </w:p>
        </w:tc>
      </w:tr>
      <w:tr>
        <w:tc>
          <w:tcPr>
            <w:tcW w:type="dxa" w:w="4500"/>
          </w:tcPr>
          <w:p>
            <w:r>
              <w:t xml:space="preserve">Syndicate Agreement</w:t>
            </w:r>
          </w:p>
        </w:tc>
        <w:tc>
          <w:tcPr>
            <w:tcW w:type="dxa" w:w="4500"/>
          </w:tcPr>
          <w:p>
            <w:r>
              <w:t xml:space="preserve">Agreement dated December 9, 2025, entered into and amongst our Jimmie Franey, the Promoter SellingShareholders, the BRLMs, the Syndicate Members and the Registrar to the Offer in relation to collection of Bid cum Application Forms by Syndicate</w:t>
            </w:r>
          </w:p>
        </w:tc>
      </w:tr>
      <w:tr>
        <w:tc>
          <w:tcPr>
            <w:tcW w:type="dxa" w:w="4500"/>
          </w:tcPr>
          <w:p>
            <w:r>
              <w:t xml:space="preserve">Syndicate Members</w:t>
            </w:r>
          </w:p>
        </w:tc>
        <w:tc>
          <w:tcPr>
            <w:tcW w:type="dxa" w:w="4500"/>
          </w:tcPr>
          <w:p>
            <w:r>
              <w:t xml:space="preserve">Intermediaries (other than the BRLMs) registered with SEBI who are permitted to accept bids, applications and place order with respect to the Offer and carry out activities as an underwriter,namely, Huel - Heidenreich Limited and Mueller and Sons Limited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Syndicate/Members of the Syndicate</w:t>
            </w:r>
          </w:p>
        </w:tc>
        <w:tc>
          <w:tcPr>
            <w:tcW w:type="dxa" w:w="4500"/>
          </w:tcPr>
          <w:p>
            <w:r>
              <w:t xml:space="preserve">Together, the BRLMs and the Syndicate Members</w:t>
            </w:r>
          </w:p>
        </w:tc>
      </w:tr>
      <w:tr>
        <w:tc>
          <w:tcPr>
            <w:tcW w:type="dxa" w:w="4500"/>
          </w:tcPr>
          <w:p>
            <w:r>
              <w:t xml:space="preserve">Systemically Important Non-Dare - Koelpin Limited/ NBFC-SI</w:t>
            </w:r>
          </w:p>
        </w:tc>
        <w:tc>
          <w:tcPr>
            <w:tcW w:type="dxa" w:w="4500"/>
          </w:tcPr>
          <w:p>
            <w:r>
              <w:t xml:space="preserve">Systemically important non-banking financial Jimmie Franey as defined under Regulation 2(1)(iii) of the SEBI ICDR Regulations</w:t>
            </w:r>
          </w:p>
        </w:tc>
      </w:tr>
      <w:tr>
        <w:tc>
          <w:tcPr>
            <w:tcW w:type="dxa" w:w="4500"/>
          </w:tcPr>
          <w:p>
            <w:r>
              <w:t xml:space="preserve">Underwriters</w:t>
            </w:r>
          </w:p>
        </w:tc>
        <w:tc>
          <w:tcPr>
            <w:tcW w:type="dxa" w:w="4500"/>
          </w:tcPr>
          <w:p>
            <w:r>
              <w:t xml:space="preserve">[●]</w:t>
            </w:r>
          </w:p>
        </w:tc>
      </w:tr>
      <w:tr>
        <w:tc>
          <w:tcPr>
            <w:tcW w:type="dxa" w:w="4500"/>
          </w:tcPr>
          <w:p>
            <w:r>
              <w:t xml:space="preserve">Underwriting Agreement</w:t>
            </w:r>
          </w:p>
        </w:tc>
        <w:tc>
          <w:tcPr>
            <w:tcW w:type="dxa" w:w="4500"/>
          </w:tcPr>
          <w:p>
            <w:r>
              <w:t xml:space="preserve">The agreement among the Underwriters, the Promoter Selling Shareholders and our Jimmie Franey to be entered into on or after the Pricing Date, but prior to filing of the Prospectus with the RoC</w:t>
            </w:r>
          </w:p>
        </w:tc>
      </w:tr>
      <w:tr>
        <w:tc>
          <w:tcPr>
            <w:tcW w:type="dxa" w:w="4500"/>
          </w:tcPr>
          <w:p>
            <w:r>
              <w:t xml:space="preserve">UPI</w:t>
            </w:r>
          </w:p>
        </w:tc>
        <w:tc>
          <w:tcPr>
            <w:tcW w:type="dxa" w:w="4500"/>
          </w:tcPr>
          <w:p>
            <w:r>
              <w:t xml:space="preserve">Unified Payments Interface, which is an instant payment mechanism, developed by NPCI</w:t>
            </w:r>
          </w:p>
        </w:tc>
      </w:tr>
      <w:tr>
        <w:tc>
          <w:tcPr>
            <w:tcW w:type="dxa" w:w="4500"/>
          </w:tcPr>
          <w:p>
            <w:r>
              <w:t xml:space="preserve">UPI Bidder(s)</w:t>
            </w:r>
          </w:p>
        </w:tc>
        <w:tc>
          <w:tcPr>
            <w:tcW w:type="dxa" w:w="4500"/>
          </w:tcPr>
          <w:p>
            <w:r>
              <w:t xml:space="preserve">Collectively, individual investors applying as Retail Individual Investors in the Retail Portion and individuals applying as Non-Institutional Investors with a Bid Amount of up to ₹0.50 million in the Non-Institutional Portion.Pursuant to the SEBI ICDR Master Circular,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eligiblefor such activity)</w:t>
            </w:r>
          </w:p>
        </w:tc>
      </w:tr>
      <w:tr>
        <w:tc>
          <w:tcPr>
            <w:tcW w:type="dxa" w:w="4500"/>
          </w:tcPr>
          <w:p>
            <w:r>
              <w:t xml:space="preserve">UPI Circulars</w:t>
            </w:r>
          </w:p>
        </w:tc>
        <w:tc>
          <w:tcPr>
            <w:tcW w:type="dxa" w:w="4500"/>
          </w:tcPr>
          <w:p>
            <w:r>
              <w:t xml:space="preserve">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subsequentcirculars or notifications issued by SEBI or Stock Exchanges in this regard from time to time</w:t>
            </w:r>
          </w:p>
        </w:tc>
      </w:tr>
      <w:tr>
        <w:tc>
          <w:tcPr>
            <w:tcW w:type="dxa" w:w="4500"/>
          </w:tcPr>
          <w:p>
            <w:r>
              <w:t xml:space="preserve">UPI ID</w:t>
            </w:r>
          </w:p>
        </w:tc>
        <w:tc>
          <w:tcPr>
            <w:tcW w:type="dxa" w:w="4500"/>
          </w:tcPr>
          <w:p>
            <w:r>
              <w:t xml:space="preserve">ID created on UPI for single-window mobile payment system developed by the NPCI</w:t>
            </w:r>
          </w:p>
        </w:tc>
      </w:tr>
      <w:tr>
        <w:tc>
          <w:tcPr>
            <w:tcW w:type="dxa" w:w="4500"/>
          </w:tcPr>
          <w:p>
            <w:r>
              <w:t xml:space="preserve">UPI Mandate Request</w:t>
            </w:r>
          </w:p>
        </w:tc>
        <w:tc>
          <w:tcPr>
            <w:tcW w:type="dxa" w:w="4500"/>
          </w:tcPr>
          <w:p>
            <w:r>
              <w:t xml:space="preserve">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offunds in case of Allotment</w:t>
            </w:r>
          </w:p>
        </w:tc>
      </w:tr>
      <w:tr>
        <w:tc>
          <w:tcPr>
            <w:tcW w:type="dxa" w:w="4500"/>
          </w:tcPr>
          <w:p>
            <w:r>
              <w:t xml:space="preserve">UPI Mechanism</w:t>
            </w:r>
          </w:p>
        </w:tc>
        <w:tc>
          <w:tcPr>
            <w:tcW w:type="dxa" w:w="4500"/>
          </w:tcPr>
          <w:p>
            <w:r>
              <w:t xml:space="preserve">The Bidding mechanism that may be used by UPI Bidders to make Bids in the Offer in accordance with UPI Circulars</w:t>
            </w:r>
          </w:p>
        </w:tc>
      </w:tr>
      <w:tr>
        <w:tc>
          <w:tcPr>
            <w:tcW w:type="dxa" w:w="4500"/>
          </w:tcPr>
          <w:p>
            <w:r>
              <w:t xml:space="preserve">UPI PIN</w:t>
            </w:r>
          </w:p>
        </w:tc>
        <w:tc>
          <w:tcPr>
            <w:tcW w:type="dxa" w:w="4500"/>
          </w:tcPr>
          <w:p>
            <w:r>
              <w:t xml:space="preserve">Password to authenticate UPI transaction</w:t>
            </w:r>
          </w:p>
        </w:tc>
      </w:tr>
      <w:tr>
        <w:tc>
          <w:tcPr>
            <w:tcW w:type="dxa" w:w="4500"/>
          </w:tcPr>
          <w:p>
            <w:r>
              <w:t xml:space="preserve">Wilful Defaulter</w:t>
            </w:r>
          </w:p>
        </w:tc>
        <w:tc>
          <w:tcPr>
            <w:tcW w:type="dxa" w:w="4500"/>
          </w:tcPr>
          <w:p>
            <w:r>
              <w:t xml:space="preserve">Wilful defaulter as defined under Regulation 2(1)(lll) of the SEBI ICDR Regulations</w:t>
            </w:r>
          </w:p>
        </w:tc>
      </w:tr>
      <w:tr>
        <w:tc>
          <w:tcPr>
            <w:tcW w:type="dxa" w:w="4500"/>
          </w:tcPr>
          <w:p>
            <w:r>
              <w:t xml:space="preserve">Working Day</w:t>
            </w:r>
          </w:p>
        </w:tc>
        <w:tc>
          <w:tcPr>
            <w:tcW w:type="dxa" w:w="4500"/>
          </w:tcPr>
          <w:p>
            <w:r>
              <w:t xml:space="preserve">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inaccordance with circulars issued by SEBI, including UPI Circulars</w:t>
            </w:r>
          </w:p>
        </w:tc>
      </w:tr>
    </w:tbl>
    <w:p/>
    <w:p>
      <w:pPr>
        <w:pStyle w:val="Heading3"/>
      </w:pPr>
      <w:r>
        <w:t xml:space="preserve">Conventional and General Terms and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AIF</w:t>
            </w:r>
          </w:p>
        </w:tc>
        <w:tc>
          <w:tcPr>
            <w:tcW w:type="dxa" w:w="4500"/>
          </w:tcPr>
          <w:p>
            <w:r>
              <w:t xml:space="preserve">Alternate Investment Fund</w:t>
            </w:r>
          </w:p>
        </w:tc>
      </w:tr>
      <w:tr>
        <w:tc>
          <w:tcPr>
            <w:tcW w:type="dxa" w:w="4500"/>
          </w:tcPr>
          <w:p>
            <w:r>
              <w:t xml:space="preserve">A.Y.</w:t>
            </w:r>
          </w:p>
        </w:tc>
        <w:tc>
          <w:tcPr>
            <w:tcW w:type="dxa" w:w="4500"/>
          </w:tcPr>
          <w:p>
            <w:r>
              <w:t xml:space="preserve">Assessment year</w:t>
            </w:r>
          </w:p>
        </w:tc>
      </w:tr>
      <w:tr>
        <w:tc>
          <w:tcPr>
            <w:tcW w:type="dxa" w:w="4500"/>
          </w:tcPr>
          <w:p>
            <w:r>
              <w:t xml:space="preserve">BSE</w:t>
            </w:r>
          </w:p>
        </w:tc>
        <w:tc>
          <w:tcPr>
            <w:tcW w:type="dxa" w:w="4500"/>
          </w:tcPr>
          <w:p>
            <w:r>
              <w:t xml:space="preserve">Greenfelder, Schowalter and Schneider Limited</w:t>
            </w:r>
          </w:p>
        </w:tc>
      </w:tr>
      <w:tr>
        <w:tc>
          <w:tcPr>
            <w:tcW w:type="dxa" w:w="4500"/>
          </w:tcPr>
          <w:p>
            <w:r>
              <w:t xml:space="preserve">Calendar Year or year</w:t>
            </w:r>
          </w:p>
        </w:tc>
        <w:tc>
          <w:tcPr>
            <w:tcW w:type="dxa" w:w="4500"/>
          </w:tcPr>
          <w:p>
            <w:r>
              <w:t xml:space="preserve">Unless the context otherwise requires, shall refer to the twelve-month period ending December 31</w:t>
            </w:r>
          </w:p>
        </w:tc>
      </w:tr>
      <w:tr>
        <w:tc>
          <w:tcPr>
            <w:tcW w:type="dxa" w:w="4500"/>
          </w:tcPr>
          <w:p>
            <w:r>
              <w:t xml:space="preserve">Category I AIF</w:t>
            </w:r>
          </w:p>
        </w:tc>
        <w:tc>
          <w:tcPr>
            <w:tcW w:type="dxa" w:w="4500"/>
          </w:tcPr>
          <w:p>
            <w:r>
              <w:t xml:space="preserve">AIFs registered as “Category I alternative investment funds” under the SEBI AIF Regulations</w:t>
            </w:r>
          </w:p>
        </w:tc>
      </w:tr>
      <w:tr>
        <w:tc>
          <w:tcPr>
            <w:tcW w:type="dxa" w:w="4500"/>
          </w:tcPr>
          <w:p>
            <w:r>
              <w:t xml:space="preserve">Category I FPIs</w:t>
            </w:r>
          </w:p>
        </w:tc>
        <w:tc>
          <w:tcPr>
            <w:tcW w:type="dxa" w:w="4500"/>
          </w:tcPr>
          <w:p>
            <w:r>
              <w:t xml:space="preserve">FPIs registered as “Category I foreign portfolio investors” under the SEBI FPI Regulations</w:t>
            </w:r>
          </w:p>
        </w:tc>
      </w:tr>
      <w:tr>
        <w:tc>
          <w:tcPr>
            <w:tcW w:type="dxa" w:w="4500"/>
          </w:tcPr>
          <w:p>
            <w:r>
              <w:t xml:space="preserve">Category II AIF</w:t>
            </w:r>
          </w:p>
        </w:tc>
        <w:tc>
          <w:tcPr>
            <w:tcW w:type="dxa" w:w="4500"/>
          </w:tcPr>
          <w:p>
            <w:r>
              <w:t xml:space="preserve">AIFs registered as “Category II alternative investment funds” under the SEBI AIF Regulations</w:t>
            </w:r>
          </w:p>
        </w:tc>
      </w:tr>
      <w:tr>
        <w:tc>
          <w:tcPr>
            <w:tcW w:type="dxa" w:w="4500"/>
          </w:tcPr>
          <w:p>
            <w:r>
              <w:t xml:space="preserve">Category II FPIs</w:t>
            </w:r>
          </w:p>
        </w:tc>
        <w:tc>
          <w:tcPr>
            <w:tcW w:type="dxa" w:w="4500"/>
          </w:tcPr>
          <w:p>
            <w:r>
              <w:t xml:space="preserve">FPIs registered as “Category II foreign portfolio investors” under the SEBI FPI Regulations</w:t>
            </w:r>
          </w:p>
        </w:tc>
      </w:tr>
      <w:tr>
        <w:tc>
          <w:tcPr>
            <w:tcW w:type="dxa" w:w="4500"/>
          </w:tcPr>
          <w:p>
            <w:r>
              <w:t xml:space="preserve">Category III AIF</w:t>
            </w:r>
          </w:p>
        </w:tc>
        <w:tc>
          <w:tcPr>
            <w:tcW w:type="dxa" w:w="4500"/>
          </w:tcPr>
          <w:p>
            <w:r>
              <w:t xml:space="preserve">AIFs registered as “Category III alternative investment funds” under the SEBI AIF Regulations</w:t>
            </w:r>
          </w:p>
        </w:tc>
      </w:tr>
      <w:tr>
        <w:tc>
          <w:tcPr>
            <w:tcW w:type="dxa" w:w="4500"/>
          </w:tcPr>
          <w:p>
            <w:r>
              <w:t xml:space="preserve">CAGR</w:t>
            </w:r>
          </w:p>
        </w:tc>
        <w:tc>
          <w:tcPr>
            <w:tcW w:type="dxa" w:w="4500"/>
          </w:tcPr>
          <w:p>
            <w:r>
              <w:t xml:space="preserve">Compound Annual Growth Rate</w:t>
            </w:r>
          </w:p>
        </w:tc>
      </w:tr>
      <w:tr>
        <w:tc>
          <w:tcPr>
            <w:tcW w:type="dxa" w:w="4500"/>
          </w:tcPr>
          <w:p>
            <w:r>
              <w:t xml:space="preserve">CDSL</w:t>
            </w:r>
          </w:p>
        </w:tc>
        <w:tc>
          <w:tcPr>
            <w:tcW w:type="dxa" w:w="4500"/>
          </w:tcPr>
          <w:p>
            <w:r>
              <w:t xml:space="preserve">Central Depository Services (India) Limited</w:t>
            </w:r>
          </w:p>
        </w:tc>
      </w:tr>
      <w:tr>
        <w:tc>
          <w:tcPr>
            <w:tcW w:type="dxa" w:w="4500"/>
          </w:tcPr>
          <w:p>
            <w:r>
              <w:t xml:space="preserve">CESTAT</w:t>
            </w:r>
          </w:p>
        </w:tc>
        <w:tc>
          <w:tcPr>
            <w:tcW w:type="dxa" w:w="4500"/>
          </w:tcPr>
          <w:p>
            <w:r>
              <w:t xml:space="preserve">Customs, Excise and Service Tax Appellate Tribunal</w:t>
            </w:r>
          </w:p>
        </w:tc>
      </w:tr>
      <w:tr>
        <w:tc>
          <w:tcPr>
            <w:tcW w:type="dxa" w:w="4500"/>
          </w:tcPr>
          <w:p>
            <w:r>
              <w:t xml:space="preserve">Companies Act, 1956</w:t>
            </w:r>
          </w:p>
        </w:tc>
        <w:tc>
          <w:tcPr>
            <w:tcW w:type="dxa" w:w="4500"/>
          </w:tcPr>
          <w:p>
            <w:r>
              <w:t xml:space="preserve">Companies Act, 1956, and the rules, regulations, notifications, modifications and clarifications made thereunder, as the context requires</w:t>
            </w:r>
          </w:p>
        </w:tc>
      </w:tr>
      <w:tr>
        <w:tc>
          <w:tcPr>
            <w:tcW w:type="dxa" w:w="4500"/>
          </w:tcPr>
          <w:p>
            <w:r>
              <w:t xml:space="preserve">Companies Act, 2013/ Companies Act</w:t>
            </w:r>
          </w:p>
        </w:tc>
        <w:tc>
          <w:tcPr>
            <w:tcW w:type="dxa" w:w="4500"/>
          </w:tcPr>
          <w:p>
            <w:r>
              <w:t xml:space="preserve">Companies Act, 2013 and the rules, regulations, notifications, modifications and clarifications thereunder</w:t>
            </w:r>
          </w:p>
        </w:tc>
      </w:tr>
      <w:tr>
        <w:tc>
          <w:tcPr>
            <w:tcW w:type="dxa" w:w="4500"/>
          </w:tcPr>
          <w:p>
            <w:r>
              <w:t xml:space="preserve">CSR</w:t>
            </w:r>
          </w:p>
        </w:tc>
        <w:tc>
          <w:tcPr>
            <w:tcW w:type="dxa" w:w="4500"/>
          </w:tcPr>
          <w:p>
            <w:r>
              <w:t xml:space="preserve">Corporate social responsibility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Depositories Act</w:t>
            </w:r>
          </w:p>
        </w:tc>
        <w:tc>
          <w:tcPr>
            <w:tcW w:type="dxa" w:w="4500"/>
          </w:tcPr>
          <w:p>
            <w:r>
              <w:t xml:space="preserve">Depositories Act, 1996 read with the rules and regulations thereunder</w:t>
            </w:r>
          </w:p>
        </w:tc>
      </w:tr>
      <w:tr>
        <w:tc>
          <w:tcPr>
            <w:tcW w:type="dxa" w:w="4500"/>
          </w:tcPr>
          <w:p>
            <w:r>
              <w:t xml:space="preserve">Depository or Depositories</w:t>
            </w:r>
          </w:p>
        </w:tc>
        <w:tc>
          <w:tcPr>
            <w:tcW w:type="dxa" w:w="4500"/>
          </w:tcPr>
          <w:p>
            <w:r>
              <w:t xml:space="preserve">NSDL and/or CDSL</w:t>
            </w:r>
          </w:p>
        </w:tc>
      </w:tr>
      <w:tr>
        <w:tc>
          <w:tcPr>
            <w:tcW w:type="dxa" w:w="4500"/>
          </w:tcPr>
          <w:p>
            <w:r>
              <w:t xml:space="preserve">DIN</w:t>
            </w:r>
          </w:p>
        </w:tc>
        <w:tc>
          <w:tcPr>
            <w:tcW w:type="dxa" w:w="4500"/>
          </w:tcPr>
          <w:p>
            <w:r>
              <w:t xml:space="preserve">Director Identification Number</w:t>
            </w:r>
          </w:p>
        </w:tc>
      </w:tr>
      <w:tr>
        <w:tc>
          <w:tcPr>
            <w:tcW w:type="dxa" w:w="4500"/>
          </w:tcPr>
          <w:p>
            <w:r>
              <w:t xml:space="preserve">DP ID</w:t>
            </w:r>
          </w:p>
        </w:tc>
        <w:tc>
          <w:tcPr>
            <w:tcW w:type="dxa" w:w="4500"/>
          </w:tcPr>
          <w:p>
            <w:r>
              <w:t xml:space="preserve">Depository Participant’s Identification Number</w:t>
            </w:r>
          </w:p>
        </w:tc>
      </w:tr>
      <w:tr>
        <w:tc>
          <w:tcPr>
            <w:tcW w:type="dxa" w:w="4500"/>
          </w:tcPr>
          <w:p>
            <w:r>
              <w:t xml:space="preserve">DP/ Depository Participant</w:t>
            </w:r>
          </w:p>
        </w:tc>
        <w:tc>
          <w:tcPr>
            <w:tcW w:type="dxa" w:w="4500"/>
          </w:tcPr>
          <w:p>
            <w:r>
              <w:t xml:space="preserve">A depository participant as defined under the Depositories Act</w:t>
            </w:r>
          </w:p>
        </w:tc>
      </w:tr>
      <w:tr>
        <w:tc>
          <w:tcPr>
            <w:tcW w:type="dxa" w:w="4500"/>
          </w:tcPr>
          <w:p>
            <w:r>
              <w:t xml:space="preserve">DPIIT</w:t>
            </w:r>
          </w:p>
        </w:tc>
        <w:tc>
          <w:tcPr>
            <w:tcW w:type="dxa" w:w="4500"/>
          </w:tcPr>
          <w:p>
            <w:r>
              <w:t xml:space="preserve">The Department for Promotion of Industry and Internal Trade, Ministry of Commerce and Industry, Government of India</w:t>
            </w:r>
          </w:p>
        </w:tc>
      </w:tr>
      <w:tr>
        <w:tc>
          <w:tcPr>
            <w:tcW w:type="dxa" w:w="4500"/>
          </w:tcPr>
          <w:p>
            <w:r>
              <w:t xml:space="preserve">EBIT</w:t>
            </w:r>
          </w:p>
        </w:tc>
        <w:tc>
          <w:tcPr>
            <w:tcW w:type="dxa" w:w="4500"/>
          </w:tcPr>
          <w:p>
            <w:r>
              <w:t xml:space="preserve">Earnings before interest and taxes</w:t>
            </w:r>
          </w:p>
        </w:tc>
      </w:tr>
      <w:tr>
        <w:tc>
          <w:tcPr>
            <w:tcW w:type="dxa" w:w="4500"/>
          </w:tcPr>
          <w:p>
            <w:r>
              <w:t xml:space="preserve">Factories Act</w:t>
            </w:r>
          </w:p>
        </w:tc>
        <w:tc>
          <w:tcPr>
            <w:tcW w:type="dxa" w:w="4500"/>
          </w:tcPr>
          <w:p>
            <w:r>
              <w:t xml:space="preserve">Factories Act, 1948</w:t>
            </w:r>
          </w:p>
        </w:tc>
      </w:tr>
      <w:tr>
        <w:tc>
          <w:tcPr>
            <w:tcW w:type="dxa" w:w="4500"/>
          </w:tcPr>
          <w:p>
            <w:r>
              <w:t xml:space="preserve">FDI</w:t>
            </w:r>
          </w:p>
        </w:tc>
        <w:tc>
          <w:tcPr>
            <w:tcW w:type="dxa" w:w="4500"/>
          </w:tcPr>
          <w:p>
            <w:r>
              <w:t xml:space="preserve">Foreign direct investment</w:t>
            </w:r>
          </w:p>
        </w:tc>
      </w:tr>
      <w:tr>
        <w:tc>
          <w:tcPr>
            <w:tcW w:type="dxa" w:w="4500"/>
          </w:tcPr>
          <w:p>
            <w:r>
              <w:t xml:space="preserve">FEMA</w:t>
            </w:r>
          </w:p>
        </w:tc>
        <w:tc>
          <w:tcPr>
            <w:tcW w:type="dxa" w:w="4500"/>
          </w:tcPr>
          <w:p>
            <w:r>
              <w:t xml:space="preserve">Foreign Exchange Management Act, 1999, including the rules and regulations thereunder</w:t>
            </w:r>
          </w:p>
        </w:tc>
      </w:tr>
      <w:tr>
        <w:tc>
          <w:tcPr>
            <w:tcW w:type="dxa" w:w="4500"/>
          </w:tcPr>
          <w:p>
            <w:r>
              <w:t xml:space="preserve">FEMA Rules</w:t>
            </w:r>
          </w:p>
        </w:tc>
        <w:tc>
          <w:tcPr>
            <w:tcW w:type="dxa" w:w="4500"/>
          </w:tcPr>
          <w:p>
            <w:r>
              <w:t xml:space="preserve">Foreign Exchange Management (Non-debt Instruments) Rules, 2019</w:t>
            </w:r>
          </w:p>
        </w:tc>
      </w:tr>
      <w:tr>
        <w:tc>
          <w:tcPr>
            <w:tcW w:type="dxa" w:w="4500"/>
          </w:tcPr>
          <w:p>
            <w:r>
              <w:t xml:space="preserve">Finance Act</w:t>
            </w:r>
          </w:p>
        </w:tc>
        <w:tc>
          <w:tcPr>
            <w:tcW w:type="dxa" w:w="4500"/>
          </w:tcPr>
          <w:p>
            <w:r>
              <w:t xml:space="preserve">Act number 15 of 2024 dated August 16, 2024, to give effect to the financial proposals of the Government of India for the financial year 2024-25, which received the assent of the President of India on August 16, 2024</w:t>
            </w:r>
          </w:p>
        </w:tc>
      </w:tr>
      <w:tr>
        <w:tc>
          <w:tcPr>
            <w:tcW w:type="dxa" w:w="4500"/>
          </w:tcPr>
          <w:p>
            <w:r>
              <w:t xml:space="preserve">Finance Bill</w:t>
            </w:r>
          </w:p>
        </w:tc>
        <w:tc>
          <w:tcPr>
            <w:tcW w:type="dxa" w:w="4500"/>
          </w:tcPr>
          <w:p>
            <w:r>
              <w:t xml:space="preserve">Bill number 14 of 2025 dated February 1, 2025, introduced in the Lok Sabha, to give effect to the financial proposals of the Central Government for the financial year 2025-2026</w:t>
            </w:r>
          </w:p>
        </w:tc>
      </w:tr>
      <w:tr>
        <w:tc>
          <w:tcPr>
            <w:tcW w:type="dxa" w:w="4500"/>
          </w:tcPr>
          <w:p>
            <w:r>
              <w:t xml:space="preserve">Financial Year/ Fiscal</w:t>
            </w:r>
          </w:p>
        </w:tc>
        <w:tc>
          <w:tcPr>
            <w:tcW w:type="dxa" w:w="4500"/>
          </w:tcPr>
          <w:p>
            <w:r>
              <w:t xml:space="preserve">Period of twelve months ending on March 31 of that particular year, unless stated otherwise</w:t>
            </w:r>
          </w:p>
        </w:tc>
      </w:tr>
      <w:tr>
        <w:tc>
          <w:tcPr>
            <w:tcW w:type="dxa" w:w="4500"/>
          </w:tcPr>
          <w:p>
            <w:r>
              <w:t xml:space="preserve">FPI(s)</w:t>
            </w:r>
          </w:p>
        </w:tc>
        <w:tc>
          <w:tcPr>
            <w:tcW w:type="dxa" w:w="4500"/>
          </w:tcPr>
          <w:p>
            <w:r>
              <w:t xml:space="preserve">A foreign portfolio investor who has been registered pursuant to the SEBI FPI Regulations</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2018</w:t>
            </w:r>
          </w:p>
        </w:tc>
      </w:tr>
      <w:tr>
        <w:tc>
          <w:tcPr>
            <w:tcW w:type="dxa" w:w="4500"/>
          </w:tcPr>
          <w:p>
            <w:r>
              <w:t xml:space="preserve">FVCI</w:t>
            </w:r>
          </w:p>
        </w:tc>
        <w:tc>
          <w:tcPr>
            <w:tcW w:type="dxa" w:w="4500"/>
          </w:tcPr>
          <w:p>
            <w:r>
              <w:t xml:space="preserve">Foreign Venture Capital Investors (as defined under the Securities and Exchange Board of India (Foreign Venture Capital Investor) Regulations, 2000) registered with SEBI</w:t>
            </w:r>
          </w:p>
        </w:tc>
      </w:tr>
      <w:tr>
        <w:tc>
          <w:tcPr>
            <w:tcW w:type="dxa" w:w="4500"/>
          </w:tcPr>
          <w:p>
            <w:r>
              <w:t xml:space="preserve">GoI / Central Government</w:t>
            </w:r>
          </w:p>
        </w:tc>
        <w:tc>
          <w:tcPr>
            <w:tcW w:type="dxa" w:w="4500"/>
          </w:tcPr>
          <w:p>
            <w:r>
              <w:t xml:space="preserve">Government of India</w:t>
            </w:r>
          </w:p>
        </w:tc>
      </w:tr>
      <w:tr>
        <w:tc>
          <w:tcPr>
            <w:tcW w:type="dxa" w:w="4500"/>
          </w:tcPr>
          <w:p>
            <w:r>
              <w:t xml:space="preserve">GST</w:t>
            </w:r>
          </w:p>
        </w:tc>
        <w:tc>
          <w:tcPr>
            <w:tcW w:type="dxa" w:w="4500"/>
          </w:tcPr>
          <w:p>
            <w:r>
              <w:t xml:space="preserve">Goods and services tax</w:t>
            </w:r>
          </w:p>
        </w:tc>
      </w:tr>
      <w:tr>
        <w:tc>
          <w:tcPr>
            <w:tcW w:type="dxa" w:w="4500"/>
          </w:tcPr>
          <w:p>
            <w:r>
              <w:t xml:space="preserve">HUF</w:t>
            </w:r>
          </w:p>
        </w:tc>
        <w:tc>
          <w:tcPr>
            <w:tcW w:type="dxa" w:w="4500"/>
          </w:tcPr>
          <w:p>
            <w:r>
              <w:t xml:space="preserve">Hindu undivided family</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I.T. Act</w:t>
            </w:r>
          </w:p>
        </w:tc>
        <w:tc>
          <w:tcPr>
            <w:tcW w:type="dxa" w:w="4500"/>
          </w:tcPr>
          <w:p>
            <w:r>
              <w:t xml:space="preserve">Income-tax Act, 1961</w:t>
            </w:r>
          </w:p>
        </w:tc>
      </w:tr>
      <w:tr>
        <w:tc>
          <w:tcPr>
            <w:tcW w:type="dxa" w:w="4500"/>
          </w:tcPr>
          <w:p>
            <w:r>
              <w:t xml:space="preserve">ICAI</w:t>
            </w:r>
          </w:p>
        </w:tc>
        <w:tc>
          <w:tcPr>
            <w:tcW w:type="dxa" w:w="4500"/>
          </w:tcPr>
          <w:p>
            <w:r>
              <w:t xml:space="preserve">The Institute of Chartered Accountants of India</w:t>
            </w:r>
          </w:p>
        </w:tc>
      </w:tr>
      <w:tr>
        <w:tc>
          <w:tcPr>
            <w:tcW w:type="dxa" w:w="4500"/>
          </w:tcPr>
          <w:p>
            <w:r>
              <w:t xml:space="preserve">IFRS</w:t>
            </w:r>
          </w:p>
        </w:tc>
        <w:tc>
          <w:tcPr>
            <w:tcW w:type="dxa" w:w="4500"/>
          </w:tcPr>
          <w:p>
            <w:r>
              <w:t xml:space="preserve">International Financial Reporting Standards</w:t>
            </w:r>
          </w:p>
        </w:tc>
      </w:tr>
      <w:tr>
        <w:tc>
          <w:tcPr>
            <w:tcW w:type="dxa" w:w="4500"/>
          </w:tcPr>
          <w:p>
            <w:r>
              <w:t xml:space="preserve">Ind AS</w:t>
            </w:r>
          </w:p>
        </w:tc>
        <w:tc>
          <w:tcPr>
            <w:tcW w:type="dxa" w:w="4500"/>
          </w:tcPr>
          <w:p>
            <w:r>
              <w:t xml:space="preserve">Accounting Standards notified under Section 133 of the Companies Act, 2013 read with the Companies (Indian Accounting Standards) Rules, 2015, as amended</w:t>
            </w:r>
          </w:p>
        </w:tc>
      </w:tr>
      <w:tr>
        <w:tc>
          <w:tcPr>
            <w:tcW w:type="dxa" w:w="4500"/>
          </w:tcPr>
          <w:p>
            <w:r>
              <w:t xml:space="preserve">Ind AS 24</w:t>
            </w:r>
          </w:p>
        </w:tc>
        <w:tc>
          <w:tcPr>
            <w:tcW w:type="dxa" w:w="4500"/>
          </w:tcPr>
          <w:p>
            <w:r>
              <w:t xml:space="preserve">Indian Accounting Standard 24, “Related Party Disclosures”, notified under Section 133 of the Companies Act read with Companies (Indian Accounting Standards) Rules, 2015, as amendedfrom time to time</w:t>
            </w:r>
          </w:p>
        </w:tc>
      </w:tr>
      <w:tr>
        <w:tc>
          <w:tcPr>
            <w:tcW w:type="dxa" w:w="4500"/>
          </w:tcPr>
          <w:p>
            <w:r>
              <w:t xml:space="preserve">Indian GAAP</w:t>
            </w:r>
          </w:p>
        </w:tc>
        <w:tc>
          <w:tcPr>
            <w:tcW w:type="dxa" w:w="4500"/>
          </w:tcPr>
          <w:p>
            <w:r>
              <w:t xml:space="preserve">Generally Accepted Accounting Principles in India, being, accounting principles generally accepted in India including the accounting standards specified under Section 133 of theCompanies Act, 2013 read with Rule 7 of the Companies (Accounts) Rules, 2014, as amended</w:t>
            </w:r>
          </w:p>
        </w:tc>
      </w:tr>
      <w:tr>
        <w:tc>
          <w:tcPr>
            <w:tcW w:type="dxa" w:w="4500"/>
          </w:tcPr>
          <w:p>
            <w:r>
              <w:t xml:space="preserve">IPO</w:t>
            </w:r>
          </w:p>
        </w:tc>
        <w:tc>
          <w:tcPr>
            <w:tcW w:type="dxa" w:w="4500"/>
          </w:tcPr>
          <w:p>
            <w:r>
              <w:t xml:space="preserve">Initial public offer</w:t>
            </w:r>
          </w:p>
        </w:tc>
      </w:tr>
      <w:tr>
        <w:tc>
          <w:tcPr>
            <w:tcW w:type="dxa" w:w="4500"/>
          </w:tcPr>
          <w:p>
            <w:r>
              <w:t xml:space="preserve">ISO</w:t>
            </w:r>
          </w:p>
        </w:tc>
        <w:tc>
          <w:tcPr>
            <w:tcW w:type="dxa" w:w="4500"/>
          </w:tcPr>
          <w:p>
            <w:r>
              <w:t xml:space="preserve">International Organization for Standards</w:t>
            </w:r>
          </w:p>
        </w:tc>
      </w:tr>
      <w:tr>
        <w:tc>
          <w:tcPr>
            <w:tcW w:type="dxa" w:w="4500"/>
          </w:tcPr>
          <w:p>
            <w:r>
              <w:t xml:space="preserve">IST</w:t>
            </w:r>
          </w:p>
        </w:tc>
        <w:tc>
          <w:tcPr>
            <w:tcW w:type="dxa" w:w="4500"/>
          </w:tcPr>
          <w:p>
            <w:r>
              <w:t xml:space="preserve">Indian Standard Time</w:t>
            </w:r>
          </w:p>
        </w:tc>
      </w:tr>
      <w:tr>
        <w:tc>
          <w:tcPr>
            <w:tcW w:type="dxa" w:w="4500"/>
          </w:tcPr>
          <w:p>
            <w:r>
              <w:t xml:space="preserve">IT</w:t>
            </w:r>
          </w:p>
        </w:tc>
        <w:tc>
          <w:tcPr>
            <w:tcW w:type="dxa" w:w="4500"/>
          </w:tcPr>
          <w:p>
            <w:r>
              <w:t xml:space="preserve">Information technology</w:t>
            </w:r>
          </w:p>
        </w:tc>
      </w:tr>
      <w:tr>
        <w:tc>
          <w:tcPr>
            <w:tcW w:type="dxa" w:w="4500"/>
          </w:tcPr>
          <w:p>
            <w:r>
              <w:t xml:space="preserve">LEI</w:t>
            </w:r>
          </w:p>
        </w:tc>
        <w:tc>
          <w:tcPr>
            <w:tcW w:type="dxa" w:w="4500"/>
          </w:tcPr>
          <w:p>
            <w:r>
              <w:t xml:space="preserve">Legal entity identifier</w:t>
            </w:r>
          </w:p>
        </w:tc>
      </w:tr>
      <w:tr>
        <w:tc>
          <w:tcPr>
            <w:tcW w:type="dxa" w:w="4500"/>
          </w:tcPr>
          <w:p>
            <w:r>
              <w:t xml:space="preserve">MCLR</w:t>
            </w:r>
          </w:p>
        </w:tc>
        <w:tc>
          <w:tcPr>
            <w:tcW w:type="dxa" w:w="4500"/>
          </w:tcPr>
          <w:p>
            <w:r>
              <w:t xml:space="preserve">Marginal cost of funds based lending rate</w:t>
            </w:r>
          </w:p>
        </w:tc>
      </w:tr>
      <w:tr>
        <w:tc>
          <w:tcPr>
            <w:tcW w:type="dxa" w:w="4500"/>
          </w:tcPr>
          <w:p>
            <w:r>
              <w:t xml:space="preserve">Mn/ mn</w:t>
            </w:r>
          </w:p>
        </w:tc>
        <w:tc>
          <w:tcPr>
            <w:tcW w:type="dxa" w:w="4500"/>
          </w:tcPr>
          <w:p>
            <w:r>
              <w:t xml:space="preserve">Million</w:t>
            </w:r>
          </w:p>
        </w:tc>
      </w:tr>
      <w:tr>
        <w:tc>
          <w:tcPr>
            <w:tcW w:type="dxa" w:w="4500"/>
          </w:tcPr>
          <w:p>
            <w:r>
              <w:t xml:space="preserve">MT</w:t>
            </w:r>
          </w:p>
        </w:tc>
        <w:tc>
          <w:tcPr>
            <w:tcW w:type="dxa" w:w="4500"/>
          </w:tcPr>
          <w:p>
            <w:r>
              <w:t xml:space="preserve">Metric ton</w:t>
            </w:r>
          </w:p>
        </w:tc>
      </w:tr>
      <w:tr>
        <w:tc>
          <w:tcPr>
            <w:tcW w:type="dxa" w:w="4500"/>
          </w:tcPr>
          <w:p>
            <w:r>
              <w:t xml:space="preserve">N.A. or NA</w:t>
            </w:r>
          </w:p>
        </w:tc>
        <w:tc>
          <w:tcPr>
            <w:tcW w:type="dxa" w:w="4500"/>
          </w:tcPr>
          <w:p>
            <w:r>
              <w:t xml:space="preserve">Not applicable</w:t>
            </w:r>
          </w:p>
        </w:tc>
      </w:tr>
      <w:tr>
        <w:tc>
          <w:tcPr>
            <w:tcW w:type="dxa" w:w="4500"/>
          </w:tcPr>
          <w:p>
            <w:r>
              <w:t xml:space="preserve">NACH</w:t>
            </w:r>
          </w:p>
        </w:tc>
        <w:tc>
          <w:tcPr>
            <w:tcW w:type="dxa" w:w="4500"/>
          </w:tcPr>
          <w:p>
            <w:r>
              <w:t xml:space="preserve">National Automated Clearing House</w:t>
            </w:r>
          </w:p>
        </w:tc>
      </w:tr>
      <w:tr>
        <w:tc>
          <w:tcPr>
            <w:tcW w:type="dxa" w:w="4500"/>
          </w:tcPr>
          <w:p>
            <w:r>
              <w:t xml:space="preserve">NEFT</w:t>
            </w:r>
          </w:p>
        </w:tc>
        <w:tc>
          <w:tcPr>
            <w:tcW w:type="dxa" w:w="4500"/>
          </w:tcPr>
          <w:p>
            <w:r>
              <w:t xml:space="preserve">National electronic fund transfer</w:t>
            </w:r>
          </w:p>
        </w:tc>
      </w:tr>
      <w:tr>
        <w:tc>
          <w:tcPr>
            <w:tcW w:type="dxa" w:w="4500"/>
          </w:tcPr>
          <w:p>
            <w:r>
              <w:t xml:space="preserve">Non-Resident</w:t>
            </w:r>
          </w:p>
        </w:tc>
        <w:tc>
          <w:tcPr>
            <w:tcW w:type="dxa" w:w="4500"/>
          </w:tcPr>
          <w:p>
            <w:r>
              <w:t xml:space="preserve">A person resident outside India, as defined under FEMA</w:t>
            </w:r>
          </w:p>
        </w:tc>
      </w:tr>
      <w:tr>
        <w:tc>
          <w:tcPr>
            <w:tcW w:type="dxa" w:w="4500"/>
          </w:tcPr>
          <w:p>
            <w:r>
              <w:t xml:space="preserve">NPCI</w:t>
            </w:r>
          </w:p>
        </w:tc>
        <w:tc>
          <w:tcPr>
            <w:tcW w:type="dxa" w:w="4500"/>
          </w:tcPr>
          <w:p>
            <w:r>
              <w:t xml:space="preserve">Pollich - Murazik Limited of India</w:t>
            </w:r>
          </w:p>
        </w:tc>
      </w:tr>
      <w:tr>
        <w:tc>
          <w:tcPr>
            <w:tcW w:type="dxa" w:w="4500"/>
          </w:tcPr>
          <w:p>
            <w:r>
              <w:t xml:space="preserve">NRE Account</w:t>
            </w:r>
          </w:p>
        </w:tc>
        <w:tc>
          <w:tcPr>
            <w:tcW w:type="dxa" w:w="4500"/>
          </w:tcPr>
          <w:p>
            <w:r>
              <w:t xml:space="preserve">Non-resident external account established in accordance with the Foreign Exchange Management (Deposit) Regulations, 2016</w:t>
            </w:r>
          </w:p>
        </w:tc>
      </w:tr>
      <w:tr>
        <w:tc>
          <w:tcPr>
            <w:tcW w:type="dxa" w:w="4500"/>
          </w:tcPr>
          <w:p>
            <w:r>
              <w:t xml:space="preserve">NRI</w:t>
            </w:r>
          </w:p>
        </w:tc>
        <w:tc>
          <w:tcPr>
            <w:tcW w:type="dxa" w:w="4500"/>
          </w:tcPr>
          <w:p>
            <w:r>
              <w:t xml:space="preserve">A person resident outside India who is a citizen of India as defined under the Foreign Exchange Management (Deposit) Regulations, 2016 or is an ‘Overseas Citizen of India’ cardholder within the meaning of section 7(A) of the Citizenship Act, 1955</w:t>
            </w:r>
          </w:p>
        </w:tc>
      </w:tr>
      <w:tr>
        <w:tc>
          <w:tcPr>
            <w:tcW w:type="dxa" w:w="4500"/>
          </w:tcPr>
          <w:p>
            <w:r>
              <w:t xml:space="preserve">NRO Account</w:t>
            </w:r>
          </w:p>
        </w:tc>
        <w:tc>
          <w:tcPr>
            <w:tcW w:type="dxa" w:w="4500"/>
          </w:tcPr>
          <w:p>
            <w:r>
              <w:t xml:space="preserve">Non-resident ordinary account established in accordance with the Foreign Exchange Management (Deposit) Regulations, 2016</w:t>
            </w:r>
          </w:p>
        </w:tc>
      </w:tr>
      <w:tr>
        <w:tc>
          <w:tcPr>
            <w:tcW w:type="dxa" w:w="4500"/>
          </w:tcPr>
          <w:p>
            <w:r>
              <w:t xml:space="preserve">NSDL</w:t>
            </w:r>
          </w:p>
        </w:tc>
        <w:tc>
          <w:tcPr>
            <w:tcW w:type="dxa" w:w="4500"/>
          </w:tcPr>
          <w:p>
            <w:r>
              <w:t xml:space="preserve">Beier - Rogahn Limited</w:t>
            </w:r>
          </w:p>
        </w:tc>
      </w:tr>
      <w:tr>
        <w:tc>
          <w:tcPr>
            <w:tcW w:type="dxa" w:w="4500"/>
          </w:tcPr>
          <w:p>
            <w:r>
              <w:t xml:space="preserve">NSE</w:t>
            </w:r>
          </w:p>
        </w:tc>
        <w:tc>
          <w:tcPr>
            <w:tcW w:type="dxa" w:w="4500"/>
          </w:tcPr>
          <w:p>
            <w:r>
              <w:t xml:space="preserve">National Stock Exchange of Schoen - Brown Limited</w:t>
            </w:r>
          </w:p>
        </w:tc>
      </w:tr>
      <w:tr>
        <w:tc>
          <w:tcPr>
            <w:tcW w:type="dxa" w:w="4500"/>
          </w:tcPr>
          <w:p>
            <w:r>
              <w:t xml:space="preserve">OCB</w:t>
            </w:r>
          </w:p>
        </w:tc>
        <w:tc>
          <w:tcPr>
            <w:tcW w:type="dxa" w:w="4500"/>
          </w:tcPr>
          <w:p>
            <w:r>
              <w:t xml:space="preserve">A Jimmie Franey,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grantedto overseas corporate bodies under the FEMA. Overseas corporate bodies are not allowed to invest in the Offer</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OCI</w:t>
            </w:r>
          </w:p>
        </w:tc>
        <w:tc>
          <w:tcPr>
            <w:tcW w:type="dxa" w:w="4500"/>
          </w:tcPr>
          <w:p>
            <w:r>
              <w:t xml:space="preserve">Overseas Citizen of India</w:t>
            </w:r>
          </w:p>
        </w:tc>
      </w:tr>
      <w:tr>
        <w:tc>
          <w:tcPr>
            <w:tcW w:type="dxa" w:w="4500"/>
          </w:tcPr>
          <w:p>
            <w:r>
              <w:t xml:space="preserve">P/E Ratio</w:t>
            </w:r>
          </w:p>
        </w:tc>
        <w:tc>
          <w:tcPr>
            <w:tcW w:type="dxa" w:w="4500"/>
          </w:tcPr>
          <w:p>
            <w:r>
              <w:t xml:space="preserve">Price/earnings ratio</w:t>
            </w:r>
          </w:p>
        </w:tc>
      </w:tr>
      <w:tr>
        <w:tc>
          <w:tcPr>
            <w:tcW w:type="dxa" w:w="4500"/>
          </w:tcPr>
          <w:p>
            <w:r>
              <w:t xml:space="preserve">PAN</w:t>
            </w:r>
          </w:p>
        </w:tc>
        <w:tc>
          <w:tcPr>
            <w:tcW w:type="dxa" w:w="4500"/>
          </w:tcPr>
          <w:p>
            <w:r>
              <w:t xml:space="preserve">Permanent account number allotted under the I.T. Act</w:t>
            </w:r>
          </w:p>
        </w:tc>
      </w:tr>
      <w:tr>
        <w:tc>
          <w:tcPr>
            <w:tcW w:type="dxa" w:w="4500"/>
          </w:tcPr>
          <w:p>
            <w:r>
              <w:t xml:space="preserve">PAT</w:t>
            </w:r>
          </w:p>
        </w:tc>
        <w:tc>
          <w:tcPr>
            <w:tcW w:type="dxa" w:w="4500"/>
          </w:tcPr>
          <w:p>
            <w:r>
              <w:t xml:space="preserve">Profit after tax</w:t>
            </w:r>
          </w:p>
        </w:tc>
      </w:tr>
      <w:tr>
        <w:tc>
          <w:tcPr>
            <w:tcW w:type="dxa" w:w="4500"/>
          </w:tcPr>
          <w:p>
            <w:r>
              <w:t xml:space="preserve">RBI</w:t>
            </w:r>
          </w:p>
        </w:tc>
        <w:tc>
          <w:tcPr>
            <w:tcW w:type="dxa" w:w="4500"/>
          </w:tcPr>
          <w:p>
            <w:r>
              <w:t xml:space="preserve">Reserve Bank of India</w:t>
            </w:r>
          </w:p>
        </w:tc>
      </w:tr>
      <w:tr>
        <w:tc>
          <w:tcPr>
            <w:tcW w:type="dxa" w:w="4500"/>
          </w:tcPr>
          <w:p>
            <w:r>
              <w:t xml:space="preserve">Regulation S</w:t>
            </w:r>
          </w:p>
        </w:tc>
        <w:tc>
          <w:tcPr>
            <w:tcW w:type="dxa" w:w="4500"/>
          </w:tcPr>
          <w:p>
            <w:r>
              <w:t xml:space="preserve">Regulation S under the U.S. Securities Act</w:t>
            </w:r>
          </w:p>
        </w:tc>
      </w:tr>
      <w:tr>
        <w:tc>
          <w:tcPr>
            <w:tcW w:type="dxa" w:w="4500"/>
          </w:tcPr>
          <w:p>
            <w:r>
              <w:t xml:space="preserve">Rs. / Rupees/ ₹/ INR</w:t>
            </w:r>
          </w:p>
        </w:tc>
        <w:tc>
          <w:tcPr>
            <w:tcW w:type="dxa" w:w="4500"/>
          </w:tcPr>
          <w:p>
            <w:r>
              <w:t xml:space="preserve">Indian Rupees</w:t>
            </w:r>
          </w:p>
        </w:tc>
      </w:tr>
      <w:tr>
        <w:tc>
          <w:tcPr>
            <w:tcW w:type="dxa" w:w="4500"/>
          </w:tcPr>
          <w:p>
            <w:r>
              <w:t xml:space="preserve">RBI</w:t>
            </w:r>
          </w:p>
        </w:tc>
        <w:tc>
          <w:tcPr>
            <w:tcW w:type="dxa" w:w="4500"/>
          </w:tcPr>
          <w:p>
            <w:r>
              <w:t xml:space="preserve">Reserve Bank of India</w:t>
            </w:r>
          </w:p>
        </w:tc>
      </w:tr>
      <w:tr>
        <w:tc>
          <w:tcPr>
            <w:tcW w:type="dxa" w:w="4500"/>
          </w:tcPr>
          <w:p>
            <w:r>
              <w:t xml:space="preserve">RTGS</w:t>
            </w:r>
          </w:p>
        </w:tc>
        <w:tc>
          <w:tcPr>
            <w:tcW w:type="dxa" w:w="4500"/>
          </w:tcPr>
          <w:p>
            <w:r>
              <w:t xml:space="preserve">Real time gross settlement</w:t>
            </w:r>
          </w:p>
        </w:tc>
      </w:tr>
      <w:tr>
        <w:tc>
          <w:tcPr>
            <w:tcW w:type="dxa" w:w="4500"/>
          </w:tcPr>
          <w:p>
            <w:r>
              <w:t xml:space="preserve">SCRA</w:t>
            </w:r>
          </w:p>
        </w:tc>
        <w:tc>
          <w:tcPr>
            <w:tcW w:type="dxa" w:w="4500"/>
          </w:tcPr>
          <w:p>
            <w:r>
              <w:t xml:space="preserve">Securities Contracts (Regulation) Act, 1956</w:t>
            </w:r>
          </w:p>
        </w:tc>
      </w:tr>
      <w:tr>
        <w:tc>
          <w:tcPr>
            <w:tcW w:type="dxa" w:w="4500"/>
          </w:tcPr>
          <w:p>
            <w:r>
              <w:t xml:space="preserve">SCRR</w:t>
            </w:r>
          </w:p>
        </w:tc>
        <w:tc>
          <w:tcPr>
            <w:tcW w:type="dxa" w:w="4500"/>
          </w:tcPr>
          <w:p>
            <w:r>
              <w:t xml:space="preserve">Securities Contracts (Regulation) Rules, 1957</w:t>
            </w:r>
          </w:p>
        </w:tc>
      </w:tr>
      <w:tr>
        <w:tc>
          <w:tcPr>
            <w:tcW w:type="dxa" w:w="4500"/>
          </w:tcPr>
          <w:p>
            <w:r>
              <w:t xml:space="preserve">SEBI</w:t>
            </w:r>
          </w:p>
        </w:tc>
        <w:tc>
          <w:tcPr>
            <w:tcW w:type="dxa" w:w="4500"/>
          </w:tcPr>
          <w:p>
            <w:r>
              <w:t xml:space="preserve">Securities and Exchange Board of India constituted under the SEBI Act</w:t>
            </w:r>
          </w:p>
        </w:tc>
      </w:tr>
      <w:tr>
        <w:tc>
          <w:tcPr>
            <w:tcW w:type="dxa" w:w="4500"/>
          </w:tcPr>
          <w:p>
            <w:r>
              <w:t xml:space="preserve">SEBI Act</w:t>
            </w:r>
          </w:p>
        </w:tc>
        <w:tc>
          <w:tcPr>
            <w:tcW w:type="dxa" w:w="4500"/>
          </w:tcPr>
          <w:p>
            <w:r>
              <w:t xml:space="preserve">Securities and Exchange Board of India Act, 1992</w:t>
            </w:r>
          </w:p>
        </w:tc>
      </w:tr>
      <w:tr>
        <w:tc>
          <w:tcPr>
            <w:tcW w:type="dxa" w:w="4500"/>
          </w:tcPr>
          <w:p>
            <w:r>
              <w:t xml:space="preserve">SEBI AIF Regulations</w:t>
            </w:r>
          </w:p>
        </w:tc>
        <w:tc>
          <w:tcPr>
            <w:tcW w:type="dxa" w:w="4500"/>
          </w:tcPr>
          <w:p>
            <w:r>
              <w:t xml:space="preserve">Securities and Exchange Board of India (Alternative Investment Funds) Regulations, 2012</w:t>
            </w:r>
          </w:p>
        </w:tc>
      </w:tr>
      <w:tr>
        <w:tc>
          <w:tcPr>
            <w:tcW w:type="dxa" w:w="4500"/>
          </w:tcPr>
          <w:p>
            <w:r>
              <w:t xml:space="preserve">SEBI BTI Regulations</w:t>
            </w:r>
          </w:p>
        </w:tc>
        <w:tc>
          <w:tcPr>
            <w:tcW w:type="dxa" w:w="4500"/>
          </w:tcPr>
          <w:p>
            <w:r>
              <w:t xml:space="preserve">Securities and Exchange Board of India (Bankers to an Issue) Regulations, 1994</w:t>
            </w:r>
          </w:p>
        </w:tc>
      </w:tr>
      <w:tr>
        <w:tc>
          <w:tcPr>
            <w:tcW w:type="dxa" w:w="4500"/>
          </w:tcPr>
          <w:p>
            <w:r>
              <w:t xml:space="preserve">SEBI FPI Regulations</w:t>
            </w:r>
          </w:p>
        </w:tc>
        <w:tc>
          <w:tcPr>
            <w:tcW w:type="dxa" w:w="4500"/>
          </w:tcPr>
          <w:p>
            <w:r>
              <w:t xml:space="preserve">Securities and Exchange Board of India (Foreign Portfolio Investors) Regulations, 2019</w:t>
            </w:r>
          </w:p>
        </w:tc>
      </w:tr>
      <w:tr>
        <w:tc>
          <w:tcPr>
            <w:tcW w:type="dxa" w:w="4500"/>
          </w:tcPr>
          <w:p>
            <w:r>
              <w:t xml:space="preserve">SEBI FVCI Regulations</w:t>
            </w:r>
          </w:p>
        </w:tc>
        <w:tc>
          <w:tcPr>
            <w:tcW w:type="dxa" w:w="4500"/>
          </w:tcPr>
          <w:p>
            <w:r>
              <w:t xml:space="preserve">Securities and Exchange Board of India (Foreign Venture Capital Investors) Regulations, 2000</w:t>
            </w:r>
          </w:p>
        </w:tc>
      </w:tr>
      <w:tr>
        <w:tc>
          <w:tcPr>
            <w:tcW w:type="dxa" w:w="4500"/>
          </w:tcPr>
          <w:p>
            <w:r>
              <w:t xml:space="preserve">SEBI ICDR Master Circular</w:t>
            </w:r>
          </w:p>
        </w:tc>
        <w:tc>
          <w:tcPr>
            <w:tcW w:type="dxa" w:w="4500"/>
          </w:tcPr>
          <w:p>
            <w:r>
              <w:t xml:space="preserve">SEBI ICDR Master Circular - SEBI master circular bearing reference SEBI/HO/CFD/PoD-1/P/CIR/2024/0154 dated November 11, 2024, as amended</w:t>
            </w:r>
          </w:p>
        </w:tc>
      </w:tr>
      <w:tr>
        <w:tc>
          <w:tcPr>
            <w:tcW w:type="dxa" w:w="4500"/>
          </w:tcPr>
          <w:p>
            <w:r>
              <w:t xml:space="preserve">SEBI ICDR Regulations</w:t>
            </w:r>
          </w:p>
        </w:tc>
        <w:tc>
          <w:tcPr>
            <w:tcW w:type="dxa" w:w="4500"/>
          </w:tcPr>
          <w:p>
            <w:r>
              <w:t xml:space="preserve">Securities and Exchange Board of India (Issue of Capital and Disclosure Requirements) Regulations, 2018</w:t>
            </w:r>
          </w:p>
        </w:tc>
      </w:tr>
      <w:tr>
        <w:tc>
          <w:tcPr>
            <w:tcW w:type="dxa" w:w="4500"/>
          </w:tcPr>
          <w:p>
            <w:r>
              <w:t xml:space="preserve">SEBI Listing Regulations</w:t>
            </w:r>
          </w:p>
        </w:tc>
        <w:tc>
          <w:tcPr>
            <w:tcW w:type="dxa" w:w="4500"/>
          </w:tcPr>
          <w:p>
            <w:r>
              <w:t xml:space="preserve">Securities and Exchange Board of India (Listing Obligations and Disclosure Requirements) Regulations, 2015</w:t>
            </w:r>
          </w:p>
        </w:tc>
      </w:tr>
      <w:tr>
        <w:tc>
          <w:tcPr>
            <w:tcW w:type="dxa" w:w="4500"/>
          </w:tcPr>
          <w:p>
            <w:r>
              <w:t xml:space="preserve">SEBI Mutual Funds Regulations</w:t>
            </w:r>
          </w:p>
        </w:tc>
        <w:tc>
          <w:tcPr>
            <w:tcW w:type="dxa" w:w="4500"/>
          </w:tcPr>
          <w:p>
            <w:r>
              <w:t xml:space="preserve">Securities and Exchange Board of India (Mutual Funds) Regulations, 1996</w:t>
            </w:r>
          </w:p>
        </w:tc>
      </w:tr>
      <w:tr>
        <w:tc>
          <w:tcPr>
            <w:tcW w:type="dxa" w:w="4500"/>
          </w:tcPr>
          <w:p>
            <w:r>
              <w:t xml:space="preserve">SEBI RTA Master Circular</w:t>
            </w:r>
          </w:p>
        </w:tc>
        <w:tc>
          <w:tcPr>
            <w:tcW w:type="dxa" w:w="4500"/>
          </w:tcPr>
          <w:p>
            <w:r>
              <w:t xml:space="preserve">SEBI master circular bearing number SEBI/HO/MIRSD/MIRSD-PoD/P/CIR/2025/91 dated June 23, 2025</w:t>
            </w:r>
          </w:p>
        </w:tc>
      </w:tr>
      <w:tr>
        <w:tc>
          <w:tcPr>
            <w:tcW w:type="dxa" w:w="4500"/>
          </w:tcPr>
          <w:p>
            <w:r>
              <w:t xml:space="preserve">SEBI SBEB &amp; SE Regulations</w:t>
            </w:r>
          </w:p>
        </w:tc>
        <w:tc>
          <w:tcPr>
            <w:tcW w:type="dxa" w:w="4500"/>
          </w:tcPr>
          <w:p>
            <w:r>
              <w:t xml:space="preserve">Securities and Exchange Board of India (Share Based Employee Benefits and Sweat Equity) Regulations, 2021</w:t>
            </w:r>
          </w:p>
        </w:tc>
      </w:tr>
      <w:tr>
        <w:tc>
          <w:tcPr>
            <w:tcW w:type="dxa" w:w="4500"/>
          </w:tcPr>
          <w:p>
            <w:r>
              <w:t xml:space="preserve">SEBI Takeover Regulations</w:t>
            </w:r>
          </w:p>
        </w:tc>
        <w:tc>
          <w:tcPr>
            <w:tcW w:type="dxa" w:w="4500"/>
          </w:tcPr>
          <w:p>
            <w:r>
              <w:t xml:space="preserve">Securities and Exchange Board of India (Substantial Acquisition of Shares and Takeovers) Regulations, 2011</w:t>
            </w:r>
          </w:p>
        </w:tc>
      </w:tr>
      <w:tr>
        <w:tc>
          <w:tcPr>
            <w:tcW w:type="dxa" w:w="4500"/>
          </w:tcPr>
          <w:p>
            <w:r>
              <w:t xml:space="preserve">SEBI VCF Regulations</w:t>
            </w:r>
          </w:p>
        </w:tc>
        <w:tc>
          <w:tcPr>
            <w:tcW w:type="dxa" w:w="4500"/>
          </w:tcPr>
          <w:p>
            <w:r>
              <w:t xml:space="preserve">Securities and Exchange Board of India (Venture Capital Fund) Regulations, 1996 as repealed pursuant to SEBI AIF Regulations</w:t>
            </w:r>
          </w:p>
        </w:tc>
      </w:tr>
      <w:tr>
        <w:tc>
          <w:tcPr>
            <w:tcW w:type="dxa" w:w="4500"/>
          </w:tcPr>
          <w:p>
            <w:r>
              <w:t xml:space="preserve">State Government</w:t>
            </w:r>
          </w:p>
        </w:tc>
        <w:tc>
          <w:tcPr>
            <w:tcW w:type="dxa" w:w="4500"/>
          </w:tcPr>
          <w:p>
            <w:r>
              <w:t xml:space="preserve">Government of a state of India.</w:t>
            </w:r>
          </w:p>
        </w:tc>
      </w:tr>
      <w:tr>
        <w:tc>
          <w:tcPr>
            <w:tcW w:type="dxa" w:w="4500"/>
          </w:tcPr>
          <w:p>
            <w:r>
              <w:t xml:space="preserve">U.S. Securities Act</w:t>
            </w:r>
          </w:p>
        </w:tc>
        <w:tc>
          <w:tcPr>
            <w:tcW w:type="dxa" w:w="4500"/>
          </w:tcPr>
          <w:p>
            <w:r>
              <w:t xml:space="preserve">United States Securities Act of 1933, as amended</w:t>
            </w:r>
          </w:p>
        </w:tc>
      </w:tr>
      <w:tr>
        <w:tc>
          <w:tcPr>
            <w:tcW w:type="dxa" w:w="4500"/>
          </w:tcPr>
          <w:p>
            <w:r>
              <w:t xml:space="preserve">US GAAP</w:t>
            </w:r>
          </w:p>
        </w:tc>
        <w:tc>
          <w:tcPr>
            <w:tcW w:type="dxa" w:w="4500"/>
          </w:tcPr>
          <w:p>
            <w:r>
              <w:t xml:space="preserve">Generally Accepted Accounting Principles in the United States of America.</w:t>
            </w:r>
          </w:p>
        </w:tc>
      </w:tr>
      <w:tr>
        <w:tc>
          <w:tcPr>
            <w:tcW w:type="dxa" w:w="4500"/>
          </w:tcPr>
          <w:p>
            <w:r>
              <w:t xml:space="preserve">USA/ United States/ U.S. / US</w:t>
            </w:r>
          </w:p>
        </w:tc>
        <w:tc>
          <w:tcPr>
            <w:tcW w:type="dxa" w:w="4500"/>
          </w:tcPr>
          <w:p>
            <w:r>
              <w:t xml:space="preserve">The United States of America</w:t>
            </w:r>
          </w:p>
        </w:tc>
      </w:tr>
      <w:tr>
        <w:tc>
          <w:tcPr>
            <w:tcW w:type="dxa" w:w="4500"/>
          </w:tcPr>
          <w:p>
            <w:r>
              <w:t xml:space="preserve">USD</w:t>
            </w:r>
          </w:p>
        </w:tc>
        <w:tc>
          <w:tcPr>
            <w:tcW w:type="dxa" w:w="4500"/>
          </w:tcPr>
          <w:p>
            <w:r>
              <w:t xml:space="preserve">United States Dollars</w:t>
            </w:r>
          </w:p>
        </w:tc>
      </w:tr>
      <w:tr>
        <w:tc>
          <w:tcPr>
            <w:tcW w:type="dxa" w:w="4500"/>
          </w:tcPr>
          <w:p>
            <w:r>
              <w:t xml:space="preserve">VCFs</w:t>
            </w:r>
          </w:p>
        </w:tc>
        <w:tc>
          <w:tcPr>
            <w:tcW w:type="dxa" w:w="4500"/>
          </w:tcPr>
          <w:p>
            <w:r>
              <w:t xml:space="preserve">Venture capital funds as defined in, and registered with SEBI under, the SEBI VCF Regulations (now repealed) or the SEBI AIF Regulations, as the case may be</w:t>
            </w:r>
          </w:p>
        </w:tc>
      </w:tr>
    </w:tbl>
    <w:p/>
    <w:p>
      <w:pPr>
        <w:pStyle w:val="Heading3"/>
      </w:pPr>
      <w:r>
        <w:t xml:space="preserve">Technical and Industry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2W</w:t>
            </w:r>
          </w:p>
        </w:tc>
        <w:tc>
          <w:tcPr>
            <w:tcW w:type="dxa" w:w="4500"/>
          </w:tcPr>
          <w:p>
            <w:r>
              <w:t xml:space="preserve">Two-Wheelers</w:t>
            </w:r>
          </w:p>
        </w:tc>
      </w:tr>
      <w:tr>
        <w:tc>
          <w:tcPr>
            <w:tcW w:type="dxa" w:w="4500"/>
          </w:tcPr>
          <w:p>
            <w:r>
              <w:t xml:space="preserve">3W</w:t>
            </w:r>
          </w:p>
        </w:tc>
        <w:tc>
          <w:tcPr>
            <w:tcW w:type="dxa" w:w="4500"/>
          </w:tcPr>
          <w:p>
            <w:r>
              <w:t xml:space="preserve">Three Wheelers</w:t>
            </w:r>
          </w:p>
        </w:tc>
      </w:tr>
      <w:tr>
        <w:tc>
          <w:tcPr>
            <w:tcW w:type="dxa" w:w="4500"/>
          </w:tcPr>
          <w:p>
            <w:r>
              <w:t xml:space="preserve">4W</w:t>
            </w:r>
          </w:p>
        </w:tc>
        <w:tc>
          <w:tcPr>
            <w:tcW w:type="dxa" w:w="4500"/>
          </w:tcPr>
          <w:p>
            <w:r>
              <w:t xml:space="preserve">Four Wheelers</w:t>
            </w:r>
          </w:p>
        </w:tc>
      </w:tr>
      <w:tr>
        <w:tc>
          <w:tcPr>
            <w:tcW w:type="dxa" w:w="4500"/>
          </w:tcPr>
          <w:p>
            <w:r>
              <w:t xml:space="preserve">AAS</w:t>
            </w:r>
          </w:p>
        </w:tc>
        <w:tc>
          <w:tcPr>
            <w:tcW w:type="dxa" w:w="4500"/>
          </w:tcPr>
          <w:p>
            <w:r>
              <w:t xml:space="preserve">Advance Authorization Scheme</w:t>
            </w:r>
          </w:p>
        </w:tc>
      </w:tr>
      <w:tr>
        <w:tc>
          <w:tcPr>
            <w:tcW w:type="dxa" w:w="4500"/>
          </w:tcPr>
          <w:p>
            <w:r>
              <w:t xml:space="preserve">ACC</w:t>
            </w:r>
          </w:p>
        </w:tc>
        <w:tc>
          <w:tcPr>
            <w:tcW w:type="dxa" w:w="4500"/>
          </w:tcPr>
          <w:p>
            <w:r>
              <w:t xml:space="preserve">Advanced Chemistry Cell</w:t>
            </w:r>
          </w:p>
        </w:tc>
      </w:tr>
      <w:tr>
        <w:tc>
          <w:tcPr>
            <w:tcW w:type="dxa" w:w="4500"/>
          </w:tcPr>
          <w:p>
            <w:r>
              <w:t xml:space="preserve">ADAS</w:t>
            </w:r>
          </w:p>
        </w:tc>
        <w:tc>
          <w:tcPr>
            <w:tcW w:type="dxa" w:w="4500"/>
          </w:tcPr>
          <w:p>
            <w:r>
              <w:t xml:space="preserve">Advanced driver-assistance systems</w:t>
            </w:r>
          </w:p>
        </w:tc>
      </w:tr>
      <w:tr>
        <w:tc>
          <w:tcPr>
            <w:tcW w:type="dxa" w:w="4500"/>
          </w:tcPr>
          <w:p>
            <w:r>
              <w:t xml:space="preserve">AMRUT</w:t>
            </w:r>
          </w:p>
        </w:tc>
        <w:tc>
          <w:tcPr>
            <w:tcW w:type="dxa" w:w="4500"/>
          </w:tcPr>
          <w:p>
            <w:r>
              <w:t xml:space="preserve">Atal Mission for Rejuvenation and Urban Transformation</w:t>
            </w:r>
          </w:p>
        </w:tc>
      </w:tr>
      <w:tr>
        <w:tc>
          <w:tcPr>
            <w:tcW w:type="dxa" w:w="4500"/>
          </w:tcPr>
          <w:p>
            <w:r>
              <w:t xml:space="preserve">BCD</w:t>
            </w:r>
          </w:p>
        </w:tc>
        <w:tc>
          <w:tcPr>
            <w:tcW w:type="dxa" w:w="4500"/>
          </w:tcPr>
          <w:p>
            <w:r>
              <w:t xml:space="preserve">Basic Custom Duty</w:t>
            </w:r>
          </w:p>
        </w:tc>
      </w:tr>
      <w:tr>
        <w:tc>
          <w:tcPr>
            <w:tcW w:type="dxa" w:w="4500"/>
          </w:tcPr>
          <w:p>
            <w:r>
              <w:t xml:space="preserve">BESS</w:t>
            </w:r>
          </w:p>
        </w:tc>
        <w:tc>
          <w:tcPr>
            <w:tcW w:type="dxa" w:w="4500"/>
          </w:tcPr>
          <w:p>
            <w:r>
              <w:t xml:space="preserve">Battery Energy Storage System</w:t>
            </w:r>
          </w:p>
        </w:tc>
      </w:tr>
      <w:tr>
        <w:tc>
          <w:tcPr>
            <w:tcW w:type="dxa" w:w="4500"/>
          </w:tcPr>
          <w:p>
            <w:r>
              <w:t xml:space="preserve">BIS</w:t>
            </w:r>
          </w:p>
        </w:tc>
        <w:tc>
          <w:tcPr>
            <w:tcW w:type="dxa" w:w="4500"/>
          </w:tcPr>
          <w:p>
            <w:r>
              <w:t xml:space="preserve">Bureau of Indian Standards</w:t>
            </w:r>
          </w:p>
        </w:tc>
      </w:tr>
      <w:tr>
        <w:tc>
          <w:tcPr>
            <w:tcW w:type="dxa" w:w="4500"/>
          </w:tcPr>
          <w:p>
            <w:r>
              <w:t xml:space="preserve">BLDC</w:t>
            </w:r>
          </w:p>
        </w:tc>
        <w:tc>
          <w:tcPr>
            <w:tcW w:type="dxa" w:w="4500"/>
          </w:tcPr>
          <w:p>
            <w:r>
              <w:t xml:space="preserve">Brushless Direct Current</w:t>
            </w:r>
          </w:p>
        </w:tc>
      </w:tr>
      <w:tr>
        <w:tc>
          <w:tcPr>
            <w:tcW w:type="dxa" w:w="4500"/>
          </w:tcPr>
          <w:p>
            <w:r>
              <w:t xml:space="preserve">BTA</w:t>
            </w:r>
          </w:p>
        </w:tc>
        <w:tc>
          <w:tcPr>
            <w:tcW w:type="dxa" w:w="4500"/>
          </w:tcPr>
          <w:p>
            <w:r>
              <w:t xml:space="preserve">Bilateral trade agreement</w:t>
            </w:r>
          </w:p>
        </w:tc>
      </w:tr>
      <w:tr>
        <w:tc>
          <w:tcPr>
            <w:tcW w:type="dxa" w:w="4500"/>
          </w:tcPr>
          <w:p>
            <w:r>
              <w:t xml:space="preserve">BU</w:t>
            </w:r>
          </w:p>
        </w:tc>
        <w:tc>
          <w:tcPr>
            <w:tcW w:type="dxa" w:w="4500"/>
          </w:tcPr>
          <w:p>
            <w:r>
              <w:t xml:space="preserve">Billion unit</w:t>
            </w:r>
          </w:p>
        </w:tc>
      </w:tr>
      <w:tr>
        <w:tc>
          <w:tcPr>
            <w:tcW w:type="dxa" w:w="4500"/>
          </w:tcPr>
          <w:p>
            <w:r>
              <w:t xml:space="preserve">CEA</w:t>
            </w:r>
          </w:p>
        </w:tc>
        <w:tc>
          <w:tcPr>
            <w:tcW w:type="dxa" w:w="4500"/>
          </w:tcPr>
          <w:p>
            <w:r>
              <w:t xml:space="preserve">Central Electricity Authority</w:t>
            </w:r>
          </w:p>
        </w:tc>
      </w:tr>
      <w:tr>
        <w:tc>
          <w:tcPr>
            <w:tcW w:type="dxa" w:w="4500"/>
          </w:tcPr>
          <w:p>
            <w:r>
              <w:t xml:space="preserve">CERC</w:t>
            </w:r>
          </w:p>
        </w:tc>
        <w:tc>
          <w:tcPr>
            <w:tcW w:type="dxa" w:w="4500"/>
          </w:tcPr>
          <w:p>
            <w:r>
              <w:t xml:space="preserve">Central Electricity Regulatory Commission</w:t>
            </w:r>
          </w:p>
        </w:tc>
      </w:tr>
      <w:tr>
        <w:tc>
          <w:tcPr>
            <w:tcW w:type="dxa" w:w="4500"/>
          </w:tcPr>
          <w:p>
            <w:r>
              <w:t xml:space="preserve">CKM</w:t>
            </w:r>
          </w:p>
        </w:tc>
        <w:tc>
          <w:tcPr>
            <w:tcW w:type="dxa" w:w="4500"/>
          </w:tcPr>
          <w:p>
            <w:r>
              <w:t xml:space="preserve">Circuit Kilometers</w:t>
            </w:r>
          </w:p>
        </w:tc>
      </w:tr>
      <w:tr>
        <w:tc>
          <w:tcPr>
            <w:tcW w:type="dxa" w:w="4500"/>
          </w:tcPr>
          <w:p>
            <w:r>
              <w:t xml:space="preserve">CTC</w:t>
            </w:r>
          </w:p>
        </w:tc>
        <w:tc>
          <w:tcPr>
            <w:tcW w:type="dxa" w:w="4500"/>
          </w:tcPr>
          <w:p>
            <w:r>
              <w:t xml:space="preserve">Continuous Transposed Conductors</w:t>
            </w:r>
          </w:p>
        </w:tc>
      </w:tr>
      <w:tr>
        <w:tc>
          <w:tcPr>
            <w:tcW w:type="dxa" w:w="4500"/>
          </w:tcPr>
          <w:p>
            <w:r>
              <w:t xml:space="preserve">CUF</w:t>
            </w:r>
          </w:p>
        </w:tc>
        <w:tc>
          <w:tcPr>
            <w:tcW w:type="dxa" w:w="4500"/>
          </w:tcPr>
          <w:p>
            <w:r>
              <w:t xml:space="preserve">Capacity Utilization Factor</w:t>
            </w:r>
          </w:p>
        </w:tc>
      </w:tr>
      <w:tr>
        <w:tc>
          <w:tcPr>
            <w:tcW w:type="dxa" w:w="4500"/>
          </w:tcPr>
          <w:p>
            <w:r>
              <w:t xml:space="preserve">DDUGJY</w:t>
            </w:r>
          </w:p>
        </w:tc>
        <w:tc>
          <w:tcPr>
            <w:tcW w:type="dxa" w:w="4500"/>
          </w:tcPr>
          <w:p>
            <w:r>
              <w:t xml:space="preserve">Deen Dayal Upadhyaya Gram Jyoti</w:t>
            </w:r>
          </w:p>
        </w:tc>
      </w:tr>
      <w:tr>
        <w:tc>
          <w:tcPr>
            <w:tcW w:type="dxa" w:w="4500"/>
          </w:tcPr>
          <w:p>
            <w:r>
              <w:t xml:space="preserve">DFI</w:t>
            </w:r>
          </w:p>
        </w:tc>
        <w:tc>
          <w:tcPr>
            <w:tcW w:type="dxa" w:w="4500"/>
          </w:tcPr>
          <w:p>
            <w:r>
              <w:t xml:space="preserve">Development Finance Institution</w:t>
            </w:r>
          </w:p>
        </w:tc>
      </w:tr>
      <w:tr>
        <w:tc>
          <w:tcPr>
            <w:tcW w:type="dxa" w:w="4500"/>
          </w:tcPr>
          <w:p>
            <w:r>
              <w:t xml:space="preserve">DFIA</w:t>
            </w:r>
          </w:p>
        </w:tc>
        <w:tc>
          <w:tcPr>
            <w:tcW w:type="dxa" w:w="4500"/>
          </w:tcPr>
          <w:p>
            <w:r>
              <w:t xml:space="preserve">Duty-Free Import Authorisation</w:t>
            </w:r>
          </w:p>
        </w:tc>
      </w:tr>
      <w:tr>
        <w:tc>
          <w:tcPr>
            <w:tcW w:type="dxa" w:w="4500"/>
          </w:tcPr>
          <w:p>
            <w:r>
              <w:t xml:space="preserve">DG</w:t>
            </w:r>
          </w:p>
        </w:tc>
        <w:tc>
          <w:tcPr>
            <w:tcW w:type="dxa" w:w="4500"/>
          </w:tcPr>
          <w:p>
            <w:r>
              <w:t xml:space="preserve">Diesel Generators</w:t>
            </w:r>
          </w:p>
        </w:tc>
      </w:tr>
      <w:tr>
        <w:tc>
          <w:tcPr>
            <w:tcW w:type="dxa" w:w="4500"/>
          </w:tcPr>
          <w:p>
            <w:r>
              <w:t xml:space="preserve">EBITDA</w:t>
            </w:r>
          </w:p>
        </w:tc>
        <w:tc>
          <w:tcPr>
            <w:tcW w:type="dxa" w:w="4500"/>
          </w:tcPr>
          <w:p>
            <w:r>
              <w:t xml:space="preserve">Earnings Before Interest, Taxes, Depreciation, and Amortization.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EMIS</w:t>
            </w:r>
          </w:p>
        </w:tc>
        <w:tc>
          <w:tcPr>
            <w:tcW w:type="dxa" w:w="4500"/>
          </w:tcPr>
          <w:p>
            <w:r>
              <w:t xml:space="preserve">Education Management Information System</w:t>
            </w:r>
          </w:p>
        </w:tc>
      </w:tr>
      <w:tr>
        <w:tc>
          <w:tcPr>
            <w:tcW w:type="dxa" w:w="4500"/>
          </w:tcPr>
          <w:p>
            <w:r>
              <w:t xml:space="preserve">EPCG</w:t>
            </w:r>
          </w:p>
        </w:tc>
        <w:tc>
          <w:tcPr>
            <w:tcW w:type="dxa" w:w="4500"/>
          </w:tcPr>
          <w:p>
            <w:r>
              <w:t xml:space="preserve">Export Promotion Capital Goods</w:t>
            </w:r>
          </w:p>
        </w:tc>
      </w:tr>
      <w:tr>
        <w:tc>
          <w:tcPr>
            <w:tcW w:type="dxa" w:w="4500"/>
          </w:tcPr>
          <w:p>
            <w:r>
              <w:t xml:space="preserve">EV</w:t>
            </w:r>
          </w:p>
        </w:tc>
        <w:tc>
          <w:tcPr>
            <w:tcW w:type="dxa" w:w="4500"/>
          </w:tcPr>
          <w:p>
            <w:r>
              <w:t xml:space="preserve">Electric Vehicles</w:t>
            </w:r>
          </w:p>
        </w:tc>
      </w:tr>
      <w:tr>
        <w:tc>
          <w:tcPr>
            <w:tcW w:type="dxa" w:w="4500"/>
          </w:tcPr>
          <w:p>
            <w:r>
              <w:t xml:space="preserve">FAME</w:t>
            </w:r>
          </w:p>
        </w:tc>
        <w:tc>
          <w:tcPr>
            <w:tcW w:type="dxa" w:w="4500"/>
          </w:tcPr>
          <w:p>
            <w:r>
              <w:t xml:space="preserve">Faster Adoption and Manufacturing of Hybrid and Electric Vehicles</w:t>
            </w:r>
          </w:p>
        </w:tc>
      </w:tr>
      <w:tr>
        <w:tc>
          <w:tcPr>
            <w:tcW w:type="dxa" w:w="4500"/>
          </w:tcPr>
          <w:p>
            <w:r>
              <w:t xml:space="preserve">FE</w:t>
            </w:r>
          </w:p>
        </w:tc>
        <w:tc>
          <w:tcPr>
            <w:tcW w:type="dxa" w:w="4500"/>
          </w:tcPr>
          <w:p>
            <w:r>
              <w:t xml:space="preserve">Final Estimates</w:t>
            </w:r>
          </w:p>
        </w:tc>
      </w:tr>
      <w:tr>
        <w:tc>
          <w:tcPr>
            <w:tcW w:type="dxa" w:w="4500"/>
          </w:tcPr>
          <w:p>
            <w:r>
              <w:t xml:space="preserve">FHP</w:t>
            </w:r>
          </w:p>
        </w:tc>
        <w:tc>
          <w:tcPr>
            <w:tcW w:type="dxa" w:w="4500"/>
          </w:tcPr>
          <w:p>
            <w:r>
              <w:t xml:space="preserve">Fractional Horsepower</w:t>
            </w:r>
          </w:p>
        </w:tc>
      </w:tr>
      <w:tr>
        <w:tc>
          <w:tcPr>
            <w:tcW w:type="dxa" w:w="4500"/>
          </w:tcPr>
          <w:p>
            <w:r>
              <w:t xml:space="preserve">FRE</w:t>
            </w:r>
          </w:p>
        </w:tc>
        <w:tc>
          <w:tcPr>
            <w:tcW w:type="dxa" w:w="4500"/>
          </w:tcPr>
          <w:p>
            <w:r>
              <w:t xml:space="preserve">First Revised Estimates</w:t>
            </w:r>
          </w:p>
        </w:tc>
      </w:tr>
      <w:tr>
        <w:tc>
          <w:tcPr>
            <w:tcW w:type="dxa" w:w="4500"/>
          </w:tcPr>
          <w:p>
            <w:r>
              <w:t xml:space="preserve">FSA</w:t>
            </w:r>
          </w:p>
        </w:tc>
        <w:tc>
          <w:tcPr>
            <w:tcW w:type="dxa" w:w="4500"/>
          </w:tcPr>
          <w:p>
            <w:r>
              <w:t xml:space="preserve">Fuel Supply Agreements</w:t>
            </w:r>
          </w:p>
        </w:tc>
      </w:tr>
      <w:tr>
        <w:tc>
          <w:tcPr>
            <w:tcW w:type="dxa" w:w="4500"/>
          </w:tcPr>
          <w:p>
            <w:r>
              <w:t xml:space="preserve">FTA</w:t>
            </w:r>
          </w:p>
        </w:tc>
        <w:tc>
          <w:tcPr>
            <w:tcW w:type="dxa" w:w="4500"/>
          </w:tcPr>
          <w:p>
            <w:r>
              <w:t xml:space="preserve">Free Trade Agreements</w:t>
            </w:r>
          </w:p>
        </w:tc>
      </w:tr>
      <w:tr>
        <w:tc>
          <w:tcPr>
            <w:tcW w:type="dxa" w:w="4500"/>
          </w:tcPr>
          <w:p>
            <w:r>
              <w:t xml:space="preserve">GDP</w:t>
            </w:r>
          </w:p>
        </w:tc>
        <w:tc>
          <w:tcPr>
            <w:tcW w:type="dxa" w:w="4500"/>
          </w:tcPr>
          <w:p>
            <w:r>
              <w:t xml:space="preserve">Gross Domestic Product</w:t>
            </w:r>
          </w:p>
        </w:tc>
      </w:tr>
      <w:tr>
        <w:tc>
          <w:tcPr>
            <w:tcW w:type="dxa" w:w="4500"/>
          </w:tcPr>
          <w:p>
            <w:r>
              <w:t xml:space="preserve">GNDI</w:t>
            </w:r>
          </w:p>
        </w:tc>
        <w:tc>
          <w:tcPr>
            <w:tcW w:type="dxa" w:w="4500"/>
          </w:tcPr>
          <w:p>
            <w:r>
              <w:t xml:space="preserve">Gross National Disposable Income</w:t>
            </w:r>
          </w:p>
        </w:tc>
      </w:tr>
      <w:tr>
        <w:tc>
          <w:tcPr>
            <w:tcW w:type="dxa" w:w="4500"/>
          </w:tcPr>
          <w:p>
            <w:r>
              <w:t xml:space="preserve">GVA</w:t>
            </w:r>
          </w:p>
        </w:tc>
        <w:tc>
          <w:tcPr>
            <w:tcW w:type="dxa" w:w="4500"/>
          </w:tcPr>
          <w:p>
            <w:r>
              <w:t xml:space="preserve">Gross Value Added</w:t>
            </w:r>
          </w:p>
        </w:tc>
      </w:tr>
      <w:tr>
        <w:tc>
          <w:tcPr>
            <w:tcW w:type="dxa" w:w="4500"/>
          </w:tcPr>
          <w:p>
            <w:r>
              <w:t xml:space="preserve">GW</w:t>
            </w:r>
          </w:p>
        </w:tc>
        <w:tc>
          <w:tcPr>
            <w:tcW w:type="dxa" w:w="4500"/>
          </w:tcPr>
          <w:p>
            <w:r>
              <w:t xml:space="preserve">Gigawatt</w:t>
            </w:r>
          </w:p>
        </w:tc>
      </w:tr>
      <w:tr>
        <w:tc>
          <w:tcPr>
            <w:tcW w:type="dxa" w:w="4500"/>
          </w:tcPr>
          <w:p>
            <w:r>
              <w:t xml:space="preserve">GWH</w:t>
            </w:r>
          </w:p>
        </w:tc>
        <w:tc>
          <w:tcPr>
            <w:tcW w:type="dxa" w:w="4500"/>
          </w:tcPr>
          <w:p>
            <w:r>
              <w:t xml:space="preserve">Gigawatt-Hour</w:t>
            </w:r>
          </w:p>
        </w:tc>
      </w:tr>
      <w:tr>
        <w:tc>
          <w:tcPr>
            <w:tcW w:type="dxa" w:w="4500"/>
          </w:tcPr>
          <w:p>
            <w:r>
              <w:t xml:space="preserve">HT</w:t>
            </w:r>
          </w:p>
        </w:tc>
        <w:tc>
          <w:tcPr>
            <w:tcW w:type="dxa" w:w="4500"/>
          </w:tcPr>
          <w:p>
            <w:r>
              <w:t xml:space="preserve">High Tension</w:t>
            </w:r>
          </w:p>
        </w:tc>
      </w:tr>
      <w:tr>
        <w:tc>
          <w:tcPr>
            <w:tcW w:type="dxa" w:w="4500"/>
          </w:tcPr>
          <w:p>
            <w:r>
              <w:t xml:space="preserve">HVAC</w:t>
            </w:r>
          </w:p>
        </w:tc>
        <w:tc>
          <w:tcPr>
            <w:tcW w:type="dxa" w:w="4500"/>
          </w:tcPr>
          <w:p>
            <w:r>
              <w:t xml:space="preserve">Heating, Ventilation, and Air Conditioning</w:t>
            </w:r>
          </w:p>
        </w:tc>
      </w:tr>
      <w:tr>
        <w:tc>
          <w:tcPr>
            <w:tcW w:type="dxa" w:w="4500"/>
          </w:tcPr>
          <w:p>
            <w:r>
              <w:t xml:space="preserve">HVDC</w:t>
            </w:r>
          </w:p>
        </w:tc>
        <w:tc>
          <w:tcPr>
            <w:tcW w:type="dxa" w:w="4500"/>
          </w:tcPr>
          <w:p>
            <w:r>
              <w:t xml:space="preserve">High Voltage Direct Current</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ICE</w:t>
            </w:r>
          </w:p>
        </w:tc>
        <w:tc>
          <w:tcPr>
            <w:tcW w:type="dxa" w:w="4500"/>
          </w:tcPr>
          <w:p>
            <w:r>
              <w:t xml:space="preserve">Internal Combustion Engine</w:t>
            </w:r>
          </w:p>
        </w:tc>
      </w:tr>
      <w:tr>
        <w:tc>
          <w:tcPr>
            <w:tcW w:type="dxa" w:w="4500"/>
          </w:tcPr>
          <w:p>
            <w:r>
              <w:t xml:space="preserve">IEA</w:t>
            </w:r>
          </w:p>
        </w:tc>
        <w:tc>
          <w:tcPr>
            <w:tcW w:type="dxa" w:w="4500"/>
          </w:tcPr>
          <w:p>
            <w:r>
              <w:t xml:space="preserve">International Energy Agency</w:t>
            </w:r>
          </w:p>
        </w:tc>
      </w:tr>
      <w:tr>
        <w:tc>
          <w:tcPr>
            <w:tcW w:type="dxa" w:w="4500"/>
          </w:tcPr>
          <w:p>
            <w:r>
              <w:t xml:space="preserve">IEBR</w:t>
            </w:r>
          </w:p>
        </w:tc>
        <w:tc>
          <w:tcPr>
            <w:tcW w:type="dxa" w:w="4500"/>
          </w:tcPr>
          <w:p>
            <w:r>
              <w:t xml:space="preserve">Internal and Extra Budgetary Resources</w:t>
            </w:r>
          </w:p>
        </w:tc>
      </w:tr>
      <w:tr>
        <w:tc>
          <w:tcPr>
            <w:tcW w:type="dxa" w:w="4500"/>
          </w:tcPr>
          <w:p>
            <w:r>
              <w:t xml:space="preserve">IEC</w:t>
            </w:r>
          </w:p>
        </w:tc>
        <w:tc>
          <w:tcPr>
            <w:tcW w:type="dxa" w:w="4500"/>
          </w:tcPr>
          <w:p>
            <w:r>
              <w:t xml:space="preserve">International Electrotechnical Commission</w:t>
            </w:r>
          </w:p>
        </w:tc>
      </w:tr>
      <w:tr>
        <w:tc>
          <w:tcPr>
            <w:tcW w:type="dxa" w:w="4500"/>
          </w:tcPr>
          <w:p>
            <w:r>
              <w:t xml:space="preserve">IIP</w:t>
            </w:r>
          </w:p>
        </w:tc>
        <w:tc>
          <w:tcPr>
            <w:tcW w:type="dxa" w:w="4500"/>
          </w:tcPr>
          <w:p>
            <w:r>
              <w:t xml:space="preserve">Index of Industrial Production</w:t>
            </w:r>
          </w:p>
        </w:tc>
      </w:tr>
      <w:tr>
        <w:tc>
          <w:tcPr>
            <w:tcW w:type="dxa" w:w="4500"/>
          </w:tcPr>
          <w:p>
            <w:r>
              <w:t xml:space="preserve">IMF</w:t>
            </w:r>
          </w:p>
        </w:tc>
        <w:tc>
          <w:tcPr>
            <w:tcW w:type="dxa" w:w="4500"/>
          </w:tcPr>
          <w:p>
            <w:r>
              <w:t xml:space="preserve">International Monetary Fund</w:t>
            </w:r>
          </w:p>
        </w:tc>
      </w:tr>
      <w:tr>
        <w:tc>
          <w:tcPr>
            <w:tcW w:type="dxa" w:w="4500"/>
          </w:tcPr>
          <w:p>
            <w:r>
              <w:t xml:space="preserve">IPDS</w:t>
            </w:r>
          </w:p>
        </w:tc>
        <w:tc>
          <w:tcPr>
            <w:tcW w:type="dxa" w:w="4500"/>
          </w:tcPr>
          <w:p>
            <w:r>
              <w:t xml:space="preserve">Integrated Power Development Scheme</w:t>
            </w:r>
          </w:p>
        </w:tc>
      </w:tr>
      <w:tr>
        <w:tc>
          <w:tcPr>
            <w:tcW w:type="dxa" w:w="4500"/>
          </w:tcPr>
          <w:p>
            <w:r>
              <w:t xml:space="preserve">ISTS</w:t>
            </w:r>
          </w:p>
        </w:tc>
        <w:tc>
          <w:tcPr>
            <w:tcW w:type="dxa" w:w="4500"/>
          </w:tcPr>
          <w:p>
            <w:r>
              <w:t xml:space="preserve">Inter-State Transmission System</w:t>
            </w:r>
          </w:p>
        </w:tc>
      </w:tr>
      <w:tr>
        <w:tc>
          <w:tcPr>
            <w:tcW w:type="dxa" w:w="4500"/>
          </w:tcPr>
          <w:p>
            <w:r>
              <w:t xml:space="preserve">kV</w:t>
            </w:r>
          </w:p>
        </w:tc>
        <w:tc>
          <w:tcPr>
            <w:tcW w:type="dxa" w:w="4500"/>
          </w:tcPr>
          <w:p>
            <w:r>
              <w:t xml:space="preserve">Kilovolt</w:t>
            </w:r>
          </w:p>
        </w:tc>
      </w:tr>
      <w:tr>
        <w:tc>
          <w:tcPr>
            <w:tcW w:type="dxa" w:w="4500"/>
          </w:tcPr>
          <w:p>
            <w:r>
              <w:t xml:space="preserve">LPG</w:t>
            </w:r>
          </w:p>
        </w:tc>
        <w:tc>
          <w:tcPr>
            <w:tcW w:type="dxa" w:w="4500"/>
          </w:tcPr>
          <w:p>
            <w:r>
              <w:t xml:space="preserve">Liquid Propane Gas</w:t>
            </w:r>
          </w:p>
        </w:tc>
      </w:tr>
      <w:tr>
        <w:tc>
          <w:tcPr>
            <w:tcW w:type="dxa" w:w="4500"/>
          </w:tcPr>
          <w:p>
            <w:r>
              <w:t xml:space="preserve">LT</w:t>
            </w:r>
          </w:p>
        </w:tc>
        <w:tc>
          <w:tcPr>
            <w:tcW w:type="dxa" w:w="4500"/>
          </w:tcPr>
          <w:p>
            <w:r>
              <w:t xml:space="preserve">Low Tension</w:t>
            </w:r>
          </w:p>
        </w:tc>
      </w:tr>
      <w:tr>
        <w:tc>
          <w:tcPr>
            <w:tcW w:type="dxa" w:w="4500"/>
          </w:tcPr>
          <w:p>
            <w:r>
              <w:t xml:space="preserve">MOSPI</w:t>
            </w:r>
          </w:p>
        </w:tc>
        <w:tc>
          <w:tcPr>
            <w:tcW w:type="dxa" w:w="4500"/>
          </w:tcPr>
          <w:p>
            <w:r>
              <w:t xml:space="preserve">Ministry of Statistics and Programme Implementation</w:t>
            </w:r>
          </w:p>
        </w:tc>
      </w:tr>
      <w:tr>
        <w:tc>
          <w:tcPr>
            <w:tcW w:type="dxa" w:w="4500"/>
          </w:tcPr>
          <w:p>
            <w:r>
              <w:t xml:space="preserve">MVA</w:t>
            </w:r>
          </w:p>
        </w:tc>
        <w:tc>
          <w:tcPr>
            <w:tcW w:type="dxa" w:w="4500"/>
          </w:tcPr>
          <w:p>
            <w:r>
              <w:t xml:space="preserve">Mega Volt-Amperes</w:t>
            </w:r>
          </w:p>
        </w:tc>
      </w:tr>
      <w:tr>
        <w:tc>
          <w:tcPr>
            <w:tcW w:type="dxa" w:w="4500"/>
          </w:tcPr>
          <w:p>
            <w:r>
              <w:t xml:space="preserve">MW</w:t>
            </w:r>
          </w:p>
        </w:tc>
        <w:tc>
          <w:tcPr>
            <w:tcW w:type="dxa" w:w="4500"/>
          </w:tcPr>
          <w:p>
            <w:r>
              <w:t xml:space="preserve">Megawatt</w:t>
            </w:r>
          </w:p>
        </w:tc>
      </w:tr>
      <w:tr>
        <w:tc>
          <w:tcPr>
            <w:tcW w:type="dxa" w:w="4500"/>
          </w:tcPr>
          <w:p>
            <w:r>
              <w:t xml:space="preserve">MWW</w:t>
            </w:r>
          </w:p>
        </w:tc>
        <w:tc>
          <w:tcPr>
            <w:tcW w:type="dxa" w:w="4500"/>
          </w:tcPr>
          <w:p>
            <w:r>
              <w:t xml:space="preserve">Magnet Winding Wires</w:t>
            </w:r>
          </w:p>
        </w:tc>
      </w:tr>
      <w:tr>
        <w:tc>
          <w:tcPr>
            <w:tcW w:type="dxa" w:w="4500"/>
          </w:tcPr>
          <w:p>
            <w:r>
              <w:t xml:space="preserve">NEMMP</w:t>
            </w:r>
          </w:p>
        </w:tc>
        <w:tc>
          <w:tcPr>
            <w:tcW w:type="dxa" w:w="4500"/>
          </w:tcPr>
          <w:p>
            <w:r>
              <w:t xml:space="preserve">National Electric Mobility Mission Plan</w:t>
            </w:r>
          </w:p>
        </w:tc>
      </w:tr>
      <w:tr>
        <w:tc>
          <w:tcPr>
            <w:tcW w:type="dxa" w:w="4500"/>
          </w:tcPr>
          <w:p>
            <w:r>
              <w:t xml:space="preserve">NEP</w:t>
            </w:r>
          </w:p>
        </w:tc>
        <w:tc>
          <w:tcPr>
            <w:tcW w:type="dxa" w:w="4500"/>
          </w:tcPr>
          <w:p>
            <w:r>
              <w:t xml:space="preserve">National Electricity Plan</w:t>
            </w:r>
          </w:p>
        </w:tc>
      </w:tr>
      <w:tr>
        <w:tc>
          <w:tcPr>
            <w:tcW w:type="dxa" w:w="4500"/>
          </w:tcPr>
          <w:p>
            <w:r>
              <w:t xml:space="preserve">NIP</w:t>
            </w:r>
          </w:p>
        </w:tc>
        <w:tc>
          <w:tcPr>
            <w:tcW w:type="dxa" w:w="4500"/>
          </w:tcPr>
          <w:p>
            <w:r>
              <w:t xml:space="preserve">National Infrastructure Pipeline</w:t>
            </w:r>
          </w:p>
        </w:tc>
      </w:tr>
      <w:tr>
        <w:tc>
          <w:tcPr>
            <w:tcW w:type="dxa" w:w="4500"/>
          </w:tcPr>
          <w:p>
            <w:r>
              <w:t xml:space="preserve">NMP</w:t>
            </w:r>
          </w:p>
        </w:tc>
        <w:tc>
          <w:tcPr>
            <w:tcW w:type="dxa" w:w="4500"/>
          </w:tcPr>
          <w:p>
            <w:r>
              <w:t xml:space="preserve">National Monetization Pipeline</w:t>
            </w:r>
          </w:p>
        </w:tc>
      </w:tr>
      <w:tr>
        <w:tc>
          <w:tcPr>
            <w:tcW w:type="dxa" w:w="4500"/>
          </w:tcPr>
          <w:p>
            <w:r>
              <w:t xml:space="preserve">OEMs</w:t>
            </w:r>
          </w:p>
        </w:tc>
        <w:tc>
          <w:tcPr>
            <w:tcW w:type="dxa" w:w="4500"/>
          </w:tcPr>
          <w:p>
            <w:r>
              <w:t xml:space="preserve">Original equipment manufacturer</w:t>
            </w:r>
          </w:p>
        </w:tc>
      </w:tr>
      <w:tr>
        <w:tc>
          <w:tcPr>
            <w:tcW w:type="dxa" w:w="4500"/>
          </w:tcPr>
          <w:p>
            <w:r>
              <w:t xml:space="preserve">OTG</w:t>
            </w:r>
          </w:p>
        </w:tc>
        <w:tc>
          <w:tcPr>
            <w:tcW w:type="dxa" w:w="4500"/>
          </w:tcPr>
          <w:p>
            <w:r>
              <w:t xml:space="preserve">Oven, Toaster, Grill</w:t>
            </w:r>
          </w:p>
        </w:tc>
      </w:tr>
      <w:tr>
        <w:tc>
          <w:tcPr>
            <w:tcW w:type="dxa" w:w="4500"/>
          </w:tcPr>
          <w:p>
            <w:r>
              <w:t xml:space="preserve">PAT</w:t>
            </w:r>
          </w:p>
        </w:tc>
        <w:tc>
          <w:tcPr>
            <w:tcW w:type="dxa" w:w="4500"/>
          </w:tcPr>
          <w:p>
            <w:r>
              <w:t xml:space="preserve">Profit After Tax</w:t>
            </w:r>
          </w:p>
        </w:tc>
      </w:tr>
      <w:tr>
        <w:tc>
          <w:tcPr>
            <w:tcW w:type="dxa" w:w="4500"/>
          </w:tcPr>
          <w:p>
            <w:r>
              <w:t xml:space="preserve">PFCE</w:t>
            </w:r>
          </w:p>
        </w:tc>
        <w:tc>
          <w:tcPr>
            <w:tcW w:type="dxa" w:w="4500"/>
          </w:tcPr>
          <w:p>
            <w:r>
              <w:t xml:space="preserve">Private Final Consumption Expenditure</w:t>
            </w:r>
          </w:p>
        </w:tc>
      </w:tr>
      <w:tr>
        <w:tc>
          <w:tcPr>
            <w:tcW w:type="dxa" w:w="4500"/>
          </w:tcPr>
          <w:p>
            <w:r>
              <w:t xml:space="preserve">PLI</w:t>
            </w:r>
          </w:p>
        </w:tc>
        <w:tc>
          <w:tcPr>
            <w:tcW w:type="dxa" w:w="4500"/>
          </w:tcPr>
          <w:p>
            <w:r>
              <w:t xml:space="preserve">Production Linked Incentives</w:t>
            </w:r>
          </w:p>
        </w:tc>
      </w:tr>
      <w:tr>
        <w:tc>
          <w:tcPr>
            <w:tcW w:type="dxa" w:w="4500"/>
          </w:tcPr>
          <w:p>
            <w:r>
              <w:t xml:space="preserve">PMAY</w:t>
            </w:r>
          </w:p>
        </w:tc>
        <w:tc>
          <w:tcPr>
            <w:tcW w:type="dxa" w:w="4500"/>
          </w:tcPr>
          <w:p>
            <w:r>
              <w:t xml:space="preserve">Pradhan Mantri Awas Yojana</w:t>
            </w:r>
          </w:p>
        </w:tc>
      </w:tr>
      <w:tr>
        <w:tc>
          <w:tcPr>
            <w:tcW w:type="dxa" w:w="4500"/>
          </w:tcPr>
          <w:p>
            <w:r>
              <w:t xml:space="preserve">PM-KUSUM</w:t>
            </w:r>
          </w:p>
        </w:tc>
        <w:tc>
          <w:tcPr>
            <w:tcW w:type="dxa" w:w="4500"/>
          </w:tcPr>
          <w:p>
            <w:r>
              <w:t xml:space="preserve">Pradhan Mantri Kisan Urja Suraksha evam Utthaan Mahabhiyan Yojana</w:t>
            </w:r>
          </w:p>
        </w:tc>
      </w:tr>
      <w:tr>
        <w:tc>
          <w:tcPr>
            <w:tcW w:type="dxa" w:w="4500"/>
          </w:tcPr>
          <w:p>
            <w:r>
              <w:t xml:space="preserve">PV</w:t>
            </w:r>
          </w:p>
        </w:tc>
        <w:tc>
          <w:tcPr>
            <w:tcW w:type="dxa" w:w="4500"/>
          </w:tcPr>
          <w:p>
            <w:r>
              <w:t xml:space="preserve">Photo Voltaic</w:t>
            </w:r>
          </w:p>
        </w:tc>
      </w:tr>
      <w:tr>
        <w:tc>
          <w:tcPr>
            <w:tcW w:type="dxa" w:w="4500"/>
          </w:tcPr>
          <w:p>
            <w:r>
              <w:t xml:space="preserve">PWIL</w:t>
            </w:r>
          </w:p>
        </w:tc>
        <w:tc>
          <w:tcPr>
            <w:tcW w:type="dxa" w:w="4500"/>
          </w:tcPr>
          <w:p>
            <w:r>
              <w:t xml:space="preserve">Kuhic - Koepp Limited</w:t>
            </w:r>
          </w:p>
        </w:tc>
      </w:tr>
      <w:tr>
        <w:tc>
          <w:tcPr>
            <w:tcW w:type="dxa" w:w="4500"/>
          </w:tcPr>
          <w:p>
            <w:r>
              <w:t xml:space="preserve">QSR</w:t>
            </w:r>
          </w:p>
        </w:tc>
        <w:tc>
          <w:tcPr>
            <w:tcW w:type="dxa" w:w="4500"/>
          </w:tcPr>
          <w:p>
            <w:r>
              <w:t xml:space="preserve">Quick Service Restaurants</w:t>
            </w:r>
          </w:p>
        </w:tc>
      </w:tr>
      <w:tr>
        <w:tc>
          <w:tcPr>
            <w:tcW w:type="dxa" w:w="4500"/>
          </w:tcPr>
          <w:p>
            <w:r>
              <w:t xml:space="preserve">RBI</w:t>
            </w:r>
          </w:p>
        </w:tc>
        <w:tc>
          <w:tcPr>
            <w:tcW w:type="dxa" w:w="4500"/>
          </w:tcPr>
          <w:p>
            <w:r>
              <w:t xml:space="preserve">Reserve Bank of India</w:t>
            </w:r>
          </w:p>
        </w:tc>
      </w:tr>
      <w:tr>
        <w:tc>
          <w:tcPr>
            <w:tcW w:type="dxa" w:w="4500"/>
          </w:tcPr>
          <w:p>
            <w:r>
              <w:t xml:space="preserve">RDSS</w:t>
            </w:r>
          </w:p>
        </w:tc>
        <w:tc>
          <w:tcPr>
            <w:tcW w:type="dxa" w:w="4500"/>
          </w:tcPr>
          <w:p>
            <w:r>
              <w:t xml:space="preserve">Revamped Distribution Sector Scheme</w:t>
            </w:r>
          </w:p>
        </w:tc>
      </w:tr>
      <w:tr>
        <w:tc>
          <w:tcPr>
            <w:tcW w:type="dxa" w:w="4500"/>
          </w:tcPr>
          <w:p>
            <w:r>
              <w:t xml:space="preserve">RES</w:t>
            </w:r>
          </w:p>
        </w:tc>
        <w:tc>
          <w:tcPr>
            <w:tcW w:type="dxa" w:w="4500"/>
          </w:tcPr>
          <w:p>
            <w:r>
              <w:t xml:space="preserve">Renewable Energy Resources</w:t>
            </w:r>
          </w:p>
        </w:tc>
      </w:tr>
      <w:tr>
        <w:tc>
          <w:tcPr>
            <w:tcW w:type="dxa" w:w="4500"/>
          </w:tcPr>
          <w:p>
            <w:r>
              <w:t xml:space="preserve">ROCE</w:t>
            </w:r>
          </w:p>
        </w:tc>
        <w:tc>
          <w:tcPr>
            <w:tcW w:type="dxa" w:w="4500"/>
          </w:tcPr>
          <w:p>
            <w:r>
              <w:t xml:space="preserve">Return on Capital Employed</w:t>
            </w:r>
          </w:p>
        </w:tc>
      </w:tr>
      <w:tr>
        <w:tc>
          <w:tcPr>
            <w:tcW w:type="dxa" w:w="4500"/>
          </w:tcPr>
          <w:p>
            <w:r>
              <w:t xml:space="preserve">RoDTEP</w:t>
            </w:r>
          </w:p>
        </w:tc>
        <w:tc>
          <w:tcPr>
            <w:tcW w:type="dxa" w:w="4500"/>
          </w:tcPr>
          <w:p>
            <w:r>
              <w:t xml:space="preserve">Remission of Duties and Taxes on Exported Products</w:t>
            </w:r>
          </w:p>
        </w:tc>
      </w:tr>
      <w:tr>
        <w:tc>
          <w:tcPr>
            <w:tcW w:type="dxa" w:w="4500"/>
          </w:tcPr>
          <w:p>
            <w:r>
              <w:t xml:space="preserve">RoHS</w:t>
            </w:r>
          </w:p>
        </w:tc>
        <w:tc>
          <w:tcPr>
            <w:tcW w:type="dxa" w:w="4500"/>
          </w:tcPr>
          <w:p>
            <w:r>
              <w:t xml:space="preserve">Restriction of Hazardous Substances</w:t>
            </w:r>
          </w:p>
        </w:tc>
      </w:tr>
      <w:tr>
        <w:tc>
          <w:tcPr>
            <w:tcW w:type="dxa" w:w="4500"/>
          </w:tcPr>
          <w:p>
            <w:r>
              <w:t xml:space="preserve">RPO</w:t>
            </w:r>
          </w:p>
        </w:tc>
        <w:tc>
          <w:tcPr>
            <w:tcW w:type="dxa" w:w="4500"/>
          </w:tcPr>
          <w:p>
            <w:r>
              <w:t xml:space="preserve">Renewable Purchase Obligations</w:t>
            </w:r>
          </w:p>
        </w:tc>
      </w:tr>
      <w:tr>
        <w:tc>
          <w:tcPr>
            <w:tcW w:type="dxa" w:w="4500"/>
          </w:tcPr>
          <w:p>
            <w:r>
              <w:t xml:space="preserve">RRTS</w:t>
            </w:r>
          </w:p>
        </w:tc>
        <w:tc>
          <w:tcPr>
            <w:tcW w:type="dxa" w:w="4500"/>
          </w:tcPr>
          <w:p>
            <w:r>
              <w:t xml:space="preserve">Regional rapid transit systems</w:t>
            </w:r>
          </w:p>
        </w:tc>
      </w:tr>
      <w:tr>
        <w:tc>
          <w:tcPr>
            <w:tcW w:type="dxa" w:w="4500"/>
          </w:tcPr>
          <w:p>
            <w:r>
              <w:t xml:space="preserve">SAE</w:t>
            </w:r>
          </w:p>
        </w:tc>
        <w:tc>
          <w:tcPr>
            <w:tcW w:type="dxa" w:w="4500"/>
          </w:tcPr>
          <w:p>
            <w:r>
              <w:t xml:space="preserve">Second Advance Estimates</w:t>
            </w:r>
          </w:p>
        </w:tc>
      </w:tr>
      <w:tr>
        <w:tc>
          <w:tcPr>
            <w:tcW w:type="dxa" w:w="4500"/>
          </w:tcPr>
          <w:p>
            <w:r>
              <w:t xml:space="preserve">SECI</w:t>
            </w:r>
          </w:p>
        </w:tc>
        <w:tc>
          <w:tcPr>
            <w:tcW w:type="dxa" w:w="4500"/>
          </w:tcPr>
          <w:p>
            <w:r>
              <w:t xml:space="preserve">Ratke, Lemke and Lemke Limited of Schoen - Brown Limited</w:t>
            </w:r>
          </w:p>
        </w:tc>
      </w:tr>
      <w:tr>
        <w:tc>
          <w:tcPr>
            <w:tcW w:type="dxa" w:w="4500"/>
          </w:tcPr>
          <w:p>
            <w:r>
              <w:t xml:space="preserve">TIES</w:t>
            </w:r>
          </w:p>
        </w:tc>
        <w:tc>
          <w:tcPr>
            <w:tcW w:type="dxa" w:w="4500"/>
          </w:tcPr>
          <w:p>
            <w:r>
              <w:t xml:space="preserve">Trade Infrastructure for Export Scheme</w:t>
            </w:r>
          </w:p>
        </w:tc>
      </w:tr>
      <w:tr>
        <w:tc>
          <w:tcPr>
            <w:tcW w:type="dxa" w:w="4500"/>
          </w:tcPr>
          <w:p>
            <w:r>
              <w:t xml:space="preserve">UK</w:t>
            </w:r>
          </w:p>
        </w:tc>
        <w:tc>
          <w:tcPr>
            <w:tcW w:type="dxa" w:w="4500"/>
          </w:tcPr>
          <w:p>
            <w:r>
              <w:t xml:space="preserve">United Kingdom</w:t>
            </w:r>
          </w:p>
        </w:tc>
      </w:tr>
      <w:tr>
        <w:tc>
          <w:tcPr>
            <w:tcW w:type="dxa" w:w="4500"/>
          </w:tcPr>
          <w:p>
            <w:r>
              <w:t xml:space="preserve">UL</w:t>
            </w:r>
          </w:p>
        </w:tc>
        <w:tc>
          <w:tcPr>
            <w:tcW w:type="dxa" w:w="4500"/>
          </w:tcPr>
          <w:p>
            <w:r>
              <w:t xml:space="preserve">Underwriters Laboratories</w:t>
            </w:r>
          </w:p>
        </w:tc>
      </w:tr>
      <w:tr>
        <w:tc>
          <w:tcPr>
            <w:tcW w:type="dxa" w:w="4500"/>
          </w:tcPr>
          <w:p>
            <w:r>
              <w:t xml:space="preserve">W&amp;C</w:t>
            </w:r>
          </w:p>
        </w:tc>
        <w:tc>
          <w:tcPr>
            <w:tcW w:type="dxa" w:w="4500"/>
          </w:tcPr>
          <w:p>
            <w:r>
              <w:t xml:space="preserve">Wires and cables</w:t>
            </w:r>
          </w:p>
        </w:tc>
      </w:tr>
      <w:tr>
        <w:tc>
          <w:tcPr>
            <w:tcW w:type="dxa" w:w="4500"/>
          </w:tcPr>
          <w:p>
            <w:r>
              <w:t xml:space="preserve">WEO</w:t>
            </w:r>
          </w:p>
        </w:tc>
        <w:tc>
          <w:tcPr>
            <w:tcW w:type="dxa" w:w="4500"/>
          </w:tcPr>
          <w:p>
            <w:r>
              <w:t xml:space="preserve">World Economic Outlook</w:t>
            </w:r>
          </w:p>
        </w:tc>
      </w:tr>
      <w:tr>
        <w:tc>
          <w:tcPr>
            <w:tcW w:type="dxa" w:w="4500"/>
          </w:tcPr>
          <w:p>
            <w:r>
              <w:t xml:space="preserve">Y-O-Y</w:t>
            </w:r>
          </w:p>
        </w:tc>
        <w:tc>
          <w:tcPr>
            <w:tcW w:type="dxa" w:w="4500"/>
          </w:tcPr>
          <w:p>
            <w:r>
              <w:t xml:space="preserve">Year-on-year Growth</w:t>
            </w:r>
          </w:p>
        </w:tc>
      </w:tr>
    </w:tbl>
    <w:p/>
    <w:p>
      <w:pPr>
        <w:pStyle w:val="Heading3"/>
      </w:pPr>
      <w:r>
        <w:t xml:space="preserve">Key Financial and Operating Metrics used in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  Financial metrics</w:t>
            </w:r>
          </w:p>
        </w:tc>
        <w:tc>
          <w:tcPr>
            <w:tcW w:type="dxa" w:w="4500"/>
          </w:tcPr>
          <w:p>
            <w:r>
              <w:t xml:space="preserve"/>
            </w:r>
          </w:p>
        </w:tc>
      </w:tr>
      <w:tr>
        <w:tc>
          <w:tcPr>
            <w:tcW w:type="dxa" w:w="4500"/>
          </w:tcPr>
          <w:p>
            <w:r>
              <w:t xml:space="preserve">Profit After Tax</w:t>
            </w:r>
          </w:p>
        </w:tc>
        <w:tc>
          <w:tcPr>
            <w:tcW w:type="dxa" w:w="4500"/>
          </w:tcPr>
          <w:p>
            <w:r>
              <w:t xml:space="preserve">Profit for the year is used by the management to track the overall profitability of the business</w:t>
            </w:r>
          </w:p>
        </w:tc>
      </w:tr>
      <w:tr>
        <w:tc>
          <w:tcPr>
            <w:tcW w:type="dxa" w:w="4500"/>
          </w:tcPr>
          <w:p>
            <w:r>
              <w:t xml:space="preserve">Revenue from Operations</w:t>
            </w:r>
          </w:p>
        </w:tc>
        <w:tc>
          <w:tcPr>
            <w:tcW w:type="dxa" w:w="4500"/>
          </w:tcPr>
          <w:p>
            <w:r>
              <w:t xml:space="preserve">Revenue from operation means revenue from operating activities</w:t>
            </w:r>
          </w:p>
        </w:tc>
      </w:tr>
      <w:tr>
        <w:tc>
          <w:tcPr>
            <w:tcW w:type="dxa" w:w="4500"/>
          </w:tcPr>
          <w:p>
            <w:r>
              <w:t xml:space="preserve">Total Income</w:t>
            </w:r>
          </w:p>
        </w:tc>
        <w:tc>
          <w:tcPr>
            <w:tcW w:type="dxa" w:w="4500"/>
          </w:tcPr>
          <w:p>
            <w:r>
              <w:t xml:space="preserve">Total Income is calculated as the sum of revenue from operations and other income</w:t>
            </w:r>
          </w:p>
        </w:tc>
      </w:tr>
      <w:tr>
        <w:tc>
          <w:tcPr>
            <w:tcW w:type="dxa" w:w="4500"/>
          </w:tcPr>
          <w:p>
            <w:r>
              <w:t xml:space="preserve">B.  Non-GAAP Measures</w:t>
            </w:r>
          </w:p>
        </w:tc>
        <w:tc>
          <w:tcPr>
            <w:tcW w:type="dxa" w:w="4500"/>
          </w:tcPr>
          <w:p>
            <w:r>
              <w:t xml:space="preserve"/>
            </w:r>
          </w:p>
        </w:tc>
      </w:tr>
      <w:tr>
        <w:tc>
          <w:tcPr>
            <w:tcW w:type="dxa" w:w="4500"/>
          </w:tcPr>
          <w:p>
            <w:r>
              <w:t xml:space="preserve">EBITDA</w:t>
            </w:r>
          </w:p>
        </w:tc>
        <w:tc>
          <w:tcPr>
            <w:tcW w:type="dxa" w:w="4500"/>
          </w:tcPr>
          <w:p>
            <w:r>
              <w:t xml:space="preserve">EBITDA is calculated as profit for the period minus other income plus finance costs, depreciation and amortization and total tax expense</w:t>
            </w:r>
          </w:p>
        </w:tc>
      </w:tr>
      <w:tr>
        <w:tc>
          <w:tcPr>
            <w:tcW w:type="dxa" w:w="4500"/>
          </w:tcPr>
          <w:p>
            <w:r>
              <w:t xml:space="preserve">EBITDA CAGR (FY23 - FY25)</w:t>
            </w:r>
          </w:p>
        </w:tc>
        <w:tc>
          <w:tcPr>
            <w:tcW w:type="dxa" w:w="4500"/>
          </w:tcPr>
          <w:p>
            <w:r>
              <w:t xml:space="preserve">EBITDA CAGR provides information regarding growth in EBITDA over a period</w:t>
            </w:r>
          </w:p>
        </w:tc>
      </w:tr>
      <w:tr>
        <w:tc>
          <w:tcPr>
            <w:tcW w:type="dxa" w:w="4500"/>
          </w:tcPr>
          <w:p>
            <w:r>
              <w:t xml:space="preserve">EBITDA Margin</w:t>
            </w:r>
          </w:p>
        </w:tc>
        <w:tc>
          <w:tcPr>
            <w:tcW w:type="dxa" w:w="4500"/>
          </w:tcPr>
          <w:p>
            <w:r>
              <w:t xml:space="preserve">EBITDA Margin is calculated as EBITDA divided by revenue from operations</w:t>
            </w:r>
          </w:p>
        </w:tc>
      </w:tr>
      <w:tr>
        <w:tc>
          <w:tcPr>
            <w:tcW w:type="dxa" w:w="4500"/>
          </w:tcPr>
          <w:p>
            <w:r>
              <w:t xml:space="preserve">Fixed Asset Turnover Ratio</w:t>
            </w:r>
          </w:p>
        </w:tc>
        <w:tc>
          <w:tcPr>
            <w:tcW w:type="dxa" w:w="4500"/>
          </w:tcPr>
          <w:p>
            <w:r>
              <w:t xml:space="preserve">Fixed Asset Turnover Ratio is calculated as Revenue from Operations divided by property, plant and equipment</w:t>
            </w:r>
          </w:p>
        </w:tc>
      </w:tr>
      <w:tr>
        <w:tc>
          <w:tcPr>
            <w:tcW w:type="dxa" w:w="4500"/>
          </w:tcPr>
          <w:p>
            <w:r>
              <w:t xml:space="preserve">Net Debt/ EBITDA</w:t>
            </w:r>
          </w:p>
        </w:tc>
        <w:tc>
          <w:tcPr>
            <w:tcW w:type="dxa" w:w="4500"/>
          </w:tcPr>
          <w:p>
            <w:r>
              <w:t xml:space="preserve">Net Debt/ EBITDA is calculated as net debt divided by EBITDA. Net debt is calculated as the sum of long-term borrowings and short-term borrowings less cash and cash equivalents and other bank balances</w:t>
            </w:r>
          </w:p>
        </w:tc>
      </w:tr>
      <w:tr>
        <w:tc>
          <w:tcPr>
            <w:tcW w:type="dxa" w:w="4500"/>
          </w:tcPr>
          <w:p>
            <w:r>
              <w:t xml:space="preserve">Net Debt/ Equity</w:t>
            </w:r>
          </w:p>
        </w:tc>
        <w:tc>
          <w:tcPr>
            <w:tcW w:type="dxa" w:w="4500"/>
          </w:tcPr>
          <w:p>
            <w:r>
              <w:t xml:space="preserve">Net Debt/ Equity is calculated as net debt divided by total equity. Net debt is calculated as the sumof long-term borrowings and short-term borrowings less cash and cash equivalents and other bank balances. Total equity is calculated as share capital plus reserves and surplus</w:t>
            </w:r>
          </w:p>
        </w:tc>
      </w:tr>
      <w:tr>
        <w:tc>
          <w:tcPr>
            <w:tcW w:type="dxa" w:w="4500"/>
          </w:tcPr>
          <w:p>
            <w:r>
              <w:t xml:space="preserve">Net Working Capital Days</w:t>
            </w:r>
          </w:p>
        </w:tc>
        <w:tc>
          <w:tcPr>
            <w:tcW w:type="dxa" w:w="4500"/>
          </w:tcPr>
          <w:p>
            <w:r>
              <w:t xml:space="preserve">Working capital days is computed as inventory days plus trade receivable days minus trade payable days. Inventory days is calculated as inventory divided by cost of goods sold (“COGS”) from operations multiplied by 365 or 91 days. Trade receivables days is calculated as tradereceivables divided by revenue from operations multiplied by 365 or 91 days. Trade payable days is calculated as trade payable divided by COGS multiplied by 365 or 91 days</w:t>
            </w:r>
          </w:p>
        </w:tc>
      </w:tr>
      <w:tr>
        <w:tc>
          <w:tcPr>
            <w:tcW w:type="dxa" w:w="4500"/>
          </w:tcPr>
          <w:p>
            <w:r>
              <w:t xml:space="preserve">PAT CAGR (FY23 - FY25)</w:t>
            </w:r>
          </w:p>
        </w:tc>
        <w:tc>
          <w:tcPr>
            <w:tcW w:type="dxa" w:w="4500"/>
          </w:tcPr>
          <w:p>
            <w:r>
              <w:t xml:space="preserve">PAT CAGR provides information regarding growth in PAT over a period</w:t>
            </w:r>
          </w:p>
        </w:tc>
      </w:tr>
      <w:tr>
        <w:tc>
          <w:tcPr>
            <w:tcW w:type="dxa" w:w="4500"/>
          </w:tcPr>
          <w:p>
            <w:r>
              <w:t xml:space="preserve">Profit After Tax Margin</w:t>
            </w:r>
          </w:p>
        </w:tc>
        <w:tc>
          <w:tcPr>
            <w:tcW w:type="dxa" w:w="4500"/>
          </w:tcPr>
          <w:p>
            <w:r>
              <w:t xml:space="preserve">PAT Margin is calculated as profit for the period divided by Total Income</w:t>
            </w:r>
          </w:p>
        </w:tc>
      </w:tr>
      <w:tr>
        <w:tc>
          <w:tcPr>
            <w:tcW w:type="dxa" w:w="4500"/>
          </w:tcPr>
          <w:p>
            <w:r>
              <w:t xml:space="preserve">Revenue CAGR (FY23 - FY25)</w:t>
            </w:r>
          </w:p>
        </w:tc>
        <w:tc>
          <w:tcPr>
            <w:tcW w:type="dxa" w:w="4500"/>
          </w:tcPr>
          <w:p>
            <w:r>
              <w:t xml:space="preserve">Revenue CAGR provides information regarding growth in revenue over a period</w:t>
            </w:r>
          </w:p>
        </w:tc>
      </w:tr>
      <w:tr>
        <w:tc>
          <w:tcPr>
            <w:tcW w:type="dxa" w:w="4500"/>
          </w:tcPr>
          <w:p>
            <w:r>
              <w:t xml:space="preserve">ROCE</w:t>
            </w:r>
          </w:p>
        </w:tc>
        <w:tc>
          <w:tcPr>
            <w:tcW w:type="dxa" w:w="4500"/>
          </w:tcPr>
          <w:p>
            <w:r>
              <w:t xml:space="preserve">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otherbank balances</w:t>
            </w:r>
          </w:p>
        </w:tc>
      </w:tr>
      <w:tr>
        <w:tc>
          <w:tcPr>
            <w:tcW w:type="dxa" w:w="4500"/>
          </w:tcPr>
          <w:p>
            <w:r>
              <w:t xml:space="preserve">ROE</w:t>
            </w:r>
          </w:p>
        </w:tc>
        <w:tc>
          <w:tcPr>
            <w:tcW w:type="dxa" w:w="4500"/>
          </w:tcPr>
          <w:p>
            <w:r>
              <w:t xml:space="preserve">Return	on	Equity	is	calculated	as	PAT	divided	by	Total	Equity. Total Equity is calculated as share capital plus reserves and surplus</w:t>
            </w:r>
          </w:p>
        </w:tc>
      </w:tr>
      <w:tr>
        <w:tc>
          <w:tcPr>
            <w:tcW w:type="dxa" w:w="4500"/>
          </w:tcPr>
          <w:p>
            <w:r>
              <w:t xml:space="preserve">Y-o-Y Revenue growth</w:t>
            </w:r>
          </w:p>
        </w:tc>
        <w:tc>
          <w:tcPr>
            <w:tcW w:type="dxa" w:w="4500"/>
          </w:tcPr>
          <w:p>
            <w:r>
              <w:t xml:space="preserve">Growth in Revenue from Operations provides information regarding the growth of the business over the respective years</w:t>
            </w:r>
          </w:p>
        </w:tc>
      </w:tr>
      <w:tr>
        <w:tc>
          <w:tcPr>
            <w:tcW w:type="dxa" w:w="4500"/>
          </w:tcPr>
          <w:p>
            <w:r>
              <w:t xml:space="preserve">C.  Operational measures</w:t>
            </w:r>
          </w:p>
        </w:tc>
        <w:tc>
          <w:tcPr>
            <w:tcW w:type="dxa" w:w="4500"/>
          </w:tcPr>
          <w:p>
            <w:r>
              <w:t xml:space="preserve"/>
            </w:r>
          </w:p>
        </w:tc>
      </w:tr>
      <w:tr>
        <w:tc>
          <w:tcPr>
            <w:tcW w:type="dxa" w:w="4500"/>
          </w:tcPr>
          <w:p>
            <w:r>
              <w:t xml:space="preserve">Magnet winding wires sales volume</w:t>
            </w:r>
          </w:p>
        </w:tc>
        <w:tc>
          <w:tcPr>
            <w:tcW w:type="dxa" w:w="4500"/>
          </w:tcPr>
          <w:p>
            <w:r>
              <w:t xml:space="preserve">Magnet winding wires sales volume is used by the management to assess the overall market demand for our Jimmie Franey's products and to evaluate the effectiveness of sales strategies across theproduct category</w:t>
            </w:r>
          </w:p>
        </w:tc>
      </w:tr>
      <w:tr>
        <w:tc>
          <w:tcPr>
            <w:tcW w:type="dxa" w:w="4500"/>
          </w:tcPr>
          <w:p>
            <w:r>
              <w:t xml:space="preserve">Production capacity</w:t>
            </w:r>
          </w:p>
        </w:tc>
        <w:tc>
          <w:tcPr>
            <w:tcW w:type="dxa" w:w="4500"/>
          </w:tcPr>
          <w:p>
            <w:r>
              <w:t xml:space="preserve">Production capacity indicates the maximum output that can be produced</w:t>
            </w:r>
          </w:p>
        </w:tc>
      </w:tr>
      <w:tr>
        <w:tc>
          <w:tcPr>
            <w:tcW w:type="dxa" w:w="4500"/>
          </w:tcPr>
          <w:p>
            <w:r>
              <w:t xml:space="preserve">Revenue from Exports</w:t>
            </w:r>
          </w:p>
        </w:tc>
        <w:tc>
          <w:tcPr>
            <w:tcW w:type="dxa" w:w="4500"/>
          </w:tcPr>
          <w:p>
            <w:r>
              <w:t xml:space="preserve">Revenue from exports indicates the revenue generated outside the country of our Jimmie Franey</w:t>
            </w:r>
          </w:p>
        </w:tc>
      </w:tr>
      <w:tr>
        <w:tc>
          <w:tcPr>
            <w:tcW w:type="dxa" w:w="4500"/>
          </w:tcPr>
          <w:p>
            <w:r>
              <w:t xml:space="preserve">Volume Growth</w:t>
            </w:r>
          </w:p>
        </w:tc>
        <w:tc>
          <w:tcPr>
            <w:tcW w:type="dxa" w:w="4500"/>
          </w:tcPr>
          <w:p>
            <w:r>
              <w:t xml:space="preserve">Growth in volumes provides information regarding the growth in market demand for our Jimmie Franey's products across various product categories over the respective years</w:t>
            </w:r>
          </w:p>
        </w:tc>
      </w:tr>
    </w:tbl>
    <w:p/>
    <w:p>
      <w:pPr>
        <w:pStyle w:val="Heading2"/>
      </w:pPr>
      <w:r>
        <w:t xml:space="preserve">CERTAIN CONVENTIONS, USE OF FINANCIAL INFORMATION AND MARKET DATA AND CURRENCY OF PRESENTATION</w:t>
      </w:r>
    </w:p>
    <w:p>
      <w:pPr>
        <w:pStyle w:val="Heading3"/>
      </w:pPr>
      <w:r>
        <w:t xml:space="preserve">Certain Conventions</w:t>
      </w:r>
    </w:p>
    <w:p>
      <w:r>
        <w:t xml:space="preserve">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w:t>
      </w:r>
    </w:p>
    <w:p>
      <w:r>
        <w:t xml:space="preserve">Unless indicated otherwise, all references to page numbers in this Red Herring Prospectus are to page numbers of this Red Herring Prospectus.</w:t>
      </w:r>
    </w:p>
    <w:p>
      <w:pPr>
        <w:pStyle w:val="Heading3"/>
      </w:pPr>
      <w:r>
        <w:t xml:space="preserve">Financial Data</w:t>
      </w:r>
    </w:p>
    <w:p>
      <w:r>
        <w:t xml:space="preserve">Our Jimmie Franey’s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r>
        <w:t xml:space="preserve">Unless indicated otherwise or the context requires otherwise, the financial information and financial ratios in this Red Herring Prospectus have been derived from the Restated Financial Statements. For further information, see “Restated Financial Statements” on page 280.</w:t>
      </w:r>
    </w:p>
    <w:p>
      <w:r>
        <w:t xml:space="preserve">The restated financial information of our Jimmie Franey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Jimmie Franey Prospectuses (Revised 2019) issued by ICAI, as amended from time to time and the Indian Accounting Standards as specified under Section 133 of the Act and other accounting principles generally accepted in India.</w:t>
      </w:r>
    </w:p>
    <w:p>
      <w:r>
        <w:t xml:space="preserve">There are significant differences between Ind AS, Indian GAAP, US GAAP and IFRS. Our Jimmie Franey does not provide reconciliation of its financial information to IFRS or US GAAP. Our Jimmie Franey has not attempted to explain those differences or quantify their impact on the financial data included in this Red Herring Prospectus and it is urged that you consult your own advisors regarding such differences and their impact on our Jimmie Franey’s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r>
        <w:t xml:space="preserve">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r>
        <w:t xml:space="preserve">Further, any figures sourced from third party industry sources may be rounded off to other than to the second decimal to conform to their respective sources.</w:t>
      </w:r>
    </w:p>
    <w:p>
      <w:r>
        <w:t xml:space="preserve">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Restated Financial Statements or non-GAAP financial measures as described below.</w:t>
      </w:r>
    </w:p>
    <w:p>
      <w:pPr>
        <w:pStyle w:val="Heading3"/>
      </w:pPr>
      <w:r>
        <w:t xml:space="preserve">Non-GAAP Financial Measures</w:t>
      </w:r>
    </w:p>
    <w:p>
      <w:r>
        <w:t xml:space="preserve">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Jimmie Franey’s management believes that they are useful to an investor in evaluating us as they are widely used measures to evaluate a Jimmie Franey’s operating performance. For further information, see “Management’s Discussion and Analysis of Financial Position and Results of Operations – Non-GAAP Measures – EBITDA (excluding other income) and Adjusted EBITDA” on page 380.</w:t>
      </w:r>
    </w:p>
    <w:p>
      <w:pPr>
        <w:pStyle w:val="Heading3"/>
      </w:pPr>
      <w:r>
        <w:t xml:space="preserve">Industry and Market Data</w:t>
      </w:r>
    </w:p>
    <w:p>
      <w:r>
        <w:t xml:space="preserve">Unless stated otherwise, industry and market data used in this Red Herring Prospectus has been obtained or derived from the report titled “Industry Research Report on Magnet Winding Wires Market in India” dated November 26, 2025 (“CARE Report”), prepared by CARE Analytics and Paucek - Sporer Limited (“CareEdge Research”), which has been prepared exclusively for the purpose of understanding the industry in connection with the Offer and commissioned and paid for by our Jimmie Franey, pursuant to the engagement letter dated December 2, 2024. The CARE Report is available on the website of our Jimmie Franey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Jimmie Franey, our Directors, our Promoters (including the Promoter Selling Shareholders), our Key Managerial Personnel, our Senior Management, our Group Companies or the Book Running Lead Managers.</w:t>
      </w:r>
    </w:p>
    <w:p>
      <w:r>
        <w:t xml:space="preserve">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Jimmie Franey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r>
        <w:t xml:space="preserve">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r>
        <w:t xml:space="preserve">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Jimmie Franey is conducted, and methodologies and assumptions may vary widely among different industry sources.</w:t>
      </w:r>
    </w:p>
    <w:p>
      <w:pPr>
        <w:pStyle w:val="Heading3"/>
      </w:pPr>
      <w:r>
        <w:t xml:space="preserve">Currency and Units of Presentation</w:t>
      </w:r>
    </w:p>
    <w:p>
      <w:r>
        <w:t xml:space="preserve">All references to:</w:t>
      </w:r>
    </w:p>
    <w:p>
      <w:pPr>
        <w:pStyle w:val="ListParagraph"/>
        <w:numPr>
          <w:ilvl w:val="0"/>
          <w:numId w:val="2"/>
        </w:numPr>
      </w:pPr>
      <w:r>
        <w:t xml:space="preserve">“Rupees” or “INR” or “₹” or “Rs.” are to Indian Rupees, the official currency of the Republic of India;</w:t>
      </w:r>
    </w:p>
    <w:p>
      <w:pPr>
        <w:pStyle w:val="ListParagraph"/>
        <w:numPr>
          <w:ilvl w:val="0"/>
          <w:numId w:val="2"/>
        </w:numPr>
      </w:pPr>
      <w:r>
        <w:t xml:space="preserve">“U.S $”, “U.S. Dollar”, “USD” are to United States Dollars, the official currency of the United States of America;</w:t>
      </w:r>
    </w:p>
    <w:p>
      <w:pPr>
        <w:pStyle w:val="ListParagraph"/>
        <w:numPr>
          <w:ilvl w:val="0"/>
          <w:numId w:val="2"/>
        </w:numPr>
      </w:pPr>
      <w:r>
        <w:t xml:space="preserve">‘EUR’, ‘Euro’ and ‘€’ are to the official currency of the European Union; and</w:t>
      </w:r>
    </w:p>
    <w:p>
      <w:pPr>
        <w:pStyle w:val="ListParagraph"/>
        <w:numPr>
          <w:ilvl w:val="0"/>
          <w:numId w:val="2"/>
        </w:numPr>
      </w:pPr>
      <w:r>
        <w:t xml:space="preserve">“SEK” are to Swedish Krona, the official currency of Sweden.</w:t>
      </w:r>
    </w:p>
    <w:p>
      <w:r>
        <w:t xml:space="preserve">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3"/>
      </w:pPr>
      <w:r>
        <w:t xml:space="preserve">Time</w:t>
      </w:r>
    </w:p>
    <w:p>
      <w:r>
        <w:t xml:space="preserve">All references to time in this Red Herring Prospectus are to Indian Standard Time.</w:t>
      </w:r>
    </w:p>
    <w:p>
      <w:pPr>
        <w:pStyle w:val="Heading3"/>
      </w:pPr>
      <w:r>
        <w:t xml:space="preserve">Exchange Rates</w:t>
      </w:r>
    </w:p>
    <w:p>
      <w:r>
        <w:t xml:space="preserve">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w:t>
      </w:r>
    </w:p>
    <w:p>
      <w:r>
        <w:t xml:space="preserve">The following table sets forth, for the periods indicated, information with respect to the exchange rate between the ₹and the respective foreign currencies:</w:t>
      </w:r>
    </w:p>
    <w:p>
      <w:r>
        <w:t xml:space="preserve">(in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Currency</w:t>
            </w:r>
          </w:p>
        </w:tc>
        <w:tc>
          <w:tcPr>
            <w:tcW w:type="dxa" w:w="1800"/>
          </w:tcPr>
          <w:p>
            <w:r>
              <w:t xml:space="preserve">As at</w:t>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June 30, 2025</w:t>
            </w:r>
          </w:p>
        </w:tc>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r>
      <w:tr>
        <w:tc>
          <w:tcPr>
            <w:tcW w:type="dxa" w:w="1800"/>
          </w:tcPr>
          <w:p>
            <w:r>
              <w:t xml:space="preserve">1 USD</w:t>
            </w:r>
          </w:p>
        </w:tc>
        <w:tc>
          <w:tcPr>
            <w:tcW w:type="dxa" w:w="1800"/>
          </w:tcPr>
          <w:p>
            <w:r>
              <w:t xml:space="preserve">85.54</w:t>
            </w:r>
          </w:p>
        </w:tc>
        <w:tc>
          <w:tcPr>
            <w:tcW w:type="dxa" w:w="1800"/>
          </w:tcPr>
          <w:p>
            <w:r>
              <w:t xml:space="preserve">85.58</w:t>
            </w:r>
          </w:p>
        </w:tc>
        <w:tc>
          <w:tcPr>
            <w:tcW w:type="dxa" w:w="1800"/>
          </w:tcPr>
          <w:p>
            <w:r>
              <w:t xml:space="preserve">83.37</w:t>
            </w:r>
          </w:p>
        </w:tc>
        <w:tc>
          <w:tcPr>
            <w:tcW w:type="dxa" w:w="1800"/>
          </w:tcPr>
          <w:p>
            <w:r>
              <w:t xml:space="preserve">82.22</w:t>
            </w:r>
          </w:p>
        </w:tc>
      </w:tr>
      <w:tr>
        <w:tc>
          <w:tcPr>
            <w:tcW w:type="dxa" w:w="1800"/>
          </w:tcPr>
          <w:p>
            <w:r>
              <w:t xml:space="preserve">1 EUR</w:t>
            </w:r>
          </w:p>
        </w:tc>
        <w:tc>
          <w:tcPr>
            <w:tcW w:type="dxa" w:w="1800"/>
          </w:tcPr>
          <w:p>
            <w:r>
              <w:t xml:space="preserve">100.45</w:t>
            </w:r>
          </w:p>
        </w:tc>
        <w:tc>
          <w:tcPr>
            <w:tcW w:type="dxa" w:w="1800"/>
          </w:tcPr>
          <w:p>
            <w:r>
              <w:t xml:space="preserve">92.32</w:t>
            </w:r>
          </w:p>
        </w:tc>
        <w:tc>
          <w:tcPr>
            <w:tcW w:type="dxa" w:w="1800"/>
          </w:tcPr>
          <w:p>
            <w:r>
              <w:t xml:space="preserve">90.22</w:t>
            </w:r>
          </w:p>
        </w:tc>
        <w:tc>
          <w:tcPr>
            <w:tcW w:type="dxa" w:w="1800"/>
          </w:tcPr>
          <w:p>
            <w:r>
              <w:t xml:space="preserve">89.61</w:t>
            </w:r>
          </w:p>
        </w:tc>
      </w:tr>
      <w:tr>
        <w:tc>
          <w:tcPr>
            <w:tcW w:type="dxa" w:w="1800"/>
          </w:tcPr>
          <w:p>
            <w:r>
              <w:t xml:space="preserve">1 SEK</w:t>
            </w:r>
          </w:p>
        </w:tc>
        <w:tc>
          <w:tcPr>
            <w:tcW w:type="dxa" w:w="1800"/>
          </w:tcPr>
          <w:p>
            <w:r>
              <w:t xml:space="preserve">9.00</w:t>
            </w:r>
          </w:p>
        </w:tc>
        <w:tc>
          <w:tcPr>
            <w:tcW w:type="dxa" w:w="1800"/>
          </w:tcPr>
          <w:p>
            <w:r>
              <w:t xml:space="preserve">8.54</w:t>
            </w:r>
          </w:p>
        </w:tc>
        <w:tc>
          <w:tcPr>
            <w:tcW w:type="dxa" w:w="1800"/>
          </w:tcPr>
          <w:p>
            <w:r>
              <w:t xml:space="preserve">7.82</w:t>
            </w:r>
          </w:p>
        </w:tc>
        <w:tc>
          <w:tcPr>
            <w:tcW w:type="dxa" w:w="1800"/>
          </w:tcPr>
          <w:p>
            <w:r>
              <w:t xml:space="preserve">7.91</w:t>
            </w:r>
          </w:p>
        </w:tc>
      </w:tr>
    </w:tbl>
    <w:p/>
    <w:p>
      <w:r>
        <w:t xml:space="preserve">Source: FBIL Reference Rate as available on www.fbil.org.in. and www.oanda.com/bvi-en/ Notes:</w:t>
      </w:r>
    </w:p>
    <w:p>
      <w:pPr>
        <w:pStyle w:val="ListParagraph"/>
        <w:numPr>
          <w:ilvl w:val="0"/>
          <w:numId w:val="2"/>
        </w:numPr>
      </w:pPr>
      <w:r>
        <w:t xml:space="preserve">The exchange rates are rounded off to two decimal places.</w:t>
      </w:r>
    </w:p>
    <w:p>
      <w:pPr>
        <w:pStyle w:val="ListParagraph"/>
        <w:numPr>
          <w:ilvl w:val="0"/>
          <w:numId w:val="2"/>
        </w:numPr>
      </w:pPr>
      <w:r>
        <w:t xml:space="preserve">In the event that any of the aforementioned date is a public holiday, the previous calendar day not being a public holiday has been considered.</w:t>
      </w:r>
    </w:p>
    <w:p>
      <w:pPr>
        <w:pStyle w:val="Heading2"/>
      </w:pPr>
      <w:r>
        <w:t xml:space="preserve">FORWARD-LOOKING STATEMENTS</w:t>
      </w:r>
    </w:p>
    <w:p>
      <w:r>
        <w:t xml:space="preserve">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Jimmie Franey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r>
        <w:t xml:space="preserve">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r>
        <w:t xml:space="preserve">Certain important factors that could cause actual results to differ materially from our expectations include, but are not lim ited to, the following:</w:t>
      </w:r>
    </w:p>
    <w:p>
      <w:pPr>
        <w:pStyle w:val="ListParagraph"/>
        <w:numPr>
          <w:ilvl w:val="0"/>
          <w:numId w:val="2"/>
        </w:numPr>
      </w:pPr>
      <w:r>
        <w:t xml:space="preserve">Reliance on our key customers;Reliance on our key suppliers;Price and availability of primary raw materials i.e. copper and aluminium, and insulating materials such as enamel and paper;Reliance on the power sector (generation, transmission and distribution) industry;Reliance on the sale of our key product segment i.e., specialized magnet winding wires;Delay in or inability of the vendors to provide the equipment in a timely manner in relation to the capital expenditure to be incurred for certain of our proposed objects of the Offer;Any unscheduled, unplanned or prolonged disruption, slowdown or shutdown of our manufacturing facilities;Any delays or cost overruns in the completion of the construction of the Supa Facility;Product defect issues or failure by us or our raw materials suppliers to comply with the strict quality standards and requirements applicable to our business operations; andReliance on exports and any change in law, regulations and policies of foreign jurisdictions where we sell our products or plan to sell our products.</w:t>
      </w:r>
    </w:p>
    <w:p>
      <w:pPr>
        <w:pStyle w:val="ListParagraph"/>
        <w:numPr>
          <w:ilvl w:val="0"/>
          <w:numId w:val="2"/>
        </w:numPr>
      </w:pPr>
      <w:r>
        <w:t xml:space="preserve">Reliance on our key customers;</w:t>
      </w:r>
    </w:p>
    <w:p>
      <w:pPr>
        <w:pStyle w:val="ListParagraph"/>
        <w:numPr>
          <w:ilvl w:val="0"/>
          <w:numId w:val="2"/>
        </w:numPr>
      </w:pPr>
      <w:r>
        <w:t xml:space="preserve">Reliance on our key suppliers;</w:t>
      </w:r>
    </w:p>
    <w:p>
      <w:pPr>
        <w:pStyle w:val="ListParagraph"/>
        <w:numPr>
          <w:ilvl w:val="0"/>
          <w:numId w:val="2"/>
        </w:numPr>
      </w:pPr>
      <w:r>
        <w:t xml:space="preserve">Price and availability of primary raw materials i.e. copper and aluminium, and insulating materials such as enamel and paper;</w:t>
      </w:r>
    </w:p>
    <w:p>
      <w:pPr>
        <w:pStyle w:val="ListParagraph"/>
        <w:numPr>
          <w:ilvl w:val="0"/>
          <w:numId w:val="2"/>
        </w:numPr>
      </w:pPr>
      <w:r>
        <w:t xml:space="preserve">Reliance on the power sector (generation, transmission and distribution) industry;</w:t>
      </w:r>
    </w:p>
    <w:p>
      <w:pPr>
        <w:pStyle w:val="ListParagraph"/>
        <w:numPr>
          <w:ilvl w:val="0"/>
          <w:numId w:val="2"/>
        </w:numPr>
      </w:pPr>
      <w:r>
        <w:t xml:space="preserve">Reliance on the sale of our key product segment i.e., specialized magnet winding wires;</w:t>
      </w:r>
    </w:p>
    <w:p>
      <w:pPr>
        <w:pStyle w:val="ListParagraph"/>
        <w:numPr>
          <w:ilvl w:val="0"/>
          <w:numId w:val="2"/>
        </w:numPr>
      </w:pPr>
      <w:r>
        <w:t xml:space="preserve">Delay in or inability of the vendors to provide the equipment in a timely manner in relation to the capital expenditure to be incurred for certain of our proposed objects of the Offer;</w:t>
      </w:r>
    </w:p>
    <w:p>
      <w:pPr>
        <w:pStyle w:val="ListParagraph"/>
        <w:numPr>
          <w:ilvl w:val="0"/>
          <w:numId w:val="2"/>
        </w:numPr>
      </w:pPr>
      <w:r>
        <w:t xml:space="preserve">Any unscheduled, unplanned or prolonged disruption, slowdown or shutdown of our manufacturing facilities;</w:t>
      </w:r>
    </w:p>
    <w:p>
      <w:pPr>
        <w:pStyle w:val="ListParagraph"/>
        <w:numPr>
          <w:ilvl w:val="0"/>
          <w:numId w:val="2"/>
        </w:numPr>
      </w:pPr>
      <w:r>
        <w:t xml:space="preserve">Any delays or cost overruns in the completion of the construction of the Supa Facility;</w:t>
      </w:r>
    </w:p>
    <w:p>
      <w:pPr>
        <w:pStyle w:val="ListParagraph"/>
        <w:numPr>
          <w:ilvl w:val="0"/>
          <w:numId w:val="2"/>
        </w:numPr>
      </w:pPr>
      <w:r>
        <w:t xml:space="preserve">Product defect issues or failure by us or our raw materials suppliers to comply with the strict quality standards and requirements applicable to our business operations; and</w:t>
      </w:r>
    </w:p>
    <w:p>
      <w:pPr>
        <w:pStyle w:val="ListParagraph"/>
        <w:numPr>
          <w:ilvl w:val="0"/>
          <w:numId w:val="2"/>
        </w:numPr>
      </w:pPr>
      <w:r>
        <w:t xml:space="preserve">Reliance on exports and any change in law, regulations and policies of foreign jurisdictions where we sell our products or plan to sell our products.</w:t>
      </w:r>
    </w:p>
    <w:p>
      <w:r>
        <w:t xml:space="preserve">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Jimmie Franey,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t xml:space="preserve">In accordance with the SEBI ICDR Regulations, our Jimmie Franey will ensure that investors in India are informed of material developments pertaining to our Jimmie Franey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Jimmie Franey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Heading2"/>
      </w:pPr>
      <w:r>
        <w:t xml:space="preserve">SUMMARY OF THE OFFER DOCUMENT</w:t>
      </w:r>
    </w:p>
    <w:p>
      <w:r>
        <w:t xml:space="preserve">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w:t>
      </w:r>
    </w:p>
    <w:p>
      <w:pPr>
        <w:pStyle w:val="Heading3"/>
      </w:pPr>
      <w:r>
        <w:t xml:space="preserve">Primary business of our Jimmie Franey</w:t>
      </w:r>
    </w:p>
    <w:p>
      <w:r>
        <w:t xml:space="preserve">We are the third largest manufacturer of magnet winding wires in India in terms of production capacity in Fiscal 2025 (Source: CARE Report). We are also the largest exporter of magnet winding wires from India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r>
        <w:t xml:space="preserve">For further details, see “Our Business” on page 211.</w:t>
      </w:r>
    </w:p>
    <w:p>
      <w:pPr>
        <w:pStyle w:val="Heading3"/>
      </w:pPr>
      <w:r>
        <w:t xml:space="preserve">Summary of industry in which our Jimmie Franey operates</w:t>
      </w:r>
    </w:p>
    <w:p>
      <w:r>
        <w:t xml:space="preserve">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w:t>
      </w:r>
    </w:p>
    <w:p>
      <w:r>
        <w:t xml:space="preserve">For further details, see “Industry Overview” on page 137.</w:t>
      </w:r>
    </w:p>
    <w:p>
      <w:pPr>
        <w:pStyle w:val="Heading3"/>
      </w:pPr>
      <w:r>
        <w:t xml:space="preserve">Our Promoters</w:t>
      </w:r>
    </w:p>
    <w:p>
      <w:r>
        <w:t xml:space="preserve">Hope Shields, Miss Caroline Blanda Jr., Misael Blanda, Lew Bergnaum, Lon Kozey, Dhaulagiri Family Trust, Everest Family Trust, Makalu Family Trust, Broad Family Trust, Annapurna Family Trust, Kanchenjunga Family Trust and Schinner, Hirthe and Bashirian Limited are the Promoters of our Jimmie Franey.</w:t>
      </w:r>
    </w:p>
    <w:p>
      <w:r>
        <w:t xml:space="preserve">For further details, see “Our Promoters and Promoter Group” on page 269.</w:t>
      </w:r>
    </w:p>
    <w:p>
      <w:pPr>
        <w:pStyle w:val="Heading3"/>
      </w:pPr>
      <w:r>
        <w:t xml:space="preserve">The Offer</w:t>
      </w:r>
    </w:p>
    <w:p>
      <w:r>
        <w:t xml:space="preserve">The following table summarizes the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Offer(1)</w:t>
            </w:r>
          </w:p>
        </w:tc>
        <w:tc>
          <w:tcPr>
            <w:tcW w:type="dxa" w:w="4500"/>
          </w:tcPr>
          <w:p>
            <w:r>
              <w:t xml:space="preserve">Up to [●] Equity Shares of face value of ₹5 each for cash at price of ₹[●] per Equity Share (including a premium of [●] per Equity Share),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w:t>
            </w:r>
          </w:p>
        </w:tc>
        <w:tc>
          <w:tcPr>
            <w:tcW w:type="dxa" w:w="4500"/>
          </w:tcPr>
          <w:p>
            <w:r>
              <w:t xml:space="preserve">Up to [●] Equity Shares of face value of ₹5 each aggregating up to ₹2,900.00 million</w:t>
            </w:r>
          </w:p>
        </w:tc>
      </w:tr>
    </w:tbl>
    <w:p/>
    <w:p>
      <w:pPr>
        <w:pStyle w:val="ListParagraph"/>
        <w:numPr>
          <w:ilvl w:val="0"/>
          <w:numId w:val="2"/>
        </w:numPr>
      </w:pPr>
      <w:r>
        <w:t xml:space="preserve">The Offer has been authorized pursuant to the resolution passed by our Board dated May 6, 2025 and the Fresh Issue has been authorized by our Shareholders pursuant to a special resolution passed on May 6, 2025.</w:t>
      </w:r>
    </w:p>
    <w:p>
      <w:pPr>
        <w:pStyle w:val="ListParagraph"/>
        <w:numPr>
          <w:ilvl w:val="0"/>
          <w:numId w:val="2"/>
        </w:numPr>
      </w:pPr>
      <w:r>
        <w:t xml:space="preserve">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w:t>
      </w:r>
    </w:p>
    <w:p>
      <w:r>
        <w:t xml:space="preserve">The Offer shall constitute [●]% of the post-Offer paid-up equity share capital of our Jimmie Franey. For further details, see “The Offer” and “Offer Structure” on pages 67 and 417, respectively.</w:t>
      </w:r>
    </w:p>
    <w:p>
      <w:pPr>
        <w:pStyle w:val="Heading3"/>
      </w:pPr>
      <w:r>
        <w:t xml:space="preserve">Objects of the Offer</w:t>
      </w:r>
    </w:p>
    <w:p>
      <w:r>
        <w:t xml:space="preserve">The Net Proceeds are proposed to be utilised towards the following Objects: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Estimated Amount</w:t>
            </w:r>
          </w:p>
        </w:tc>
      </w:tr>
      <w:tr>
        <w:tc>
          <w:tcPr>
            <w:tcW w:type="dxa" w:w="4500"/>
          </w:tcPr>
          <w:p>
            <w:r>
              <w:t xml:space="preserve">Prepayment and/or repayment, in full or in part, of all or a portion of certain outstanding borrowings availed by our Jimmie Franey</w:t>
            </w:r>
          </w:p>
        </w:tc>
        <w:tc>
          <w:tcPr>
            <w:tcW w:type="dxa" w:w="4500"/>
          </w:tcPr>
          <w:p>
            <w:r>
              <w:t xml:space="preserve">2,259.77</w:t>
            </w:r>
          </w:p>
        </w:tc>
      </w:tr>
      <w:tr>
        <w:tc>
          <w:tcPr>
            <w:tcW w:type="dxa" w:w="4500"/>
          </w:tcPr>
          <w:p>
            <w:r>
              <w:t xml:space="preserve">Funding the capital expenditure requirements of our Jimmie Franey towards:purchasing and setting up of new machinery for expansion at our Supa Facilitypurchasing and setting up of new machinery at Unit 2 in Chakan, Pune in Maharashtra</w:t>
            </w:r>
          </w:p>
        </w:tc>
        <w:tc>
          <w:tcPr>
            <w:tcW w:type="dxa" w:w="4500"/>
          </w:tcPr>
          <w:p>
            <w:r>
              <w:t xml:space="preserve">870.17</w:t>
            </w:r>
          </w:p>
        </w:tc>
      </w:tr>
      <w:tr>
        <w:tc>
          <w:tcPr>
            <w:tcW w:type="dxa" w:w="4500"/>
          </w:tcPr>
          <w:p>
            <w:r>
              <w:t xml:space="preserve">Funding the capital expenditure requirements of our Jimmie Franey towards purchasing and setting up of a rooftop solar power plant for power generation at our Supa Facility</w:t>
            </w:r>
          </w:p>
        </w:tc>
        <w:tc>
          <w:tcPr>
            <w:tcW w:type="dxa" w:w="4500"/>
          </w:tcPr>
          <w:p>
            <w:r>
              <w:t xml:space="preserve">88.28</w:t>
            </w:r>
          </w:p>
        </w:tc>
      </w:tr>
      <w:tr>
        <w:tc>
          <w:tcPr>
            <w:tcW w:type="dxa" w:w="4500"/>
          </w:tcPr>
          <w:p>
            <w:r>
              <w:t xml:space="preserve">General corporate purposes(1)</w:t>
            </w:r>
          </w:p>
        </w:tc>
        <w:tc>
          <w:tcPr>
            <w:tcW w:type="dxa" w:w="4500"/>
          </w:tcPr>
          <w:p>
            <w:r>
              <w:t xml:space="preserve">[●]</w:t>
            </w:r>
          </w:p>
        </w:tc>
      </w:tr>
      <w:tr>
        <w:tc>
          <w:tcPr>
            <w:tcW w:type="dxa" w:w="4500"/>
          </w:tcPr>
          <w:p>
            <w:r>
              <w:t xml:space="preserve">Net Proceeds(1)</w:t>
            </w:r>
          </w:p>
        </w:tc>
        <w:tc>
          <w:tcPr>
            <w:tcW w:type="dxa" w:w="4500"/>
          </w:tcPr>
          <w:p>
            <w:r>
              <w:t xml:space="preserve">[●]</w:t>
            </w:r>
          </w:p>
        </w:tc>
      </w:tr>
    </w:tbl>
    <w:p/>
    <w:p>
      <w:r>
        <w:t xml:space="preserve">(1) To be finalised upon determination of the Offer Price and updated in the Prospectus prior to filing with the RoC. The amount utilised for general corporate purposes shall not exceed 25% of the Gross Proceeds.</w:t>
      </w:r>
    </w:p>
    <w:p>
      <w:r>
        <w:t xml:space="preserve">For further information, see “Objects of the Offer” on page 106.</w:t>
      </w:r>
    </w:p>
    <w:p>
      <w:pPr>
        <w:pStyle w:val="Heading3"/>
      </w:pPr>
      <w:r>
        <w:t xml:space="preserve">Aggregate pre-Offer and post-Offer shareholding of our Promoters, the members of our Promoter Group, the Promoter Selling Shareholders of our Jimmie Franey</w:t>
      </w:r>
    </w:p>
    <w:p>
      <w:r>
        <w:t xml:space="preserve">The aggregate pre-Offer and post-Offer shareholding of our Promoters, the members of our Promoter Group and Promoter Selling Shareholders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S.No.</w:t>
            </w:r>
          </w:p>
        </w:tc>
        <w:tc>
          <w:tcPr>
            <w:tcW w:type="dxa" w:w="1500"/>
          </w:tcPr>
          <w:p>
            <w:r>
              <w:t xml:space="preserve">Name of the Shareholder</w:t>
            </w:r>
          </w:p>
        </w:tc>
        <w:tc>
          <w:tcPr>
            <w:tcW w:type="dxa" w:w="1500"/>
          </w:tcPr>
          <w:p>
            <w:r>
              <w:t xml:space="preserve">Pre-Offer equity share capital</w:t>
            </w:r>
          </w:p>
        </w:tc>
        <w:tc>
          <w:tcPr>
            <w:tcW w:type="dxa" w:w="1500"/>
          </w:tcPr>
          <w:p>
            <w:r>
              <w:t xml:space="preserve">Post-Offer equity share capital^</w:t>
            </w:r>
          </w:p>
        </w:tc>
        <w:tc>
          <w:tcPr>
            <w:tcW w:type="dxa" w:w="1500"/>
          </w:tcPr>
          <w:p>
            <w:r>
              <w:t xml:space="preserve"/>
            </w:r>
          </w:p>
        </w:tc>
        <w:tc>
          <w:tcPr>
            <w:tcW w:type="dxa" w:w="1500"/>
          </w:tcPr>
          <w:p>
            <w:r>
              <w:t xml:space="preserve"/>
            </w:r>
          </w:p>
        </w:tc>
      </w:tr>
      <w:tr>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
            </w:r>
          </w:p>
        </w:tc>
        <w:tc>
          <w:tcPr>
            <w:tcW w:type="dxa" w:w="1500"/>
          </w:tcPr>
          <w:p>
            <w:r>
              <w:t xml:space="preserve"/>
            </w:r>
          </w:p>
        </w:tc>
      </w:tr>
      <w:tr>
        <w:tc>
          <w:tcPr>
            <w:tcW w:type="dxa" w:w="1500"/>
          </w:tcPr>
          <w:p>
            <w:r>
              <w:t xml:space="preserve">Promoters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w:t>
            </w:r>
          </w:p>
        </w:tc>
        <w:tc>
          <w:tcPr>
            <w:tcW w:type="dxa" w:w="1500"/>
          </w:tcPr>
          <w:p>
            <w:r>
              <w:t xml:space="preserve">Hope Shields*</w:t>
            </w:r>
          </w:p>
        </w:tc>
        <w:tc>
          <w:tcPr>
            <w:tcW w:type="dxa" w:w="1500"/>
          </w:tcPr>
          <w:p>
            <w:r>
              <w:t xml:space="preserve">26,704,570</w:t>
            </w:r>
          </w:p>
        </w:tc>
        <w:tc>
          <w:tcPr>
            <w:tcW w:type="dxa" w:w="1500"/>
          </w:tcPr>
          <w:p>
            <w:r>
              <w:t xml:space="preserve">47.00%</w:t>
            </w:r>
          </w:p>
        </w:tc>
        <w:tc>
          <w:tcPr>
            <w:tcW w:type="dxa" w:w="1500"/>
          </w:tcPr>
          <w:p>
            <w:r>
              <w:t xml:space="preserve">[●]</w:t>
            </w:r>
          </w:p>
        </w:tc>
        <w:tc>
          <w:tcPr>
            <w:tcW w:type="dxa" w:w="1500"/>
          </w:tcPr>
          <w:p>
            <w:r>
              <w:t xml:space="preserve">[●]</w:t>
            </w:r>
          </w:p>
        </w:tc>
      </w:tr>
      <w:tr>
        <w:tc>
          <w:tcPr>
            <w:tcW w:type="dxa" w:w="1500"/>
          </w:tcPr>
          <w:p>
            <w:r>
              <w:t xml:space="preserve">2.</w:t>
            </w:r>
          </w:p>
        </w:tc>
        <w:tc>
          <w:tcPr>
            <w:tcW w:type="dxa" w:w="1500"/>
          </w:tcPr>
          <w:p>
            <w:r>
              <w:t xml:space="preserve">Miss Caroline Blanda Jr.*</w:t>
            </w:r>
          </w:p>
        </w:tc>
        <w:tc>
          <w:tcPr>
            <w:tcW w:type="dxa" w:w="1500"/>
          </w:tcPr>
          <w:p>
            <w:r>
              <w:t xml:space="preserve">7,386,270</w:t>
            </w:r>
          </w:p>
        </w:tc>
        <w:tc>
          <w:tcPr>
            <w:tcW w:type="dxa" w:w="1500"/>
          </w:tcPr>
          <w:p>
            <w:r>
              <w:t xml:space="preserve">13.00%</w:t>
            </w:r>
          </w:p>
        </w:tc>
        <w:tc>
          <w:tcPr>
            <w:tcW w:type="dxa" w:w="1500"/>
          </w:tcPr>
          <w:p>
            <w:r>
              <w:t xml:space="preserve">[●]</w:t>
            </w:r>
          </w:p>
        </w:tc>
        <w:tc>
          <w:tcPr>
            <w:tcW w:type="dxa" w:w="1500"/>
          </w:tcPr>
          <w:p>
            <w:r>
              <w:t xml:space="preserve">[●]</w:t>
            </w:r>
          </w:p>
        </w:tc>
      </w:tr>
      <w:tr>
        <w:tc>
          <w:tcPr>
            <w:tcW w:type="dxa" w:w="1500"/>
          </w:tcPr>
          <w:p>
            <w:r>
              <w:t xml:space="preserve">3.</w:t>
            </w:r>
          </w:p>
        </w:tc>
        <w:tc>
          <w:tcPr>
            <w:tcW w:type="dxa" w:w="1500"/>
          </w:tcPr>
          <w:p>
            <w:r>
              <w:t xml:space="preserve">Misael Blanda*</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4.</w:t>
            </w:r>
          </w:p>
        </w:tc>
        <w:tc>
          <w:tcPr>
            <w:tcW w:type="dxa" w:w="1500"/>
          </w:tcPr>
          <w:p>
            <w:r>
              <w:t xml:space="preserve">Lew Bergnaum*</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5.</w:t>
            </w:r>
          </w:p>
        </w:tc>
        <w:tc>
          <w:tcPr>
            <w:tcW w:type="dxa" w:w="1500"/>
          </w:tcPr>
          <w:p>
            <w:r>
              <w:t xml:space="preserve">Lon Kozey</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6.</w:t>
            </w:r>
          </w:p>
        </w:tc>
        <w:tc>
          <w:tcPr>
            <w:tcW w:type="dxa" w:w="1500"/>
          </w:tcPr>
          <w:p>
            <w:r>
              <w:t xml:space="preserve">Dhaulagiri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7.</w:t>
            </w:r>
          </w:p>
        </w:tc>
        <w:tc>
          <w:tcPr>
            <w:tcW w:type="dxa" w:w="1500"/>
          </w:tcPr>
          <w:p>
            <w:r>
              <w:t xml:space="preserve">Everest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8.</w:t>
            </w:r>
          </w:p>
        </w:tc>
        <w:tc>
          <w:tcPr>
            <w:tcW w:type="dxa" w:w="1500"/>
          </w:tcPr>
          <w:p>
            <w:r>
              <w:t xml:space="preserve">Makalu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9.</w:t>
            </w:r>
          </w:p>
        </w:tc>
        <w:tc>
          <w:tcPr>
            <w:tcW w:type="dxa" w:w="1500"/>
          </w:tcPr>
          <w:p>
            <w:r>
              <w:t xml:space="preserve">Broad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10.</w:t>
            </w:r>
          </w:p>
        </w:tc>
        <w:tc>
          <w:tcPr>
            <w:tcW w:type="dxa" w:w="1500"/>
          </w:tcPr>
          <w:p>
            <w:r>
              <w:t xml:space="preserve">Annapurna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11.</w:t>
            </w:r>
          </w:p>
        </w:tc>
        <w:tc>
          <w:tcPr>
            <w:tcW w:type="dxa" w:w="1500"/>
          </w:tcPr>
          <w:p>
            <w:r>
              <w:t xml:space="preserve">Kanchenjunga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(A)</w:t>
            </w:r>
          </w:p>
        </w:tc>
        <w:tc>
          <w:tcPr>
            <w:tcW w:type="dxa" w:w="1500"/>
          </w:tcPr>
          <w:p>
            <w:r>
              <w:t xml:space="preserve">55,906,542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Promoter Group</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12.</w:t>
            </w:r>
          </w:p>
        </w:tc>
        <w:tc>
          <w:tcPr>
            <w:tcW w:type="dxa" w:w="1500"/>
          </w:tcPr>
          <w:p>
            <w:r>
              <w:t xml:space="preserve">Maithili Heidi Hand</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13.</w:t>
            </w:r>
          </w:p>
        </w:tc>
        <w:tc>
          <w:tcPr>
            <w:tcW w:type="dxa" w:w="1500"/>
          </w:tcPr>
          <w:p>
            <w:r>
              <w:t xml:space="preserve">Katyayani Balasubramanian</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(B)</w:t>
            </w:r>
          </w:p>
        </w:tc>
        <w:tc>
          <w:tcPr>
            <w:tcW w:type="dxa" w:w="1500"/>
          </w:tcPr>
          <w:p>
            <w:r>
              <w:t xml:space="preserve">200</w:t>
            </w:r>
          </w:p>
        </w:tc>
        <w:tc>
          <w:tcPr>
            <w:tcW w:type="dxa" w:w="1500"/>
          </w:tcPr>
          <w:p>
            <w:r>
              <w:t xml:space="preserve">0.00**%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Total (A + B)</w:t>
            </w:r>
          </w:p>
        </w:tc>
        <w:tc>
          <w:tcPr>
            <w:tcW w:type="dxa" w:w="1500"/>
          </w:tcPr>
          <w:p>
            <w:r>
              <w:t xml:space="preserve">55,906,742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bl>
    <w:p/>
    <w:p>
      <w:r>
        <w:t xml:space="preserve">*Also, the Promoter Selling Shareholder.</w:t>
      </w:r>
    </w:p>
    <w:p>
      <w:r>
        <w:t xml:space="preserve">**The number is negligible and below the rounding off norms adopted by our Jimmie Franey.</w:t>
      </w:r>
    </w:p>
    <w:p>
      <w:r>
        <w:t xml:space="preserve">^Subject to completion of the Offer and finalisation of the Basis of Allotment.</w:t>
      </w:r>
    </w:p>
    <w:p>
      <w:r>
        <w:t xml:space="preserve">For further details, see “Capital Structure” on page 84.</w:t>
      </w:r>
    </w:p>
    <w:p>
      <w:pPr>
        <w:pStyle w:val="Heading3"/>
      </w:pPr>
      <w:r>
        <w:t xml:space="preserve">Aggregate pre-Offer and post-Offer shareholding of our Promoters, members of our Promoter Group and the additional top 10 Shareholders of our Jimmie Franey</w:t>
      </w:r>
    </w:p>
    <w:p>
      <w:r>
        <w:t xml:space="preserve">The aggregate pre-Offer and post-Offer shareholding of our Promoters, members of our Promoter Group and additional top 10 Shareholders (apart from Promoters and members of our Promoter Group) as a percentage of the pre-Offer and post-Offer paid-up Equity Share capital of our Jimmie Franey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offace value of ₹5 each</w:t>
            </w:r>
          </w:p>
        </w:tc>
        <w:tc>
          <w:tcPr>
            <w:tcW w:type="dxa" w:w="1285"/>
          </w:tcPr>
          <w:p>
            <w:r>
              <w:t xml:space="preserve">Percentage of post-Offer Equity Share capital (%)</w:t>
            </w:r>
          </w:p>
        </w:tc>
        <w:tc>
          <w:tcPr>
            <w:tcW w:type="dxa" w:w="1285"/>
          </w:tcPr>
          <w:p>
            <w:r>
              <w:t xml:space="preserve">Number of Equity Shares offace value of ₹5 each</w:t>
            </w:r>
          </w:p>
        </w:tc>
        <w:tc>
          <w:tcPr>
            <w:tcW w:type="dxa" w:w="1285"/>
          </w:tcPr>
          <w:p>
            <w:r>
              <w:t xml:space="preserve">Percentage of post-OfferEquity Share 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Kushal	Subbayya Miss Sophia Parisian*</w:t>
            </w:r>
          </w:p>
        </w:tc>
        <w:tc>
          <w:tcPr>
            <w:tcW w:type="dxa" w:w="1285"/>
          </w:tcPr>
          <w:p>
            <w:r>
              <w:t xml:space="preserve">26,704,570</w:t>
            </w:r>
          </w:p>
        </w:tc>
        <w:tc>
          <w:tcPr>
            <w:tcW w:type="dxa" w:w="1285"/>
          </w:tcPr>
          <w:p>
            <w:r>
              <w:t xml:space="preserve">47.00%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 ₹5each</w:t>
            </w:r>
          </w:p>
        </w:tc>
        <w:tc>
          <w:tcPr>
            <w:tcW w:type="dxa" w:w="1285"/>
          </w:tcPr>
          <w:p>
            <w:r>
              <w:t xml:space="preserve">Percentage of post-Offer Equity Share capital (%)</w:t>
            </w:r>
          </w:p>
        </w:tc>
        <w:tc>
          <w:tcPr>
            <w:tcW w:type="dxa" w:w="1285"/>
          </w:tcPr>
          <w:p>
            <w:r>
              <w:t xml:space="preserve">Number of Equity Shares of face value of ₹5each</w:t>
            </w:r>
          </w:p>
        </w:tc>
        <w:tc>
          <w:tcPr>
            <w:tcW w:type="dxa" w:w="1285"/>
          </w:tcPr>
          <w:p>
            <w:r>
              <w:t xml:space="preserve">Percentage of post-Offer Equity Sharecapital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Pushpa	Myrna Champlin*</w:t>
            </w:r>
          </w:p>
        </w:tc>
        <w:tc>
          <w:tcPr>
            <w:tcW w:type="dxa" w:w="1285"/>
          </w:tcPr>
          <w:p>
            <w:r>
              <w:t xml:space="preserve">7,386,270</w:t>
            </w:r>
          </w:p>
        </w:tc>
        <w:tc>
          <w:tcPr>
            <w:tcW w:type="dxa" w:w="1285"/>
          </w:tcPr>
          <w:p>
            <w:r>
              <w:t xml:space="preserve">13.00%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Rajesh	Myrna Champlin*</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Rohit	Myrna Champlin*</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Lon Kozey</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Dhaulagiri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Everest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Makalu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Broad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Annapurna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Kanchenjunga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(A)</w:t>
            </w:r>
          </w:p>
        </w:tc>
        <w:tc>
          <w:tcPr>
            <w:tcW w:type="dxa" w:w="1285"/>
          </w:tcPr>
          <w:p>
            <w:r>
              <w:t xml:space="preserve">55,906,542</w:t>
            </w:r>
          </w:p>
        </w:tc>
        <w:tc>
          <w:tcPr>
            <w:tcW w:type="dxa" w:w="1285"/>
          </w:tcPr>
          <w:p>
            <w:r>
              <w:t xml:space="preserve">98.40%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Promoter Group</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Maithili	Heidi Hand</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Katyayani Balasubramanian</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(B)</w:t>
            </w:r>
          </w:p>
        </w:tc>
        <w:tc>
          <w:tcPr>
            <w:tcW w:type="dxa" w:w="1285"/>
          </w:tcPr>
          <w:p>
            <w:r>
              <w:t xml:space="preserve">200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Additional top 10 Shareholders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Hermiston and Sons Limited</w:t>
            </w:r>
          </w:p>
        </w:tc>
        <w:tc>
          <w:tcPr>
            <w:tcW w:type="dxa" w:w="1285"/>
          </w:tcPr>
          <w:p>
            <w:r>
              <w:t xml:space="preserve">8,51,563</w:t>
            </w:r>
          </w:p>
        </w:tc>
        <w:tc>
          <w:tcPr>
            <w:tcW w:type="dxa" w:w="1285"/>
          </w:tcPr>
          <w:p>
            <w:r>
              <w:t xml:space="preserve">1.50%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Rupal K. Sancheti</w:t>
            </w:r>
          </w:p>
        </w:tc>
        <w:tc>
          <w:tcPr>
            <w:tcW w:type="dxa" w:w="1285"/>
          </w:tcPr>
          <w:p>
            <w:r>
              <w:t xml:space="preserve">39,062</w:t>
            </w:r>
          </w:p>
        </w:tc>
        <w:tc>
          <w:tcPr>
            <w:tcW w:type="dxa" w:w="1285"/>
          </w:tcPr>
          <w:p>
            <w:r>
              <w:t xml:space="preserve">0.07%</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Salil Ajay Bhargava</w:t>
            </w:r>
          </w:p>
        </w:tc>
        <w:tc>
          <w:tcPr>
            <w:tcW w:type="dxa" w:w="1285"/>
          </w:tcPr>
          <w:p>
            <w:r>
              <w:t xml:space="preserve">13,021</w:t>
            </w:r>
          </w:p>
        </w:tc>
        <w:tc>
          <w:tcPr>
            <w:tcW w:type="dxa" w:w="1285"/>
          </w:tcPr>
          <w:p>
            <w:r>
              <w:t xml:space="preserve">0.02%</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Jabeen 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Sunil	Nagayya Brad Franecki</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(C)</w:t>
            </w:r>
          </w:p>
        </w:tc>
        <w:tc>
          <w:tcPr>
            <w:tcW w:type="dxa" w:w="1285"/>
          </w:tcPr>
          <w:p>
            <w:r>
              <w:t xml:space="preserve">911,458</w:t>
            </w:r>
          </w:p>
        </w:tc>
        <w:tc>
          <w:tcPr>
            <w:tcW w:type="dxa" w:w="1285"/>
          </w:tcPr>
          <w:p>
            <w:r>
              <w:t xml:space="preserve">1.60%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Total (A+B+C)</w:t>
            </w:r>
          </w:p>
        </w:tc>
        <w:tc>
          <w:tcPr>
            <w:tcW w:type="dxa" w:w="1285"/>
          </w:tcPr>
          <w:p>
            <w:r>
              <w:t xml:space="preserve">5,68,18,200</w:t>
            </w:r>
          </w:p>
        </w:tc>
        <w:tc>
          <w:tcPr>
            <w:tcW w:type="dxa" w:w="1285"/>
          </w:tcPr>
          <w:p>
            <w:r>
              <w:t xml:space="preserve">100.00%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p>
      <w:r>
        <w:t xml:space="preserve">^Subject to completion of the Offer and finalisation of the Basis of Allotment.</w:t>
      </w:r>
    </w:p>
    <w:p>
      <w:r>
        <w:t xml:space="preserve">** The number is negligible and below the rounding off norms adopted by our Jimmie Franey.</w:t>
      </w:r>
    </w:p>
    <w:p>
      <w:r>
        <w:t xml:space="preserve">*Also, the Promoter Selling Shareholder</w:t>
      </w:r>
    </w:p>
    <w:p>
      <w:r>
        <w:t xml:space="preserve">For further details, see “Capital Structure” on page 84.</w:t>
      </w:r>
    </w:p>
    <w:p>
      <w:pPr>
        <w:pStyle w:val="Heading3"/>
      </w:pPr>
      <w:r>
        <w:t xml:space="preserve">Summary of selected financial information</w:t>
      </w:r>
    </w:p>
    <w:p>
      <w:r>
        <w:t xml:space="preserve">The details of certain financial information as at and for the three-month period ended June 30, 2025 and Fiscals 2025, 2024 and 2023, as derived from the Restated Financial Statements are set forth below:</w:t>
      </w:r>
    </w:p>
    <w:p>
      <w:r>
        <w:t xml:space="preserve">(₹ in million, except per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Equity share capital</w:t>
            </w:r>
          </w:p>
        </w:tc>
        <w:tc>
          <w:tcPr>
            <w:tcW w:type="dxa" w:w="1800"/>
          </w:tcPr>
          <w:p>
            <w:r>
              <w:t xml:space="preserve">284.09</w:t>
            </w:r>
          </w:p>
        </w:tc>
        <w:tc>
          <w:tcPr>
            <w:tcW w:type="dxa" w:w="1800"/>
          </w:tcPr>
          <w:p>
            <w:r>
              <w:t xml:space="preserve">284.09</w:t>
            </w:r>
          </w:p>
        </w:tc>
        <w:tc>
          <w:tcPr>
            <w:tcW w:type="dxa" w:w="1800"/>
          </w:tcPr>
          <w:p>
            <w:r>
              <w:t xml:space="preserve">56.82</w:t>
            </w:r>
          </w:p>
        </w:tc>
        <w:tc>
          <w:tcPr>
            <w:tcW w:type="dxa" w:w="1800"/>
          </w:tcPr>
          <w:p>
            <w:r>
              <w:t xml:space="preserve">56.82</w:t>
            </w:r>
          </w:p>
        </w:tc>
      </w:tr>
      <w:tr>
        <w:tc>
          <w:tcPr>
            <w:tcW w:type="dxa" w:w="1800"/>
          </w:tcPr>
          <w:p>
            <w:r>
              <w:t xml:space="preserve">Total equity</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Net worth(1)</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Return on Net worth</w:t>
            </w:r>
          </w:p>
        </w:tc>
        <w:tc>
          <w:tcPr>
            <w:tcW w:type="dxa" w:w="1800"/>
          </w:tcPr>
          <w:p>
            <w:r>
              <w:t xml:space="preserve">7.06%</w:t>
            </w:r>
          </w:p>
        </w:tc>
        <w:tc>
          <w:tcPr>
            <w:tcW w:type="dxa" w:w="1800"/>
          </w:tcPr>
          <w:p>
            <w:r>
              <w:t xml:space="preserve">22.77%</w:t>
            </w:r>
          </w:p>
        </w:tc>
        <w:tc>
          <w:tcPr>
            <w:tcW w:type="dxa" w:w="1800"/>
          </w:tcPr>
          <w:p>
            <w:r>
              <w:t xml:space="preserve">16.17%</w:t>
            </w:r>
          </w:p>
        </w:tc>
        <w:tc>
          <w:tcPr>
            <w:tcW w:type="dxa" w:w="1800"/>
          </w:tcPr>
          <w:p>
            <w:r>
              <w:t xml:space="preserve">13.74%</w:t>
            </w:r>
          </w:p>
        </w:tc>
      </w:tr>
      <w:tr>
        <w:tc>
          <w:tcPr>
            <w:tcW w:type="dxa" w:w="1800"/>
          </w:tcPr>
          <w:p>
            <w:r>
              <w:t xml:space="preserve">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r>
        <w:tc>
          <w:tcPr>
            <w:tcW w:type="dxa" w:w="1800"/>
          </w:tcPr>
          <w:p>
            <w:r>
              <w:t xml:space="preserve">Restated profit for the year</w:t>
            </w:r>
          </w:p>
        </w:tc>
        <w:tc>
          <w:tcPr>
            <w:tcW w:type="dxa" w:w="1800"/>
          </w:tcPr>
          <w:p>
            <w:r>
              <w:t xml:space="preserve">226.81</w:t>
            </w:r>
          </w:p>
        </w:tc>
        <w:tc>
          <w:tcPr>
            <w:tcW w:type="dxa" w:w="1800"/>
          </w:tcPr>
          <w:p>
            <w:r>
              <w:t xml:space="preserve">679.88</w:t>
            </w:r>
          </w:p>
        </w:tc>
        <w:tc>
          <w:tcPr>
            <w:tcW w:type="dxa" w:w="1800"/>
          </w:tcPr>
          <w:p>
            <w:r>
              <w:t xml:space="preserve">373.50</w:t>
            </w:r>
          </w:p>
        </w:tc>
        <w:tc>
          <w:tcPr>
            <w:tcW w:type="dxa" w:w="1800"/>
          </w:tcPr>
          <w:p>
            <w:r>
              <w:t xml:space="preserve">266.13</w:t>
            </w:r>
          </w:p>
        </w:tc>
      </w:tr>
      <w:tr>
        <w:tc>
          <w:tcPr>
            <w:tcW w:type="dxa" w:w="1800"/>
          </w:tcPr>
          <w:p>
            <w:r>
              <w:t xml:space="preserve">Earnings per Equity Share (of face value of ₹5 each) *</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 Basic(2)(4)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r>
        <w:tc>
          <w:tcPr>
            <w:tcW w:type="dxa" w:w="1800"/>
          </w:tcPr>
          <w:p>
            <w:r>
              <w:t xml:space="preserve">- Diluted(3)(4)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Net Asset Value per Equity Share(5)</w:t>
            </w:r>
          </w:p>
        </w:tc>
        <w:tc>
          <w:tcPr>
            <w:tcW w:type="dxa" w:w="1800"/>
          </w:tcPr>
          <w:p>
            <w:r>
              <w:t xml:space="preserve">56.58</w:t>
            </w:r>
          </w:p>
        </w:tc>
        <w:tc>
          <w:tcPr>
            <w:tcW w:type="dxa" w:w="1800"/>
          </w:tcPr>
          <w:p>
            <w:r>
              <w:t xml:space="preserve">52.54</w:t>
            </w:r>
          </w:p>
        </w:tc>
        <w:tc>
          <w:tcPr>
            <w:tcW w:type="dxa" w:w="1800"/>
          </w:tcPr>
          <w:p>
            <w:r>
              <w:t xml:space="preserve">40.65</w:t>
            </w:r>
          </w:p>
        </w:tc>
        <w:tc>
          <w:tcPr>
            <w:tcW w:type="dxa" w:w="1800"/>
          </w:tcPr>
          <w:p>
            <w:r>
              <w:t xml:space="preserve">34.08</w:t>
            </w:r>
          </w:p>
        </w:tc>
      </w:tr>
      <w:tr>
        <w:tc>
          <w:tcPr>
            <w:tcW w:type="dxa" w:w="1800"/>
          </w:tcPr>
          <w:p>
            <w:r>
              <w:t xml:space="preserve">Total borrowings(6)</w:t>
            </w:r>
          </w:p>
        </w:tc>
        <w:tc>
          <w:tcPr>
            <w:tcW w:type="dxa" w:w="1800"/>
          </w:tcPr>
          <w:p>
            <w:r>
              <w:t xml:space="preserve">3,793.94</w:t>
            </w:r>
          </w:p>
        </w:tc>
        <w:tc>
          <w:tcPr>
            <w:tcW w:type="dxa" w:w="1800"/>
          </w:tcPr>
          <w:p>
            <w:r>
              <w:t xml:space="preserve">3,600.49</w:t>
            </w:r>
          </w:p>
        </w:tc>
        <w:tc>
          <w:tcPr>
            <w:tcW w:type="dxa" w:w="1800"/>
          </w:tcPr>
          <w:p>
            <w:r>
              <w:t xml:space="preserve">2,068.08</w:t>
            </w:r>
          </w:p>
        </w:tc>
        <w:tc>
          <w:tcPr>
            <w:tcW w:type="dxa" w:w="1800"/>
          </w:tcPr>
          <w:p>
            <w:r>
              <w:t xml:space="preserve">1,203.54</w:t>
            </w:r>
          </w:p>
        </w:tc>
      </w:tr>
    </w:tbl>
    <w:p/>
    <w:p>
      <w:r>
        <w:t xml:space="preserve">*Not annualised for period ended June 30, 2025. Notes:</w:t>
      </w:r>
    </w:p>
    <w:p>
      <w:pPr>
        <w:pStyle w:val="ListParagraph"/>
        <w:numPr>
          <w:ilvl w:val="0"/>
          <w:numId w:val="2"/>
        </w:numPr>
      </w:pPr>
      <w:r>
        <w:t xml:space="preserve">Net worth means the aggregate value of the paid up share capital of the Jimmie Franey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Jimmie Franey.</w:t>
      </w:r>
    </w:p>
    <w:p>
      <w:pPr>
        <w:pStyle w:val="ListParagraph"/>
        <w:numPr>
          <w:ilvl w:val="0"/>
          <w:numId w:val="2"/>
        </w:numPr>
      </w:pPr>
      <w:r>
        <w:t xml:space="preserve">Earnings per Equity Share (Basic) = restated profit attributable to the equity holders / weighted average number of equity shares.</w:t>
      </w:r>
    </w:p>
    <w:p>
      <w:pPr>
        <w:pStyle w:val="ListParagraph"/>
        <w:numPr>
          <w:ilvl w:val="0"/>
          <w:numId w:val="2"/>
        </w:numPr>
      </w:pPr>
      <w:r>
        <w:t xml:space="preserve">Earnings per Equity Share (Diluted) = restated profit attributable to the equity holders / weighted average number of equity shares adjusted for the effects of dilution.</w:t>
      </w:r>
    </w:p>
    <w:p>
      <w:pPr>
        <w:pStyle w:val="ListParagraph"/>
        <w:numPr>
          <w:ilvl w:val="0"/>
          <w:numId w:val="2"/>
        </w:numPr>
      </w:pPr>
      <w:r>
        <w:t xml:space="preserve">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w:t>
      </w:r>
    </w:p>
    <w:p>
      <w:pPr>
        <w:pStyle w:val="ListParagraph"/>
        <w:numPr>
          <w:ilvl w:val="0"/>
          <w:numId w:val="2"/>
        </w:numPr>
      </w:pPr>
      <w:r>
        <w:t xml:space="preserve">Net Asset Value per Equity share is calculated as Equity attributable to owners of the Jimmie Franey / Net Worth divided by Weighted average number of shares outstanding during the year as adjusted for Split of Equity Shares and Bonus Issue.</w:t>
      </w:r>
    </w:p>
    <w:p>
      <w:pPr>
        <w:pStyle w:val="ListParagraph"/>
        <w:numPr>
          <w:ilvl w:val="0"/>
          <w:numId w:val="2"/>
        </w:numPr>
      </w:pPr>
      <w:r>
        <w:t xml:space="preserve">Total borrowings are computed as current borrowings plus non-current borrowings.</w:t>
      </w:r>
    </w:p>
    <w:p>
      <w:r>
        <w:t xml:space="preserve">For further details, see “Restated Financial Statements” on page 280.</w:t>
      </w:r>
    </w:p>
    <w:p>
      <w:pPr>
        <w:pStyle w:val="Heading3"/>
      </w:pPr>
      <w:r>
        <w:t xml:space="preserve">Qualifications of the Statutory Auditors which have not been given effect to in the Restated Financial Statements</w:t>
      </w:r>
    </w:p>
    <w:p>
      <w:r>
        <w:t xml:space="preserve">There are no qualifications included by the Statutory Auditors in their audit reports and hence no effect is required to be given in the Restated Financial Statements.</w:t>
      </w:r>
    </w:p>
    <w:p>
      <w:pPr>
        <w:pStyle w:val="Heading3"/>
      </w:pPr>
      <w:r>
        <w:t xml:space="preserve">Summary of outstanding litigations</w:t>
      </w:r>
    </w:p>
    <w:p>
      <w:r>
        <w:t xml:space="preserve">A summary of outstanding litigation proceedings involving our Jimmie Franey, our Directors, our Promoters, our KMPs and Senior Management in accordance with the SEBI ICDR Regulations and the Materiality Policy as on the date of this Red Herring Prospectus, is provided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Jimmie Franey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Jimmie Franey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Jimmie Franey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Hope Shields, Misael Blanda, Lew Bergnaum and Lon Kozey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Brisa Terry,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outstanding litigation involving our Group Companies which may have a material impact on our Jimmie Franey.</w:t>
      </w:r>
    </w:p>
    <w:p>
      <w:r>
        <w:t xml:space="preserve">For further details, see “Outstanding Litigation and Material Developments” on page 388.</w:t>
      </w:r>
    </w:p>
    <w:p>
      <w:pPr>
        <w:pStyle w:val="Heading3"/>
      </w:pPr>
      <w:r>
        <w:t xml:space="preserve">Risk Factors</w:t>
      </w:r>
    </w:p>
    <w:p>
      <w:r>
        <w:t xml:space="preserve">Specific attention of Bidders is invited to the section “Risk Factors” on page 28. Bidders are advised to read the risk factors carefully before taking an investment decision in the Offer. Set forth below are the top 10 risk factors applicable to our Jimmie Franey: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S. No.</w:t>
            </w:r>
          </w:p>
        </w:tc>
        <w:tc>
          <w:tcPr>
            <w:tcW w:type="dxa" w:w="4500"/>
          </w:tcPr>
          <w:p>
            <w:r>
              <w:t xml:space="preserve">Description of Risk</w:t>
            </w:r>
          </w:p>
        </w:tc>
      </w:tr>
      <w:tr>
        <w:tc>
          <w:tcPr>
            <w:tcW w:type="dxa" w:w="4500"/>
          </w:tcPr>
          <w:p>
            <w:r>
              <w:t xml:space="preserve">1.</w:t>
            </w:r>
          </w:p>
        </w:tc>
        <w:tc>
          <w:tcPr>
            <w:tcW w:type="dxa" w:w="4500"/>
          </w:tcPr>
          <w:p>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cashflows.</w:t>
            </w:r>
          </w:p>
        </w:tc>
      </w:tr>
      <w:tr>
        <w:tc>
          <w:tcPr>
            <w:tcW w:type="dxa" w:w="4500"/>
          </w:tcPr>
          <w:p>
            <w:r>
              <w:t xml:space="preserve">2.</w:t>
            </w:r>
          </w:p>
        </w:tc>
        <w:tc>
          <w:tcPr>
            <w:tcW w:type="dxa" w:w="4500"/>
          </w:tcPr>
          <w:p>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lossof suppliers or interruptions in the timely delivery of raw materials or volatility in their prices could have an adverse impact on our business, financial condition, cash flows and results of operations.</w:t>
            </w:r>
          </w:p>
        </w:tc>
      </w:tr>
      <w:tr>
        <w:tc>
          <w:tcPr>
            <w:tcW w:type="dxa" w:w="4500"/>
          </w:tcPr>
          <w:p>
            <w:r>
              <w:t xml:space="preserve">3.</w:t>
            </w:r>
          </w:p>
        </w:tc>
        <w:tc>
          <w:tcPr>
            <w:tcW w:type="dxa" w:w="4500"/>
          </w:tcPr>
          <w:p>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ourbusiness, results of operations and financial condition.</w:t>
            </w:r>
          </w:p>
        </w:tc>
      </w:tr>
      <w:tr>
        <w:tc>
          <w:tcPr>
            <w:tcW w:type="dxa" w:w="4500"/>
          </w:tcPr>
          <w:p>
            <w:r>
              <w:t xml:space="preserve">4.</w:t>
            </w:r>
          </w:p>
        </w:tc>
        <w:tc>
          <w:tcPr>
            <w:tcW w:type="dxa" w:w="4500"/>
          </w:tcPr>
          <w:p>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resultsof operations and financial condition.</w:t>
            </w:r>
          </w:p>
        </w:tc>
      </w:tr>
      <w:tr>
        <w:tc>
          <w:tcPr>
            <w:tcW w:type="dxa" w:w="4500"/>
          </w:tcPr>
          <w:p>
            <w:r>
              <w:t xml:space="preserve">5.</w:t>
            </w:r>
          </w:p>
        </w:tc>
        <w:tc>
          <w:tcPr>
            <w:tcW w:type="dxa" w:w="4500"/>
          </w:tcPr>
          <w:p>
            <w:r>
              <w:t xml:space="preserve">We derive a substantial portion of our revenue (more than 70% in each of the three-month period ended June 30, 2025, andFiscals 2025, 2024 and 2023) from the sale of specialized magnet winding wires. Any reduction in demand for our key products would have a material adverse effect on our business, financial condition, results of operations and cash flows.</w:t>
            </w:r>
          </w:p>
        </w:tc>
      </w:tr>
      <w:tr>
        <w:tc>
          <w:tcPr>
            <w:tcW w:type="dxa" w:w="4500"/>
          </w:tcPr>
          <w:p>
            <w:r>
              <w:t xml:space="preserve">6.</w:t>
            </w:r>
          </w:p>
        </w:tc>
        <w:tc>
          <w:tcPr>
            <w:tcW w:type="dxa" w:w="4500"/>
          </w:tcPr>
          <w:p>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atimely manner, or at all, the same may result in time and cost over-runs.</w:t>
            </w:r>
          </w:p>
        </w:tc>
      </w:tr>
      <w:tr>
        <w:tc>
          <w:tcPr>
            <w:tcW w:type="dxa" w:w="4500"/>
          </w:tcPr>
          <w:p>
            <w:r>
              <w:t xml:space="preserve">7.</w:t>
            </w:r>
          </w:p>
        </w:tc>
        <w:tc>
          <w:tcPr>
            <w:tcW w:type="dxa" w:w="4500"/>
          </w:tcPr>
          <w:p>
            <w:r>
              <w:t xml:space="preserve">Our operations are significantly dependent on our manufacturing facilities. Any unscheduled, unplanned or prolonged disruption, slowdown or shutdown of our manufacturing facilities could have a material adverse effect on our business, financial condition,cash flows and results of operations.</w:t>
            </w:r>
          </w:p>
        </w:tc>
      </w:tr>
      <w:tr>
        <w:tc>
          <w:tcPr>
            <w:tcW w:type="dxa" w:w="4500"/>
          </w:tcPr>
          <w:p>
            <w:r>
              <w:t xml:space="preserve">8.</w:t>
            </w:r>
          </w:p>
        </w:tc>
        <w:tc>
          <w:tcPr>
            <w:tcW w:type="dxa" w:w="4500"/>
          </w:tcPr>
          <w:p>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tc>
      </w:tr>
      <w:tr>
        <w:tc>
          <w:tcPr>
            <w:tcW w:type="dxa" w:w="4500"/>
          </w:tcPr>
          <w:p>
            <w:r>
              <w:t xml:space="preserve">9.</w:t>
            </w:r>
          </w:p>
        </w:tc>
        <w:tc>
          <w:tcPr>
            <w:tcW w:type="dxa" w:w="4500"/>
          </w:tcPr>
          <w:p>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c>
          <w:tcPr>
            <w:tcW w:type="dxa" w:w="4500"/>
          </w:tcPr>
          <w:p>
            <w:r>
              <w:t xml:space="preserve">10.</w:t>
            </w:r>
          </w:p>
        </w:tc>
        <w:tc>
          <w:tcPr>
            <w:tcW w:type="dxa" w:w="4500"/>
          </w:tcPr>
          <w:p>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ourbusiness, revenue operations, financial condition and cash flows.</w:t>
            </w:r>
          </w:p>
        </w:tc>
      </w:tr>
    </w:tbl>
    <w:p/>
    <w:p>
      <w:r>
        <w:t xml:space="preserve">For further details, see “Risk Factors” on page 28.</w:t>
      </w:r>
    </w:p>
    <w:p>
      <w:pPr>
        <w:pStyle w:val="Heading3"/>
      </w:pPr>
      <w:r>
        <w:t xml:space="preserve">Summary of contingent liabilities</w:t>
      </w:r>
    </w:p>
    <w:p>
      <w:r>
        <w:t xml:space="preserve">The following is a summary table of our contingent liabilities as at the three-month period ended June 30, 2025, as derived from the Restated Financial Statements: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For details, see “Restated Financial Statements – Note 28: Contingent liabilities and commitments” on page 322.</w:t>
      </w:r>
    </w:p>
    <w:p>
      <w:pPr>
        <w:pStyle w:val="Heading3"/>
      </w:pPr>
      <w:r>
        <w:t xml:space="preserve">Summary of related party transactions</w:t>
      </w:r>
    </w:p>
    <w:p>
      <w:r>
        <w:t xml:space="preserve">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8"/>
        <w:gridCol w:w="818"/>
        <w:gridCol w:w="818"/>
        <w:gridCol w:w="818"/>
        <w:gridCol w:w="818"/>
        <w:gridCol w:w="818"/>
        <w:gridCol w:w="818"/>
        <w:gridCol w:w="818"/>
        <w:gridCol w:w="818"/>
        <w:gridCol w:w="818"/>
        <w:gridCol w:w="818"/>
      </w:tblGrid>
      <w:tr>
        <w:tc>
          <w:tcPr>
            <w:tcW w:type="dxa" w:w="818"/>
          </w:tcPr>
          <w:p>
            <w:r>
              <w:t xml:space="preserve">Nature of transaction</w:t>
            </w:r>
          </w:p>
        </w:tc>
        <w:tc>
          <w:tcPr>
            <w:tcW w:type="dxa" w:w="818"/>
          </w:tcPr>
          <w:p>
            <w:r>
              <w:t xml:space="preserve">Name of related party with whom transactions have takenplace</w:t>
            </w:r>
          </w:p>
        </w:tc>
        <w:tc>
          <w:tcPr>
            <w:tcW w:type="dxa" w:w="818"/>
          </w:tcPr>
          <w:p>
            <w:r>
              <w:t xml:space="preserve">Nature of relationship</w:t>
            </w:r>
          </w:p>
        </w:tc>
        <w:tc>
          <w:tcPr>
            <w:tcW w:type="dxa" w:w="818"/>
          </w:tcPr>
          <w:p>
            <w:r>
              <w:t xml:space="preserve">Three-month period ended June 30,2025</w:t>
            </w:r>
          </w:p>
        </w:tc>
        <w:tc>
          <w:tcPr>
            <w:tcW w:type="dxa" w:w="818"/>
          </w:tcPr>
          <w:p>
            <w:r>
              <w:t xml:space="preserve">% of revenue from operations</w:t>
            </w:r>
          </w:p>
        </w:tc>
        <w:tc>
          <w:tcPr>
            <w:tcW w:type="dxa" w:w="818"/>
          </w:tcPr>
          <w:p>
            <w:r>
              <w:t xml:space="preserve">Fiscal 2025</w:t>
            </w:r>
          </w:p>
        </w:tc>
        <w:tc>
          <w:tcPr>
            <w:tcW w:type="dxa" w:w="818"/>
          </w:tcPr>
          <w:p>
            <w:r>
              <w:t xml:space="preserve">% of revenue from operations</w:t>
            </w:r>
          </w:p>
        </w:tc>
        <w:tc>
          <w:tcPr>
            <w:tcW w:type="dxa" w:w="818"/>
          </w:tcPr>
          <w:p>
            <w:r>
              <w:t xml:space="preserve">Fiscal 2024</w:t>
            </w:r>
          </w:p>
        </w:tc>
        <w:tc>
          <w:tcPr>
            <w:tcW w:type="dxa" w:w="818"/>
          </w:tcPr>
          <w:p>
            <w:r>
              <w:t xml:space="preserve">% of revenue from operations</w:t>
            </w:r>
          </w:p>
        </w:tc>
        <w:tc>
          <w:tcPr>
            <w:tcW w:type="dxa" w:w="818"/>
          </w:tcPr>
          <w:p>
            <w:r>
              <w:t xml:space="preserve">Fiscal 2023</w:t>
            </w:r>
          </w:p>
        </w:tc>
        <w:tc>
          <w:tcPr>
            <w:tcW w:type="dxa" w:w="818"/>
          </w:tcPr>
          <w:p>
            <w:r>
              <w:t xml:space="preserve">% of revenue from operations</w:t>
            </w:r>
          </w:p>
        </w:tc>
      </w:tr>
      <w:tr>
        <w:tc>
          <w:tcPr>
            <w:tcW w:type="dxa" w:w="818"/>
          </w:tcPr>
          <w:p>
            <w:r>
              <w:t xml:space="preserve">Purchase	of goods</w:t>
            </w:r>
          </w:p>
        </w:tc>
        <w:tc>
          <w:tcPr>
            <w:tcW w:type="dxa" w:w="818"/>
          </w:tcPr>
          <w:p>
            <w:r>
              <w:t xml:space="preserve">Kushal Electricals</w:t>
            </w:r>
          </w:p>
        </w:tc>
        <w:tc>
          <w:tcPr>
            <w:tcW w:type="dxa" w:w="818"/>
          </w:tcPr>
          <w:p>
            <w:r>
              <w:t xml:space="preserve">Promoters are partners in	thepartnership firm</w:t>
            </w:r>
          </w:p>
        </w:tc>
        <w:tc>
          <w:tcPr>
            <w:tcW w:type="dxa" w:w="818"/>
          </w:tcPr>
          <w:p>
            <w:r>
              <w:t xml:space="preserve">0.39</w:t>
            </w:r>
          </w:p>
        </w:tc>
        <w:tc>
          <w:tcPr>
            <w:tcW w:type="dxa" w:w="818"/>
          </w:tcPr>
          <w:p>
            <w:r>
              <w:t xml:space="preserve">0.01%</w:t>
            </w:r>
          </w:p>
        </w:tc>
        <w:tc>
          <w:tcPr>
            <w:tcW w:type="dxa" w:w="818"/>
          </w:tcPr>
          <w:p>
            <w:r>
              <w:t xml:space="preserve">0.27</w:t>
            </w:r>
          </w:p>
        </w:tc>
        <w:tc>
          <w:tcPr>
            <w:tcW w:type="dxa" w:w="818"/>
          </w:tcPr>
          <w:p>
            <w:r>
              <w:t xml:space="preserve">0.00%</w:t>
            </w:r>
          </w:p>
        </w:tc>
        <w:tc>
          <w:tcPr>
            <w:tcW w:type="dxa" w:w="818"/>
          </w:tcPr>
          <w:p>
            <w:r>
              <w:t xml:space="preserve">0.28</w:t>
            </w:r>
          </w:p>
        </w:tc>
        <w:tc>
          <w:tcPr>
            <w:tcW w:type="dxa" w:w="818"/>
          </w:tcPr>
          <w:p>
            <w:r>
              <w:t xml:space="preserve">0.00%</w:t>
            </w:r>
          </w:p>
        </w:tc>
        <w:tc>
          <w:tcPr>
            <w:tcW w:type="dxa" w:w="818"/>
          </w:tcPr>
          <w:p>
            <w:r>
              <w:t xml:space="preserve">0.19</w:t>
            </w:r>
          </w:p>
        </w:tc>
        <w:tc>
          <w:tcPr>
            <w:tcW w:type="dxa" w:w="818"/>
          </w:tcPr>
          <w:p>
            <w:r>
              <w:t xml:space="preserve">0.00%</w:t>
            </w:r>
          </w:p>
        </w:tc>
      </w:tr>
      <w:tr>
        <w:tc>
          <w:tcPr>
            <w:tcW w:type="dxa" w:w="818"/>
          </w:tcPr>
          <w:p>
            <w:r>
              <w:t xml:space="preserve">Purchase	of goods</w:t>
            </w:r>
          </w:p>
        </w:tc>
        <w:tc>
          <w:tcPr>
            <w:tcW w:type="dxa" w:w="818"/>
          </w:tcPr>
          <w:p>
            <w:r>
              <w:t xml:space="preserve">Waterloo Motors</w:t>
            </w:r>
          </w:p>
        </w:tc>
        <w:tc>
          <w:tcPr>
            <w:tcW w:type="dxa" w:w="818"/>
          </w:tcPr>
          <w:p>
            <w:r>
              <w:t xml:space="preserve">Promoters are partners in	thepartnership firm</w:t>
            </w:r>
          </w:p>
        </w:tc>
        <w:tc>
          <w:tcPr>
            <w:tcW w:type="dxa" w:w="818"/>
          </w:tcPr>
          <w:p>
            <w:r>
              <w:t xml:space="preserve">-</w:t>
            </w:r>
          </w:p>
        </w:tc>
        <w:tc>
          <w:tcPr>
            <w:tcW w:type="dxa" w:w="818"/>
          </w:tcPr>
          <w:p>
            <w:r>
              <w:t xml:space="preserve">-</w:t>
            </w:r>
          </w:p>
        </w:tc>
        <w:tc>
          <w:tcPr>
            <w:tcW w:type="dxa" w:w="818"/>
          </w:tcPr>
          <w:p>
            <w:r>
              <w:t xml:space="preserve">0.27</w:t>
            </w:r>
          </w:p>
        </w:tc>
        <w:tc>
          <w:tcPr>
            <w:tcW w:type="dxa" w:w="818"/>
          </w:tcPr>
          <w:p>
            <w:r>
              <w:t xml:space="preserve">0.00%</w:t>
            </w:r>
          </w:p>
        </w:tc>
        <w:tc>
          <w:tcPr>
            <w:tcW w:type="dxa" w:w="818"/>
          </w:tcPr>
          <w:p>
            <w:r>
              <w:t xml:space="preserve">0.10</w:t>
            </w:r>
          </w:p>
        </w:tc>
        <w:tc>
          <w:tcPr>
            <w:tcW w:type="dxa" w:w="818"/>
          </w:tcPr>
          <w:p>
            <w:r>
              <w:t xml:space="preserve">0.00%</w:t>
            </w:r>
          </w:p>
        </w:tc>
        <w:tc>
          <w:tcPr>
            <w:tcW w:type="dxa" w:w="818"/>
          </w:tcPr>
          <w:p>
            <w:r>
              <w:t xml:space="preserve">0.13</w:t>
            </w:r>
          </w:p>
        </w:tc>
        <w:tc>
          <w:tcPr>
            <w:tcW w:type="dxa" w:w="818"/>
          </w:tcPr>
          <w:p>
            <w:r>
              <w:t xml:space="preserve">0.00%</w:t>
            </w:r>
          </w:p>
        </w:tc>
      </w:tr>
      <w:tr>
        <w:tc>
          <w:tcPr>
            <w:tcW w:type="dxa" w:w="818"/>
          </w:tcPr>
          <w:p>
            <w:r>
              <w:t xml:space="preserve">Services received</w:t>
            </w:r>
          </w:p>
        </w:tc>
        <w:tc>
          <w:tcPr>
            <w:tcW w:type="dxa" w:w="818"/>
          </w:tcPr>
          <w:p>
            <w:r>
              <w:t xml:space="preserve">Treutel - Jenkins Limited</w:t>
            </w:r>
          </w:p>
        </w:tc>
        <w:tc>
          <w:tcPr>
            <w:tcW w:type="dxa" w:w="818"/>
          </w:tcPr>
          <w:p>
            <w:r>
              <w:t xml:space="preserve">Common control</w:t>
            </w:r>
          </w:p>
        </w:tc>
        <w:tc>
          <w:tcPr>
            <w:tcW w:type="dxa" w:w="818"/>
          </w:tcPr>
          <w:p>
            <w:r>
              <w:t xml:space="preserve">0.37</w:t>
            </w:r>
          </w:p>
        </w:tc>
        <w:tc>
          <w:tcPr>
            <w:tcW w:type="dxa" w:w="818"/>
          </w:tcPr>
          <w:p>
            <w:r>
              <w:t xml:space="preserve">0.01%</w:t>
            </w:r>
          </w:p>
        </w:tc>
        <w:tc>
          <w:tcPr>
            <w:tcW w:type="dxa" w:w="818"/>
          </w:tcPr>
          <w:p>
            <w:r>
              <w:t xml:space="preserve">3.23</w:t>
            </w:r>
          </w:p>
        </w:tc>
        <w:tc>
          <w:tcPr>
            <w:tcW w:type="dxa" w:w="818"/>
          </w:tcPr>
          <w:p>
            <w:r>
              <w:t xml:space="preserve">0.02%</w:t>
            </w:r>
          </w:p>
        </w:tc>
        <w:tc>
          <w:tcPr>
            <w:tcW w:type="dxa" w:w="818"/>
          </w:tcPr>
          <w:p>
            <w:r>
              <w:t xml:space="preserve">2.91</w:t>
            </w:r>
          </w:p>
        </w:tc>
        <w:tc>
          <w:tcPr>
            <w:tcW w:type="dxa" w:w="818"/>
          </w:tcPr>
          <w:p>
            <w:r>
              <w:t xml:space="preserve">0.02%</w:t>
            </w:r>
          </w:p>
        </w:tc>
        <w:tc>
          <w:tcPr>
            <w:tcW w:type="dxa" w:w="818"/>
          </w:tcPr>
          <w:p>
            <w:r>
              <w:t xml:space="preserve">3.66</w:t>
            </w:r>
          </w:p>
        </w:tc>
        <w:tc>
          <w:tcPr>
            <w:tcW w:type="dxa" w:w="818"/>
          </w:tcPr>
          <w:p>
            <w:r>
              <w:t xml:space="preserve">0.03%</w:t>
            </w:r>
          </w:p>
        </w:tc>
      </w:tr>
      <w:tr>
        <w:tc>
          <w:tcPr>
            <w:tcW w:type="dxa" w:w="818"/>
          </w:tcPr>
          <w:p>
            <w:r>
              <w:t xml:space="preserve">Services received</w:t>
            </w:r>
          </w:p>
        </w:tc>
        <w:tc>
          <w:tcPr>
            <w:tcW w:type="dxa" w:w="818"/>
          </w:tcPr>
          <w:p>
            <w:r>
              <w:t xml:space="preserve">Parijat Foundation</w:t>
            </w:r>
          </w:p>
        </w:tc>
        <w:tc>
          <w:tcPr>
            <w:tcW w:type="dxa" w:w="818"/>
          </w:tcPr>
          <w:p>
            <w:r>
              <w:t xml:space="preserve">Promotersare trustees in the trust</w:t>
            </w:r>
          </w:p>
        </w:tc>
        <w:tc>
          <w:tcPr>
            <w:tcW w:type="dxa" w:w="818"/>
          </w:tcPr>
          <w:p>
            <w:r>
              <w:t xml:space="preserve">-</w:t>
            </w:r>
          </w:p>
        </w:tc>
        <w:tc>
          <w:tcPr>
            <w:tcW w:type="dxa" w:w="818"/>
          </w:tcPr>
          <w:p>
            <w:r>
              <w:t xml:space="preserve">-</w:t>
            </w:r>
          </w:p>
        </w:tc>
        <w:tc>
          <w:tcPr>
            <w:tcW w:type="dxa" w:w="818"/>
          </w:tcPr>
          <w:p>
            <w:r>
              <w:t xml:space="preserve">4.26</w:t>
            </w:r>
          </w:p>
        </w:tc>
        <w:tc>
          <w:tcPr>
            <w:tcW w:type="dxa" w:w="818"/>
          </w:tcPr>
          <w:p>
            <w:r>
              <w:t xml:space="preserve">0.02%</w:t>
            </w:r>
          </w:p>
        </w:tc>
        <w:tc>
          <w:tcPr>
            <w:tcW w:type="dxa" w:w="818"/>
          </w:tcPr>
          <w:p>
            <w:r>
              <w:t xml:space="preserve">1.50</w:t>
            </w:r>
          </w:p>
        </w:tc>
        <w:tc>
          <w:tcPr>
            <w:tcW w:type="dxa" w:w="818"/>
          </w:tcPr>
          <w:p>
            <w:r>
              <w:t xml:space="preserve">0.01%</w:t>
            </w:r>
          </w:p>
        </w:tc>
        <w:tc>
          <w:tcPr>
            <w:tcW w:type="dxa" w:w="818"/>
          </w:tcPr>
          <w:p>
            <w:r>
              <w:t xml:space="preserve">2.00</w:t>
            </w:r>
          </w:p>
        </w:tc>
        <w:tc>
          <w:tcPr>
            <w:tcW w:type="dxa" w:w="818"/>
          </w:tcPr>
          <w:p>
            <w:r>
              <w:t xml:space="preserve">0.02%</w:t>
            </w:r>
          </w:p>
        </w:tc>
      </w:tr>
      <w:tr>
        <w:tc>
          <w:tcPr>
            <w:tcW w:type="dxa" w:w="818"/>
          </w:tcPr>
          <w:p>
            <w:r>
              <w:t xml:space="preserve">Deposit paid</w:t>
            </w:r>
          </w:p>
        </w:tc>
        <w:tc>
          <w:tcPr>
            <w:tcW w:type="dxa" w:w="818"/>
          </w:tcPr>
          <w:p>
            <w:r>
              <w:t xml:space="preserve">KSH	Infra Park 4 PrivateLimited</w:t>
            </w:r>
          </w:p>
        </w:tc>
        <w:tc>
          <w:tcPr>
            <w:tcW w:type="dxa" w:w="818"/>
          </w:tcPr>
          <w:p>
            <w:r>
              <w:t xml:space="preserve">Common control</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100.00</w:t>
            </w:r>
          </w:p>
        </w:tc>
        <w:tc>
          <w:tcPr>
            <w:tcW w:type="dxa" w:w="818"/>
          </w:tcPr>
          <w:p>
            <w:r>
              <w:t xml:space="preserve">0.95%</w:t>
            </w:r>
          </w:p>
        </w:tc>
      </w:tr>
      <w:tr>
        <w:tc>
          <w:tcPr>
            <w:tcW w:type="dxa" w:w="818"/>
          </w:tcPr>
          <w:p>
            <w:r>
              <w:t xml:space="preserve">Remuneration paid#</w:t>
            </w:r>
          </w:p>
        </w:tc>
        <w:tc>
          <w:tcPr>
            <w:tcW w:type="dxa" w:w="818"/>
          </w:tcPr>
          <w:p>
            <w:r>
              <w:t xml:space="preserve">Remuneration paid to key managerialpersonnel</w:t>
            </w:r>
          </w:p>
        </w:tc>
        <w:tc>
          <w:tcPr>
            <w:tcW w:type="dxa" w:w="818"/>
          </w:tcPr>
          <w:p>
            <w:r>
              <w:t xml:space="preserve">Key managerial personnel</w:t>
            </w:r>
          </w:p>
        </w:tc>
        <w:tc>
          <w:tcPr>
            <w:tcW w:type="dxa" w:w="818"/>
          </w:tcPr>
          <w:p>
            <w:r>
              <w:t xml:space="preserve">40.10</w:t>
            </w:r>
          </w:p>
        </w:tc>
        <w:tc>
          <w:tcPr>
            <w:tcW w:type="dxa" w:w="818"/>
          </w:tcPr>
          <w:p>
            <w:r>
              <w:t xml:space="preserve">0.72%</w:t>
            </w:r>
          </w:p>
        </w:tc>
        <w:tc>
          <w:tcPr>
            <w:tcW w:type="dxa" w:w="818"/>
          </w:tcPr>
          <w:p>
            <w:r>
              <w:t xml:space="preserve">138.44</w:t>
            </w:r>
          </w:p>
        </w:tc>
        <w:tc>
          <w:tcPr>
            <w:tcW w:type="dxa" w:w="818"/>
          </w:tcPr>
          <w:p>
            <w:r>
              <w:t xml:space="preserve">0.72%</w:t>
            </w:r>
          </w:p>
        </w:tc>
        <w:tc>
          <w:tcPr>
            <w:tcW w:type="dxa" w:w="818"/>
          </w:tcPr>
          <w:p>
            <w:r>
              <w:t xml:space="preserve">100.35</w:t>
            </w:r>
          </w:p>
        </w:tc>
        <w:tc>
          <w:tcPr>
            <w:tcW w:type="dxa" w:w="818"/>
          </w:tcPr>
          <w:p>
            <w:r>
              <w:t xml:space="preserve">0.73%</w:t>
            </w:r>
          </w:p>
        </w:tc>
        <w:tc>
          <w:tcPr>
            <w:tcW w:type="dxa" w:w="818"/>
          </w:tcPr>
          <w:p>
            <w:r>
              <w:t xml:space="preserve">123.32</w:t>
            </w:r>
          </w:p>
        </w:tc>
        <w:tc>
          <w:tcPr>
            <w:tcW w:type="dxa" w:w="818"/>
          </w:tcPr>
          <w:p>
            <w:r>
              <w:t xml:space="preserve">1.18%</w:t>
            </w:r>
          </w:p>
        </w:tc>
      </w:tr>
      <w:tr>
        <w:tc>
          <w:tcPr>
            <w:tcW w:type="dxa" w:w="818"/>
          </w:tcPr>
          <w:p>
            <w:r>
              <w:t xml:space="preserve">Remuneration paid#</w:t>
            </w:r>
          </w:p>
        </w:tc>
        <w:tc>
          <w:tcPr>
            <w:tcW w:type="dxa" w:w="818"/>
          </w:tcPr>
          <w:p>
            <w:r>
              <w:t xml:space="preserve">Remuneration paid	torelatives	of Key ManagerialPersonnel</w:t>
            </w:r>
          </w:p>
        </w:tc>
        <w:tc>
          <w:tcPr>
            <w:tcW w:type="dxa" w:w="818"/>
          </w:tcPr>
          <w:p>
            <w:r>
              <w:t xml:space="preserve">Relatives of key managerial personnel</w:t>
            </w:r>
          </w:p>
        </w:tc>
        <w:tc>
          <w:tcPr>
            <w:tcW w:type="dxa" w:w="818"/>
          </w:tcPr>
          <w:p>
            <w:r>
              <w:t xml:space="preserve">-</w:t>
            </w:r>
          </w:p>
        </w:tc>
        <w:tc>
          <w:tcPr>
            <w:tcW w:type="dxa" w:w="818"/>
          </w:tcPr>
          <w:p>
            <w:r>
              <w:t xml:space="preserve">-</w:t>
            </w:r>
          </w:p>
        </w:tc>
        <w:tc>
          <w:tcPr>
            <w:tcW w:type="dxa" w:w="818"/>
          </w:tcPr>
          <w:p>
            <w:r>
              <w:t xml:space="preserve">0.89</w:t>
            </w:r>
          </w:p>
        </w:tc>
        <w:tc>
          <w:tcPr>
            <w:tcW w:type="dxa" w:w="818"/>
          </w:tcPr>
          <w:p>
            <w:r>
              <w:t xml:space="preserve">0.00%</w:t>
            </w:r>
          </w:p>
        </w:tc>
        <w:tc>
          <w:tcPr>
            <w:tcW w:type="dxa" w:w="818"/>
          </w:tcPr>
          <w:p>
            <w:r>
              <w:t xml:space="preserve">0.98</w:t>
            </w:r>
          </w:p>
        </w:tc>
        <w:tc>
          <w:tcPr>
            <w:tcW w:type="dxa" w:w="818"/>
          </w:tcPr>
          <w:p>
            <w:r>
              <w:t xml:space="preserve">0.01%</w:t>
            </w:r>
          </w:p>
        </w:tc>
        <w:tc>
          <w:tcPr>
            <w:tcW w:type="dxa" w:w="818"/>
          </w:tcPr>
          <w:p>
            <w:r>
              <w:t xml:space="preserve">0.92</w:t>
            </w:r>
          </w:p>
        </w:tc>
        <w:tc>
          <w:tcPr>
            <w:tcW w:type="dxa" w:w="818"/>
          </w:tcPr>
          <w:p>
            <w:r>
              <w:t xml:space="preserve">0.01%</w:t>
            </w:r>
          </w:p>
        </w:tc>
      </w:tr>
      <w:tr>
        <w:tc>
          <w:tcPr>
            <w:tcW w:type="dxa" w:w="818"/>
          </w:tcPr>
          <w:p>
            <w:r>
              <w:t xml:space="preserve">Share	Based Payment Expense</w:t>
            </w:r>
          </w:p>
        </w:tc>
        <w:tc>
          <w:tcPr>
            <w:tcW w:type="dxa" w:w="818"/>
          </w:tcPr>
          <w:p>
            <w:r>
              <w:t xml:space="preserve">Share	Based Payment Expense		of Key ManagerialPersonnel</w:t>
            </w:r>
          </w:p>
        </w:tc>
        <w:tc>
          <w:tcPr>
            <w:tcW w:type="dxa" w:w="818"/>
          </w:tcPr>
          <w:p>
            <w:r>
              <w:t xml:space="preserve">Key managerial personnel</w:t>
            </w:r>
          </w:p>
        </w:tc>
        <w:tc>
          <w:tcPr>
            <w:tcW w:type="dxa" w:w="818"/>
          </w:tcPr>
          <w:p>
            <w:r>
              <w:t xml:space="preserve">0.36</w:t>
            </w:r>
          </w:p>
        </w:tc>
        <w:tc>
          <w:tcPr>
            <w:tcW w:type="dxa" w:w="818"/>
          </w:tcPr>
          <w:p>
            <w:r>
              <w:t xml:space="preserve">0.01%</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Sitting	Feespaid	toIndependent Directors</w:t>
            </w:r>
          </w:p>
        </w:tc>
        <w:tc>
          <w:tcPr>
            <w:tcW w:type="dxa" w:w="818"/>
          </w:tcPr>
          <w:p>
            <w:r>
              <w:t xml:space="preserve">Payment	to Independent Directors</w:t>
            </w:r>
          </w:p>
        </w:tc>
        <w:tc>
          <w:tcPr>
            <w:tcW w:type="dxa" w:w="818"/>
          </w:tcPr>
          <w:p>
            <w:r>
              <w:t xml:space="preserve">Independent directors</w:t>
            </w:r>
          </w:p>
        </w:tc>
        <w:tc>
          <w:tcPr>
            <w:tcW w:type="dxa" w:w="818"/>
          </w:tcPr>
          <w:p>
            <w:r>
              <w:t xml:space="preserve">1.92</w:t>
            </w:r>
          </w:p>
        </w:tc>
        <w:tc>
          <w:tcPr>
            <w:tcW w:type="dxa" w:w="818"/>
          </w:tcPr>
          <w:p>
            <w:r>
              <w:t xml:space="preserve">0.03%</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Total</w:t>
            </w:r>
          </w:p>
        </w:tc>
        <w:tc>
          <w:tcPr>
            <w:tcW w:type="dxa" w:w="818"/>
          </w:tcPr>
          <w:p>
            <w:r>
              <w:t xml:space="preserve">43.14</w:t>
            </w:r>
          </w:p>
        </w:tc>
        <w:tc>
          <w:tcPr>
            <w:tcW w:type="dxa" w:w="818"/>
          </w:tcPr>
          <w:p>
            <w:r>
              <w:t xml:space="preserve">0.77%</w:t>
            </w:r>
          </w:p>
        </w:tc>
        <w:tc>
          <w:tcPr>
            <w:tcW w:type="dxa" w:w="818"/>
          </w:tcPr>
          <w:p>
            <w:r>
              <w:t xml:space="preserve">147.36</w:t>
            </w:r>
          </w:p>
        </w:tc>
        <w:tc>
          <w:tcPr>
            <w:tcW w:type="dxa" w:w="818"/>
          </w:tcPr>
          <w:p>
            <w:r>
              <w:t xml:space="preserve">0.72%</w:t>
            </w:r>
          </w:p>
        </w:tc>
        <w:tc>
          <w:tcPr>
            <w:tcW w:type="dxa" w:w="818"/>
          </w:tcPr>
          <w:p>
            <w:r>
              <w:t xml:space="preserve">106.12</w:t>
            </w:r>
          </w:p>
        </w:tc>
        <w:tc>
          <w:tcPr>
            <w:tcW w:type="dxa" w:w="818"/>
          </w:tcPr>
          <w:p>
            <w:r>
              <w:t xml:space="preserve">0.77%</w:t>
            </w:r>
          </w:p>
        </w:tc>
        <w:tc>
          <w:tcPr>
            <w:tcW w:type="dxa" w:w="818"/>
          </w:tcPr>
          <w:p>
            <w:r>
              <w:t xml:space="preserve">230.22</w:t>
            </w:r>
          </w:p>
        </w:tc>
        <w:tc>
          <w:tcPr>
            <w:tcW w:type="dxa" w:w="818"/>
          </w:tcPr>
          <w:p>
            <w:r>
              <w:t xml:space="preserve">2.19%</w:t>
            </w:r>
          </w:p>
        </w:tc>
        <w:tc>
          <w:tcPr>
            <w:tcW w:type="dxa" w:w="818"/>
          </w:tcPr>
          <w:p>
            <w:r>
              <w:t xml:space="preserve"/>
            </w:r>
          </w:p>
        </w:tc>
        <w:tc>
          <w:tcPr>
            <w:tcW w:type="dxa" w:w="818"/>
          </w:tcPr>
          <w:p>
            <w:r>
              <w:t xml:space="preserve"/>
            </w:r>
          </w:p>
        </w:tc>
      </w:tr>
    </w:tbl>
    <w:p/>
    <w:p>
      <w:r>
        <w:t xml:space="preserve">#Information relating to remuneration does not include provision for gratuity, which is provided on an overall actuarial valuation, as separate amounts are not available for respective Key Managerial Personnel. Remuneration paid at actual basis is considered for above computation.</w:t>
      </w:r>
    </w:p>
    <w:p>
      <w:r>
        <w:t xml:space="preserve">For further details, see “Restated Financial Statements – Note 31: Related Party Transaction” on page 331.</w:t>
      </w:r>
    </w:p>
    <w:p>
      <w:pPr>
        <w:pStyle w:val="Heading3"/>
      </w:pPr>
      <w:r>
        <w:t xml:space="preserve">Financing arrangements</w:t>
      </w:r>
    </w:p>
    <w:p>
      <w:r>
        <w:t xml:space="preserve">There have been no financing arrangements whereby our Promoters, members of our Promoter Group, our Directors and their relatives (as defined under Companies Act, 2013) have financed the purchase by any other person of securities of our Jimmie Franey (other than in the normal course of the business of the financing entity) during a period of six months immediately preceding the date of the Draft Red Hering Prospectus and this Red Herring Prospectus.</w:t>
      </w:r>
    </w:p>
    <w:p>
      <w:pPr>
        <w:pStyle w:val="Heading3"/>
      </w:pPr>
      <w:r>
        <w:t xml:space="preserve">Weighted average price at which the specified securities were acquired by our Promoter and the Promoter Selling Shareholders in the last one year preceding the date of this Red Herring Prospectus</w:t>
      </w:r>
    </w:p>
    <w:p>
      <w:r>
        <w:t xml:space="preserve">The weighted average price at which the specified securities were acquired by our Promoters and the Promoter Selling Shareholders in the last one year preceding the date of this Red Herring Prospectus is given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Hope Shields*</w:t>
            </w:r>
          </w:p>
        </w:tc>
        <w:tc>
          <w:tcPr>
            <w:tcW w:type="dxa" w:w="3000"/>
          </w:tcPr>
          <w:p>
            <w:r>
              <w:t xml:space="preserve">26,437,554</w:t>
            </w:r>
          </w:p>
        </w:tc>
        <w:tc>
          <w:tcPr>
            <w:tcW w:type="dxa" w:w="30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Miss Caroline Blanda Jr.*</w:t>
            </w:r>
          </w:p>
        </w:tc>
        <w:tc>
          <w:tcPr>
            <w:tcW w:type="dxa" w:w="3000"/>
          </w:tcPr>
          <w:p>
            <w:r>
              <w:t xml:space="preserve">7,312,437</w:t>
            </w:r>
          </w:p>
        </w:tc>
        <w:tc>
          <w:tcPr>
            <w:tcW w:type="dxa" w:w="3000"/>
          </w:tcPr>
          <w:p>
            <w:r>
              <w:t xml:space="preserve">0.00</w:t>
            </w:r>
          </w:p>
        </w:tc>
      </w:tr>
      <w:tr>
        <w:tc>
          <w:tcPr>
            <w:tcW w:type="dxa" w:w="3000"/>
          </w:tcPr>
          <w:p>
            <w:r>
              <w:t xml:space="preserve">Misael Blanda*</w:t>
            </w:r>
          </w:p>
        </w:tc>
        <w:tc>
          <w:tcPr>
            <w:tcW w:type="dxa" w:w="3000"/>
          </w:tcPr>
          <w:p>
            <w:r>
              <w:t xml:space="preserve">11,249,865</w:t>
            </w:r>
          </w:p>
        </w:tc>
        <w:tc>
          <w:tcPr>
            <w:tcW w:type="dxa" w:w="3000"/>
          </w:tcPr>
          <w:p>
            <w:r>
              <w:t xml:space="preserve">0.00</w:t>
            </w:r>
          </w:p>
        </w:tc>
      </w:tr>
      <w:tr>
        <w:tc>
          <w:tcPr>
            <w:tcW w:type="dxa" w:w="3000"/>
          </w:tcPr>
          <w:p>
            <w:r>
              <w:t xml:space="preserve">Lew Bergnaum*</w:t>
            </w:r>
          </w:p>
        </w:tc>
        <w:tc>
          <w:tcPr>
            <w:tcW w:type="dxa" w:w="3000"/>
          </w:tcPr>
          <w:p>
            <w:r>
              <w:t xml:space="preserve">11,249,865</w:t>
            </w:r>
          </w:p>
        </w:tc>
        <w:tc>
          <w:tcPr>
            <w:tcW w:type="dxa" w:w="3000"/>
          </w:tcPr>
          <w:p>
            <w:r>
              <w:t xml:space="preserve">0.00</w:t>
            </w:r>
          </w:p>
        </w:tc>
      </w:tr>
      <w:tr>
        <w:tc>
          <w:tcPr>
            <w:tcW w:type="dxa" w:w="3000"/>
          </w:tcPr>
          <w:p>
            <w:r>
              <w:t xml:space="preserve">Lon Kozey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*Also, the Promoter Selling Shareholder</w:t>
      </w:r>
    </w:p>
    <w:p>
      <w:r>
        <w:t xml:space="preserve"># Pursuant to a resolution passed by the Board and Shareholders of the Jimmie Franey dated February 10, 2025 and February 11, 2025, respectively, the face value of the equity shares was sub-divided from ₹100 per equity share to ₹5 per Equity Share. Further, pursuant to a resolution dated February 11, 2025 passed by our Shareholders, the Jimmie Franey approved the issue of bonus shares which were allotted on February 21, 2025</w:t>
      </w:r>
    </w:p>
    <w:p>
      <w:r>
        <w:t xml:space="preserve">(1) As certified by Kirtane &amp; Russel, Keebler and Bartell Limited, Chartered Accountants, our Statutory Auditors, by way of their certificate dated December 10, 2025.</w:t>
      </w:r>
    </w:p>
    <w:p>
      <w:pPr>
        <w:pStyle w:val="Heading3"/>
      </w:pPr>
      <w:r>
        <w:t xml:space="preserve">Weighted average cost of acquisition of all shares transacted in last one year, 18 months and three years preceding the date of this Red Herring Prospectus</w:t>
      </w:r>
    </w:p>
    <w:p>
      <w:r>
        <w:t xml:space="preserve">The weighted average price for all equity shares acquired in the last one year, eighteen months and three years preceding the date of this Red Herring Prospectus is mentioned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Weighted average cost of acquisition (in ₹)*#</w:t>
            </w:r>
          </w:p>
        </w:tc>
        <w:tc>
          <w:tcPr>
            <w:tcW w:type="dxa" w:w="2250"/>
          </w:tcPr>
          <w:p>
            <w:r>
              <w:t xml:space="preserve">Cap Price is ‘x’ times the weighted average cost of acquisition**</w:t>
            </w:r>
          </w:p>
        </w:tc>
        <w:tc>
          <w:tcPr>
            <w:tcW w:type="dxa" w:w="2250"/>
          </w:tcPr>
          <w:p>
            <w:r>
              <w:t xml:space="preserve">Range of acquisition price per Equity Share of face value of ₹5: lowest price – highest price (in ₹)#</w:t>
            </w:r>
          </w:p>
        </w:tc>
      </w:tr>
      <w:tr>
        <w:tc>
          <w:tcPr>
            <w:tcW w:type="dxa" w:w="2250"/>
          </w:tcPr>
          <w:p>
            <w:r>
              <w:t xml:space="preserve">Last one year</w:t>
            </w:r>
          </w:p>
        </w:tc>
        <w:tc>
          <w:tcPr>
            <w:tcW w:type="dxa" w:w="2250"/>
          </w:tcPr>
          <w:p>
            <w:r>
              <w:t xml:space="preserve">384.01</w:t>
            </w:r>
          </w:p>
        </w:tc>
        <w:tc>
          <w:tcPr>
            <w:tcW w:type="dxa" w:w="2250"/>
          </w:tcPr>
          <w:p>
            <w:r>
              <w:t xml:space="preserve">To be updated upon finalization of the price band.</w:t>
            </w:r>
          </w:p>
        </w:tc>
        <w:tc>
          <w:tcPr>
            <w:tcW w:type="dxa" w:w="2250"/>
          </w:tcPr>
          <w:p>
            <w:r>
              <w:t xml:space="preserve">0.00 – 530.00</w:t>
            </w:r>
          </w:p>
        </w:tc>
      </w:tr>
      <w:tr>
        <w:tc>
          <w:tcPr>
            <w:tcW w:type="dxa" w:w="2250"/>
          </w:tcPr>
          <w:p>
            <w:r>
              <w:t xml:space="preserve">Last trailing 18 months</w:t>
            </w:r>
          </w:p>
        </w:tc>
        <w:tc>
          <w:tcPr>
            <w:tcW w:type="dxa" w:w="2250"/>
          </w:tcPr>
          <w:p>
            <w:r>
              <w:t xml:space="preserve">384.01</w:t>
            </w:r>
          </w:p>
        </w:tc>
        <w:tc>
          <w:tcPr>
            <w:tcW w:type="dxa" w:w="2250"/>
          </w:tcPr>
          <w:p>
            <w:r>
              <w:t xml:space="preserve">0.00 – 530.00</w:t>
            </w:r>
          </w:p>
        </w:tc>
        <w:tc>
          <w:tcPr>
            <w:tcW w:type="dxa" w:w="2250"/>
          </w:tcPr>
          <w:p>
            <w:r>
              <w:t xml:space="preserve"/>
            </w:r>
          </w:p>
        </w:tc>
      </w:tr>
      <w:tr>
        <w:tc>
          <w:tcPr>
            <w:tcW w:type="dxa" w:w="2250"/>
          </w:tcPr>
          <w:p>
            <w:r>
              <w:t xml:space="preserve">Last three years</w:t>
            </w:r>
          </w:p>
        </w:tc>
        <w:tc>
          <w:tcPr>
            <w:tcW w:type="dxa" w:w="2250"/>
          </w:tcPr>
          <w:p>
            <w:r>
              <w:t xml:space="preserve">384.01</w:t>
            </w:r>
          </w:p>
        </w:tc>
        <w:tc>
          <w:tcPr>
            <w:tcW w:type="dxa" w:w="2250"/>
          </w:tcPr>
          <w:p>
            <w:r>
              <w:t xml:space="preserve">0.00 – 530.00</w:t>
            </w:r>
          </w:p>
        </w:tc>
        <w:tc>
          <w:tcPr>
            <w:tcW w:type="dxa" w:w="2250"/>
          </w:tcPr>
          <w:p>
            <w:r>
              <w:t xml:space="preserve"/>
            </w:r>
          </w:p>
        </w:tc>
      </w:tr>
    </w:tbl>
    <w:p/>
    <w:p>
      <w:r>
        <w:t xml:space="preserve">*	As certified by Kirtane &amp; Russel, Keebler and Bartell Limited, Chartered Accountants, our Statutory Auditors, by way of their certificate dated December 10, 2025.</w:t>
      </w:r>
    </w:p>
    <w:p>
      <w:r>
        <w:t xml:space="preserve">**  To be updated in the Prospectus.</w:t>
      </w:r>
    </w:p>
    <w:p>
      <w:r>
        <w:t xml:space="preserve">#	Impact of bonus and sub-division of shares have been taken only on transactions that have been transacted during the last 1 year, trailing 18 months and last 3 years.</w:t>
      </w:r>
    </w:p>
    <w:p>
      <w:pPr>
        <w:pStyle w:val="Heading3"/>
      </w:pPr>
      <w:r>
        <w:t xml:space="preserve">Average cost of acquisition of Equity Shares by our Promoters and the Promoter Selling Shareholders</w:t>
      </w:r>
    </w:p>
    <w:p>
      <w:r>
        <w:t xml:space="preserve">The average cost of acquisition of Equity Shares by our Promoters and the Promoter Selling Shareholders as on the date of this Red Herring Prospectus, is as set forth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Promoter</w:t>
            </w:r>
          </w:p>
        </w:tc>
        <w:tc>
          <w:tcPr>
            <w:tcW w:type="dxa" w:w="3000"/>
          </w:tcPr>
          <w:p>
            <w:r>
              <w:t xml:space="preserve">Number of Equity Shares held of face value of ₹5 each</w:t>
            </w:r>
          </w:p>
        </w:tc>
        <w:tc>
          <w:tcPr>
            <w:tcW w:type="dxa" w:w="3000"/>
          </w:tcPr>
          <w:p>
            <w:r>
              <w:t xml:space="preserve">Average cost per Equity Share of face values of ₹5 each** (₹)</w:t>
            </w:r>
          </w:p>
        </w:tc>
      </w:tr>
      <w:tr>
        <w:tc>
          <w:tcPr>
            <w:tcW w:type="dxa" w:w="3000"/>
          </w:tcPr>
          <w:p>
            <w:r>
              <w:t xml:space="preserve">Hope Shields*</w:t>
            </w:r>
          </w:p>
        </w:tc>
        <w:tc>
          <w:tcPr>
            <w:tcW w:type="dxa" w:w="3000"/>
          </w:tcPr>
          <w:p>
            <w:r>
              <w:t xml:space="preserve">26,704,570</w:t>
            </w:r>
          </w:p>
        </w:tc>
        <w:tc>
          <w:tcPr>
            <w:tcW w:type="dxa" w:w="3000"/>
          </w:tcPr>
          <w:p>
            <w:r>
              <w:t xml:space="preserve">1.36</w:t>
            </w:r>
          </w:p>
        </w:tc>
      </w:tr>
      <w:tr>
        <w:tc>
          <w:tcPr>
            <w:tcW w:type="dxa" w:w="3000"/>
          </w:tcPr>
          <w:p>
            <w:r>
              <w:t xml:space="preserve">Miss Caroline Blanda Jr.*</w:t>
            </w:r>
          </w:p>
        </w:tc>
        <w:tc>
          <w:tcPr>
            <w:tcW w:type="dxa" w:w="3000"/>
          </w:tcPr>
          <w:p>
            <w:r>
              <w:t xml:space="preserve">7,386,270</w:t>
            </w:r>
          </w:p>
        </w:tc>
        <w:tc>
          <w:tcPr>
            <w:tcW w:type="dxa" w:w="3000"/>
          </w:tcPr>
          <w:p>
            <w:r>
              <w:t xml:space="preserve">1.51</w:t>
            </w:r>
          </w:p>
        </w:tc>
      </w:tr>
      <w:tr>
        <w:tc>
          <w:tcPr>
            <w:tcW w:type="dxa" w:w="3000"/>
          </w:tcPr>
          <w:p>
            <w:r>
              <w:t xml:space="preserve">Misael Blanda*</w:t>
            </w:r>
          </w:p>
        </w:tc>
        <w:tc>
          <w:tcPr>
            <w:tcW w:type="dxa" w:w="3000"/>
          </w:tcPr>
          <w:p>
            <w:r>
              <w:t xml:space="preserve">10,907,771</w:t>
            </w:r>
          </w:p>
        </w:tc>
        <w:tc>
          <w:tcPr>
            <w:tcW w:type="dxa" w:w="3000"/>
          </w:tcPr>
          <w:p>
            <w:r>
              <w:t xml:space="preserve">1.41</w:t>
            </w:r>
          </w:p>
        </w:tc>
      </w:tr>
      <w:tr>
        <w:tc>
          <w:tcPr>
            <w:tcW w:type="dxa" w:w="3000"/>
          </w:tcPr>
          <w:p>
            <w:r>
              <w:t xml:space="preserve">Lew Bergnaum*</w:t>
            </w:r>
          </w:p>
        </w:tc>
        <w:tc>
          <w:tcPr>
            <w:tcW w:type="dxa" w:w="3000"/>
          </w:tcPr>
          <w:p>
            <w:r>
              <w:t xml:space="preserve">10,907,771</w:t>
            </w:r>
          </w:p>
        </w:tc>
        <w:tc>
          <w:tcPr>
            <w:tcW w:type="dxa" w:w="3000"/>
          </w:tcPr>
          <w:p>
            <w:r>
              <w:t xml:space="preserve">1.35</w:t>
            </w:r>
          </w:p>
        </w:tc>
      </w:tr>
      <w:tr>
        <w:tc>
          <w:tcPr>
            <w:tcW w:type="dxa" w:w="3000"/>
          </w:tcPr>
          <w:p>
            <w:r>
              <w:t xml:space="preserve">Lon Kozey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  As certified by Kirtane &amp; Russel, Keebler and Bartell Limited, Chartered Accountants, our Statutory Auditors, by way of their certificate dated December 10, 2025.</w:t>
      </w:r>
    </w:p>
    <w:p>
      <w:r>
        <w:t xml:space="preserve">*	Also, Promoter Selling Shareholders.</w:t>
      </w:r>
    </w:p>
    <w:p>
      <w:pPr>
        <w:pStyle w:val="Heading3"/>
      </w:pPr>
      <w:r>
        <w:t xml:space="preserve">Details of price at which specified securities of our Jimmie Franey were acquired by our Promoters, members of the Promoter Group, Promoter Selling Shareholders and Shareholders with the right to nominate Directors or any other special rights in the three years preceding the date of this Red Herring Prospectus</w:t>
      </w:r>
    </w:p>
    <w:p>
      <w:r>
        <w:t xml:space="preserve">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Name of Shareholder</w:t>
            </w:r>
          </w:p>
        </w:tc>
        <w:tc>
          <w:tcPr>
            <w:tcW w:type="dxa" w:w="1800"/>
          </w:tcPr>
          <w:p>
            <w:r>
              <w:t xml:space="preserve">Date of acquisition</w:t>
            </w:r>
          </w:p>
        </w:tc>
        <w:tc>
          <w:tcPr>
            <w:tcW w:type="dxa" w:w="1800"/>
          </w:tcPr>
          <w:p>
            <w:r>
              <w:t xml:space="preserve">Number of equity shares acquired</w:t>
            </w:r>
          </w:p>
        </w:tc>
        <w:tc>
          <w:tcPr>
            <w:tcW w:type="dxa" w:w="1800"/>
          </w:tcPr>
          <w:p>
            <w:r>
              <w:t xml:space="preserve">Face value (₹)</w:t>
            </w:r>
          </w:p>
        </w:tc>
        <w:tc>
          <w:tcPr>
            <w:tcW w:type="dxa" w:w="1800"/>
          </w:tcPr>
          <w:p>
            <w:r>
              <w:t xml:space="preserve">Acquisition price per equity share^ (in ₹)</w:t>
            </w:r>
          </w:p>
        </w:tc>
      </w:tr>
      <w:tr>
        <w:tc>
          <w:tcPr>
            <w:tcW w:type="dxa" w:w="1800"/>
          </w:tcPr>
          <w:p>
            <w:r>
              <w:t xml:space="preserve">Promoters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Hope Shields*^&amp;</w:t>
            </w:r>
          </w:p>
        </w:tc>
        <w:tc>
          <w:tcPr>
            <w:tcW w:type="dxa" w:w="1800"/>
          </w:tcPr>
          <w:p>
            <w:r>
              <w:t xml:space="preserve">February 21, 2025</w:t>
            </w:r>
          </w:p>
        </w:tc>
        <w:tc>
          <w:tcPr>
            <w:tcW w:type="dxa" w:w="1800"/>
          </w:tcPr>
          <w:p>
            <w:r>
              <w:t xml:space="preserve">21,363,680</w:t>
            </w:r>
          </w:p>
        </w:tc>
        <w:tc>
          <w:tcPr>
            <w:tcW w:type="dxa" w:w="1800"/>
          </w:tcPr>
          <w:p>
            <w:r>
              <w:t xml:space="preserve">5</w:t>
            </w:r>
          </w:p>
        </w:tc>
        <w:tc>
          <w:tcPr>
            <w:tcW w:type="dxa" w:w="1800"/>
          </w:tcPr>
          <w:p>
            <w:r>
              <w:t xml:space="preserve">0.00</w:t>
            </w:r>
          </w:p>
        </w:tc>
      </w:tr>
      <w:tr>
        <w:tc>
          <w:tcPr>
            <w:tcW w:type="dxa" w:w="1800"/>
          </w:tcPr>
          <w:p>
            <w:r>
              <w:t xml:space="preserve">Miss Caroline Blanda Jr.*^&amp;</w:t>
            </w:r>
          </w:p>
        </w:tc>
        <w:tc>
          <w:tcPr>
            <w:tcW w:type="dxa" w:w="1800"/>
          </w:tcPr>
          <w:p>
            <w:r>
              <w:t xml:space="preserve">February 21, 2025</w:t>
            </w:r>
          </w:p>
        </w:tc>
        <w:tc>
          <w:tcPr>
            <w:tcW w:type="dxa" w:w="1800"/>
          </w:tcPr>
          <w:p>
            <w:r>
              <w:t xml:space="preserve">5,909,040</w:t>
            </w:r>
          </w:p>
        </w:tc>
        <w:tc>
          <w:tcPr>
            <w:tcW w:type="dxa" w:w="1800"/>
          </w:tcPr>
          <w:p>
            <w:r>
              <w:t xml:space="preserve">5</w:t>
            </w:r>
          </w:p>
        </w:tc>
        <w:tc>
          <w:tcPr>
            <w:tcW w:type="dxa" w:w="1800"/>
          </w:tcPr>
          <w:p>
            <w:r>
              <w:t xml:space="preserve">0.00</w:t>
            </w:r>
          </w:p>
        </w:tc>
      </w:tr>
      <w:tr>
        <w:tc>
          <w:tcPr>
            <w:tcW w:type="dxa" w:w="1800"/>
          </w:tcPr>
          <w:p>
            <w:r>
              <w:t xml:space="preserve">Misael Blanda*^&amp;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Lew Bergnaum*^&amp;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Lon Kozey&amp;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Lon Kozey^&amp;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0.00</w:t>
            </w:r>
          </w:p>
        </w:tc>
      </w:tr>
      <w:tr>
        <w:tc>
          <w:tcPr>
            <w:tcW w:type="dxa" w:w="1800"/>
          </w:tcPr>
          <w:p>
            <w:r>
              <w:t xml:space="preserve">Dhaulagiri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Everest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Makalu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Broad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Annapurna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Kanchenjunga Family Trust &amp;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Promoter Group</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Maithili Heidi Hand&amp;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Maithili Heidi Hand^&amp;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r>
        <w:tc>
          <w:tcPr>
            <w:tcW w:type="dxa" w:w="1800"/>
          </w:tcPr>
          <w:p>
            <w:r>
              <w:t xml:space="preserve">Katyayani Balasubramanian&amp;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Katyayani Balasubramanian ^&amp;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bl>
    <w:p/>
    <w:p>
      <w:r>
        <w:t xml:space="preserve">#	As certified by Kirtane &amp; Russel, Keebler and Bartell Limited, Chartered Accountants, our Statutory Auditors, by way of their certificate dated December 10, 2025.</w:t>
      </w:r>
    </w:p>
    <w:p>
      <w:r>
        <w:t xml:space="preserve">*	Also, a Promoter Selling Shareholder.</w:t>
      </w:r>
    </w:p>
    <w:p>
      <w:r>
        <w:t xml:space="preserve">&amp;	Shareholder entitled with right to nominate directors or any other rights</w:t>
      </w:r>
    </w:p>
    <w:p>
      <w:r>
        <w:t xml:space="preserve">^	Bonus shares issued in the ratio of 4:1.</w:t>
      </w:r>
    </w:p>
    <w:p>
      <w:r>
        <w:t xml:space="preserve">Secondary Transfer of Equity Shares of face value of ₹5 each in the form of Gifts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Transferee</w:t>
            </w:r>
          </w:p>
        </w:tc>
        <w:tc>
          <w:tcPr>
            <w:tcW w:type="dxa" w:w="2250"/>
          </w:tcPr>
          <w:p>
            <w:r>
              <w:t xml:space="preserve">Transferor</w:t>
            </w:r>
          </w:p>
        </w:tc>
        <w:tc>
          <w:tcPr>
            <w:tcW w:type="dxa" w:w="2250"/>
          </w:tcPr>
          <w:p>
            <w:r>
              <w:t xml:space="preserve">Equity Shares of face value of ₹5 each</w:t>
            </w:r>
          </w:p>
        </w:tc>
        <w:tc>
          <w:tcPr>
            <w:tcW w:type="dxa" w:w="2250"/>
          </w:tcPr>
          <w:p>
            <w:r>
              <w:t xml:space="preserve">Date</w:t>
            </w:r>
          </w:p>
        </w:tc>
      </w:tr>
      <w:tr>
        <w:tc>
          <w:tcPr>
            <w:tcW w:type="dxa" w:w="2250"/>
          </w:tcPr>
          <w:p>
            <w:r>
              <w:t xml:space="preserve">Dhaulagiri Family Trust</w:t>
            </w:r>
          </w:p>
        </w:tc>
        <w:tc>
          <w:tcPr>
            <w:tcW w:type="dxa" w:w="2250"/>
          </w:tcPr>
          <w:p>
            <w:r>
              <w:t xml:space="preserve">Hope Shields</w:t>
            </w:r>
          </w:p>
        </w:tc>
        <w:tc>
          <w:tcPr>
            <w:tcW w:type="dxa" w:w="2250"/>
          </w:tcPr>
          <w:p>
            <w:r>
              <w:t xml:space="preserve">10</w:t>
            </w:r>
          </w:p>
        </w:tc>
        <w:tc>
          <w:tcPr>
            <w:tcW w:type="dxa" w:w="2250"/>
          </w:tcPr>
          <w:p>
            <w:r>
              <w:t xml:space="preserve">May 7, 2025</w:t>
            </w:r>
          </w:p>
        </w:tc>
      </w:tr>
      <w:tr>
        <w:tc>
          <w:tcPr>
            <w:tcW w:type="dxa" w:w="2250"/>
          </w:tcPr>
          <w:p>
            <w:r>
              <w:t xml:space="preserve">Makalu Family Trust</w:t>
            </w:r>
          </w:p>
        </w:tc>
        <w:tc>
          <w:tcPr>
            <w:tcW w:type="dxa" w:w="2250"/>
          </w:tcPr>
          <w:p>
            <w:r>
              <w:t xml:space="preserve">Hope Shields</w:t>
            </w:r>
          </w:p>
        </w:tc>
        <w:tc>
          <w:tcPr>
            <w:tcW w:type="dxa" w:w="2250"/>
          </w:tcPr>
          <w:p>
            <w:r>
              <w:t xml:space="preserve">10</w:t>
            </w:r>
          </w:p>
        </w:tc>
        <w:tc>
          <w:tcPr>
            <w:tcW w:type="dxa" w:w="2250"/>
          </w:tcPr>
          <w:p>
            <w:r>
              <w:t xml:space="preserve">May 7, 2025</w:t>
            </w:r>
          </w:p>
        </w:tc>
      </w:tr>
      <w:tr>
        <w:tc>
          <w:tcPr>
            <w:tcW w:type="dxa" w:w="2250"/>
          </w:tcPr>
          <w:p>
            <w:r>
              <w:t xml:space="preserve">Everest Family Trust</w:t>
            </w:r>
          </w:p>
        </w:tc>
        <w:tc>
          <w:tcPr>
            <w:tcW w:type="dxa" w:w="2250"/>
          </w:tcPr>
          <w:p>
            <w:r>
              <w:t xml:space="preserve">Hope Shields</w:t>
            </w:r>
          </w:p>
        </w:tc>
        <w:tc>
          <w:tcPr>
            <w:tcW w:type="dxa" w:w="2250"/>
          </w:tcPr>
          <w:p>
            <w:r>
              <w:t xml:space="preserve">10</w:t>
            </w:r>
          </w:p>
        </w:tc>
        <w:tc>
          <w:tcPr>
            <w:tcW w:type="dxa" w:w="2250"/>
          </w:tcPr>
          <w:p>
            <w:r>
              <w:t xml:space="preserve">May 7, 2025</w:t>
            </w:r>
          </w:p>
        </w:tc>
      </w:tr>
      <w:tr>
        <w:tc>
          <w:tcPr>
            <w:tcW w:type="dxa" w:w="2250"/>
          </w:tcPr>
          <w:p>
            <w:r>
              <w:t xml:space="preserve">Kanchenjunga Family Trust</w:t>
            </w:r>
          </w:p>
        </w:tc>
        <w:tc>
          <w:tcPr>
            <w:tcW w:type="dxa" w:w="2250"/>
          </w:tcPr>
          <w:p>
            <w:r>
              <w:t xml:space="preserve">Miss Caroline Blanda Jr.</w:t>
            </w:r>
          </w:p>
        </w:tc>
        <w:tc>
          <w:tcPr>
            <w:tcW w:type="dxa" w:w="2250"/>
          </w:tcPr>
          <w:p>
            <w:r>
              <w:t xml:space="preserve">10</w:t>
            </w:r>
          </w:p>
        </w:tc>
        <w:tc>
          <w:tcPr>
            <w:tcW w:type="dxa" w:w="2250"/>
          </w:tcPr>
          <w:p>
            <w:r>
              <w:t xml:space="preserve">May 7, 2025</w:t>
            </w:r>
          </w:p>
        </w:tc>
      </w:tr>
      <w:tr>
        <w:tc>
          <w:tcPr>
            <w:tcW w:type="dxa" w:w="2250"/>
          </w:tcPr>
          <w:p>
            <w:r>
              <w:t xml:space="preserve">Annapurna Family Trust</w:t>
            </w:r>
          </w:p>
        </w:tc>
        <w:tc>
          <w:tcPr>
            <w:tcW w:type="dxa" w:w="2250"/>
          </w:tcPr>
          <w:p>
            <w:r>
              <w:t xml:space="preserve">Miss Caroline Blanda Jr.</w:t>
            </w:r>
          </w:p>
        </w:tc>
        <w:tc>
          <w:tcPr>
            <w:tcW w:type="dxa" w:w="2250"/>
          </w:tcPr>
          <w:p>
            <w:r>
              <w:t xml:space="preserve">10</w:t>
            </w:r>
          </w:p>
        </w:tc>
        <w:tc>
          <w:tcPr>
            <w:tcW w:type="dxa" w:w="2250"/>
          </w:tcPr>
          <w:p>
            <w:r>
              <w:t xml:space="preserve">May 8, 2025</w:t>
            </w:r>
          </w:p>
        </w:tc>
      </w:tr>
      <w:tr>
        <w:tc>
          <w:tcPr>
            <w:tcW w:type="dxa" w:w="2250"/>
          </w:tcPr>
          <w:p>
            <w:r>
              <w:t xml:space="preserve">Broad Family Trust</w:t>
            </w:r>
          </w:p>
        </w:tc>
        <w:tc>
          <w:tcPr>
            <w:tcW w:type="dxa" w:w="2250"/>
          </w:tcPr>
          <w:p>
            <w:r>
              <w:t xml:space="preserve">Miss Caroline Blanda Jr.</w:t>
            </w:r>
          </w:p>
        </w:tc>
        <w:tc>
          <w:tcPr>
            <w:tcW w:type="dxa" w:w="2250"/>
          </w:tcPr>
          <w:p>
            <w:r>
              <w:t xml:space="preserve">10</w:t>
            </w:r>
          </w:p>
        </w:tc>
        <w:tc>
          <w:tcPr>
            <w:tcW w:type="dxa" w:w="2250"/>
          </w:tcPr>
          <w:p>
            <w:r>
              <w:t xml:space="preserve">May 8, 2025</w:t>
            </w:r>
          </w:p>
        </w:tc>
      </w:tr>
    </w:tbl>
    <w:p/>
    <w:p>
      <w:pPr>
        <w:pStyle w:val="Heading3"/>
      </w:pPr>
      <w:r>
        <w:t xml:space="preserve">Details of pre-IPO placement</w:t>
      </w:r>
    </w:p>
    <w:p>
      <w:r>
        <w:t xml:space="preserve">Our Jimmie Franey has not undertaken any pre-IPO placement between the date of the Draft Red Herring Prospectus and the date of this Red Herring Prospectus.</w:t>
      </w:r>
    </w:p>
    <w:p>
      <w:pPr>
        <w:pStyle w:val="Heading3"/>
      </w:pPr>
      <w:r>
        <w:t xml:space="preserve">Issue of equity shares of our Jimmie Franey for consideration other than cash in the last one year</w:t>
      </w:r>
    </w:p>
    <w:p>
      <w:r>
        <w:t xml:space="preserve">Except as disclosed in “Capital Structure – Notes to Capital Structure – Shares issued for consideration other than cash or by way of a bonus issue” on page 90, our Jimmie Franey has not issued any equity shares for consideration other than cash in the one year preceding the date of this Red Herring Prospectus.</w:t>
      </w:r>
    </w:p>
    <w:p>
      <w:pPr>
        <w:pStyle w:val="Heading3"/>
      </w:pPr>
      <w:r>
        <w:t xml:space="preserve">Split or consolidation of equity shares in the last one year</w:t>
      </w:r>
    </w:p>
    <w:p>
      <w:r>
        <w:t xml:space="preserve">Pursuant to a resolution passed by our Board dated February 10, 2025 and a resolution passed by our Shareholders dated February 11, 2025, the face value of the equity shares was split from ₹100 per equity share to ₹5 per Equity Share. Accordingly, the authorised share capital of our Jimmie Franey, being 4,000,000 equity shares of ₹100 each was split into 80,000,000 Equity Shares of ₹5 each, and the issued, subscribed and paid-up equity share capital of our Jimmie Franey, being 568,182 equity shares of</w:t>
      </w:r>
    </w:p>
    <w:p>
      <w:r>
        <w:t xml:space="preserve">₹100 each was split into 1,13,63,640 Equity Shares of ₹5 each. For further details, please see “Capital Structure – Equity Share capital history of our Jimmie Franey” on page 85.</w:t>
      </w:r>
    </w:p>
    <w:p>
      <w:pPr>
        <w:pStyle w:val="Heading3"/>
      </w:pPr>
      <w:r>
        <w:t xml:space="preserve">Exemption from complying with any provisions of securities laws, if any, granted by the SEBI</w:t>
      </w:r>
    </w:p>
    <w:p>
      <w:r>
        <w:t xml:space="preserve">Our Jimmie Franey has not applied for or received any exemption by SEBI from complying with any provisions of securities laws including the SEBI ICDR Regulations, as on the date of this Red Herring Prospectus.</w:t>
      </w:r>
    </w:p>
    <w:p>
      <w:pPr>
        <w:pStyle w:val="Heading2"/>
      </w:pPr>
      <w:r>
        <w:t xml:space="preserve">SECTION II: RISK FACTORS</w:t>
      </w:r>
    </w:p>
    <w:p>
      <w:r>
        <w:t xml:space="preserve">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r>
        <w:t xml:space="preserve">In order to obtain a complete understanding of our Jimmie Franey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r>
        <w:t xml:space="preserve">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p>
    <w:p>
      <w:r>
        <w:t xml:space="preserve">Unless otherwise stated, or unless the context otherwise requires, the financial information of our Jimmie Franey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w:t>
      </w:r>
    </w:p>
    <w:p>
      <w:r>
        <w:t xml:space="preserve">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w:t>
      </w:r>
    </w:p>
    <w:p>
      <w:r>
        <w:t xml:space="preserve">Unless stated otherwise, industry and market data used in this section has been obtained or derived from the report titled “Industry Research Report on Magnet Winding Wires Market in India” dated November 26, 2025 (“CARE Report”), prepared and issued by Care Analytics and Paucek - Sporer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Jimmie Franey from the date of this Red Herring Prospectus until the Bid/Offer Closing Date. For more information, see “Certain Conventions, Use of Financial Information and Market Data and Currency of Presentation” on page 15.</w:t>
      </w:r>
    </w:p>
    <w:p>
      <w:pPr>
        <w:pStyle w:val="Heading2"/>
      </w:pPr>
      <w:r>
        <w:t xml:space="preserve">INTERNAL RISKS</w:t>
      </w:r>
    </w:p>
    <w:p>
      <w:pPr>
        <w:pStyle w:val="Heading4"/>
      </w:pPr>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w:t>
      </w:r>
    </w:p>
    <w:p>
      <w:r>
        <w:t xml:space="preserve">We have derived a significant portion of our revenue from operations from our top 10 customers. The table below sets forth details of our revenue from operations generated from top 10 customers in each of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 in million)</w:t>
            </w:r>
          </w:p>
        </w:tc>
        <w:tc>
          <w:tcPr>
            <w:tcW w:type="dxa" w:w="1800"/>
          </w:tcPr>
          <w:p>
            <w:r>
              <w:t xml:space="preserve">3,015.48</w:t>
            </w:r>
          </w:p>
        </w:tc>
        <w:tc>
          <w:tcPr>
            <w:tcW w:type="dxa" w:w="1800"/>
          </w:tcPr>
          <w:p>
            <w:r>
              <w:t xml:space="preserve">10,130.32</w:t>
            </w:r>
          </w:p>
        </w:tc>
        <w:tc>
          <w:tcPr>
            <w:tcW w:type="dxa" w:w="1800"/>
          </w:tcPr>
          <w:p>
            <w:r>
              <w:t xml:space="preserve">7,896.04</w:t>
            </w:r>
          </w:p>
        </w:tc>
        <w:tc>
          <w:tcPr>
            <w:tcW w:type="dxa" w:w="1800"/>
          </w:tcPr>
          <w:p>
            <w:r>
              <w:t xml:space="preserve">6,191.05</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as a percentage of total revenue from operations (%)</w:t>
            </w:r>
          </w:p>
        </w:tc>
        <w:tc>
          <w:tcPr>
            <w:tcW w:type="dxa" w:w="1800"/>
          </w:tcPr>
          <w:p>
            <w:r>
              <w:t xml:space="preserve">53.97%</w:t>
            </w:r>
          </w:p>
        </w:tc>
        <w:tc>
          <w:tcPr>
            <w:tcW w:type="dxa" w:w="1800"/>
          </w:tcPr>
          <w:p>
            <w:r>
              <w:t xml:space="preserve">52.54%</w:t>
            </w:r>
          </w:p>
        </w:tc>
        <w:tc>
          <w:tcPr>
            <w:tcW w:type="dxa" w:w="1800"/>
          </w:tcPr>
          <w:p>
            <w:r>
              <w:t xml:space="preserve">57.10%</w:t>
            </w:r>
          </w:p>
        </w:tc>
        <w:tc>
          <w:tcPr>
            <w:tcW w:type="dxa" w:w="1800"/>
          </w:tcPr>
          <w:p>
            <w:r>
              <w:t xml:space="preserve">58.99%</w:t>
            </w:r>
          </w:p>
        </w:tc>
      </w:tr>
      <w:tr>
        <w:tc>
          <w:tcPr>
            <w:tcW w:type="dxa" w:w="1800"/>
          </w:tcPr>
          <w:p>
            <w:r>
              <w:t xml:space="preserve">Total 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The table below sets forth the revenue derived from each of our top 10 customers,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 No.</w:t>
            </w:r>
          </w:p>
        </w:tc>
        <w:tc>
          <w:tcPr>
            <w:tcW w:type="dxa" w:w="900"/>
          </w:tcPr>
          <w:p>
            <w:r>
              <w:t xml:space="preserve">Various customer 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revenue fromoperatio ns</w:t>
            </w:r>
          </w:p>
        </w:tc>
        <w:tc>
          <w:tcPr>
            <w:tcW w:type="dxa" w:w="900"/>
          </w:tcPr>
          <w:p>
            <w:r>
              <w:t xml:space="preserve">Amount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Customer</w:t>
            </w:r>
          </w:p>
        </w:tc>
        <w:tc>
          <w:tcPr>
            <w:tcW w:type="dxa" w:w="900"/>
          </w:tcPr>
          <w:p>
            <w:r>
              <w:t xml:space="preserve">660.03</w:t>
            </w:r>
          </w:p>
        </w:tc>
        <w:tc>
          <w:tcPr>
            <w:tcW w:type="dxa" w:w="900"/>
          </w:tcPr>
          <w:p>
            <w:r>
              <w:t xml:space="preserve">11.81%</w:t>
            </w:r>
          </w:p>
        </w:tc>
        <w:tc>
          <w:tcPr>
            <w:tcW w:type="dxa" w:w="900"/>
          </w:tcPr>
          <w:p>
            <w:r>
              <w:t xml:space="preserve">1,963.92</w:t>
            </w:r>
          </w:p>
        </w:tc>
        <w:tc>
          <w:tcPr>
            <w:tcW w:type="dxa" w:w="900"/>
          </w:tcPr>
          <w:p>
            <w:r>
              <w:t xml:space="preserve">10.18%</w:t>
            </w:r>
          </w:p>
        </w:tc>
        <w:tc>
          <w:tcPr>
            <w:tcW w:type="dxa" w:w="900"/>
          </w:tcPr>
          <w:p>
            <w:r>
              <w:t xml:space="preserve">1,446.66</w:t>
            </w:r>
          </w:p>
        </w:tc>
        <w:tc>
          <w:tcPr>
            <w:tcW w:type="dxa" w:w="900"/>
          </w:tcPr>
          <w:p>
            <w:r>
              <w:t xml:space="preserve">10.46%</w:t>
            </w:r>
          </w:p>
        </w:tc>
        <w:tc>
          <w:tcPr>
            <w:tcW w:type="dxa" w:w="900"/>
          </w:tcPr>
          <w:p>
            <w:r>
              <w:t xml:space="preserve">1,303.86</w:t>
            </w:r>
          </w:p>
        </w:tc>
        <w:tc>
          <w:tcPr>
            <w:tcW w:type="dxa" w:w="900"/>
          </w:tcPr>
          <w:p>
            <w:r>
              <w:t xml:space="preserve">12.42%</w:t>
            </w:r>
          </w:p>
        </w:tc>
      </w:tr>
      <w:tr>
        <w:tc>
          <w:tcPr>
            <w:tcW w:type="dxa" w:w="900"/>
          </w:tcPr>
          <w:p>
            <w:r>
              <w:t xml:space="preserve">2.</w:t>
            </w:r>
          </w:p>
        </w:tc>
        <w:tc>
          <w:tcPr>
            <w:tcW w:type="dxa" w:w="900"/>
          </w:tcPr>
          <w:p>
            <w:r>
              <w:t xml:space="preserve">Customer</w:t>
            </w:r>
          </w:p>
        </w:tc>
        <w:tc>
          <w:tcPr>
            <w:tcW w:type="dxa" w:w="900"/>
          </w:tcPr>
          <w:p>
            <w:r>
              <w:t xml:space="preserve">609.48</w:t>
            </w:r>
          </w:p>
        </w:tc>
        <w:tc>
          <w:tcPr>
            <w:tcW w:type="dxa" w:w="900"/>
          </w:tcPr>
          <w:p>
            <w:r>
              <w:t xml:space="preserve">10.91%</w:t>
            </w:r>
          </w:p>
        </w:tc>
        <w:tc>
          <w:tcPr>
            <w:tcW w:type="dxa" w:w="900"/>
          </w:tcPr>
          <w:p>
            <w:r>
              <w:t xml:space="preserve">1,702.54</w:t>
            </w:r>
          </w:p>
        </w:tc>
        <w:tc>
          <w:tcPr>
            <w:tcW w:type="dxa" w:w="900"/>
          </w:tcPr>
          <w:p>
            <w:r>
              <w:t xml:space="preserve">8.83%</w:t>
            </w:r>
          </w:p>
        </w:tc>
        <w:tc>
          <w:tcPr>
            <w:tcW w:type="dxa" w:w="900"/>
          </w:tcPr>
          <w:p>
            <w:r>
              <w:t xml:space="preserve">1,396.23</w:t>
            </w:r>
          </w:p>
        </w:tc>
        <w:tc>
          <w:tcPr>
            <w:tcW w:type="dxa" w:w="900"/>
          </w:tcPr>
          <w:p>
            <w:r>
              <w:t xml:space="preserve">10.10%</w:t>
            </w:r>
          </w:p>
        </w:tc>
        <w:tc>
          <w:tcPr>
            <w:tcW w:type="dxa" w:w="900"/>
          </w:tcPr>
          <w:p>
            <w:r>
              <w:t xml:space="preserve">765.18</w:t>
            </w:r>
          </w:p>
        </w:tc>
        <w:tc>
          <w:tcPr>
            <w:tcW w:type="dxa" w:w="900"/>
          </w:tcPr>
          <w:p>
            <w:r>
              <w:t xml:space="preserve">7.29%</w:t>
            </w:r>
          </w:p>
        </w:tc>
      </w:tr>
      <w:tr>
        <w:tc>
          <w:tcPr>
            <w:tcW w:type="dxa" w:w="900"/>
          </w:tcPr>
          <w:p>
            <w:r>
              <w:t xml:space="preserve">3.</w:t>
            </w:r>
          </w:p>
        </w:tc>
        <w:tc>
          <w:tcPr>
            <w:tcW w:type="dxa" w:w="900"/>
          </w:tcPr>
          <w:p>
            <w:r>
              <w:t xml:space="preserve">Customer</w:t>
            </w:r>
          </w:p>
        </w:tc>
        <w:tc>
          <w:tcPr>
            <w:tcW w:type="dxa" w:w="900"/>
          </w:tcPr>
          <w:p>
            <w:r>
              <w:t xml:space="preserve">352.56</w:t>
            </w:r>
          </w:p>
        </w:tc>
        <w:tc>
          <w:tcPr>
            <w:tcW w:type="dxa" w:w="900"/>
          </w:tcPr>
          <w:p>
            <w:r>
              <w:t xml:space="preserve">6.31%</w:t>
            </w:r>
          </w:p>
        </w:tc>
        <w:tc>
          <w:tcPr>
            <w:tcW w:type="dxa" w:w="900"/>
          </w:tcPr>
          <w:p>
            <w:r>
              <w:t xml:space="preserve">934.53</w:t>
            </w:r>
          </w:p>
        </w:tc>
        <w:tc>
          <w:tcPr>
            <w:tcW w:type="dxa" w:w="900"/>
          </w:tcPr>
          <w:p>
            <w:r>
              <w:t xml:space="preserve">4.85%</w:t>
            </w:r>
          </w:p>
        </w:tc>
        <w:tc>
          <w:tcPr>
            <w:tcW w:type="dxa" w:w="900"/>
          </w:tcPr>
          <w:p>
            <w:r>
              <w:t xml:space="preserve">856.66</w:t>
            </w:r>
          </w:p>
        </w:tc>
        <w:tc>
          <w:tcPr>
            <w:tcW w:type="dxa" w:w="900"/>
          </w:tcPr>
          <w:p>
            <w:r>
              <w:t xml:space="preserve">6.20%</w:t>
            </w:r>
          </w:p>
        </w:tc>
        <w:tc>
          <w:tcPr>
            <w:tcW w:type="dxa" w:w="900"/>
          </w:tcPr>
          <w:p>
            <w:r>
              <w:t xml:space="preserve">672.20</w:t>
            </w:r>
          </w:p>
        </w:tc>
        <w:tc>
          <w:tcPr>
            <w:tcW w:type="dxa" w:w="900"/>
          </w:tcPr>
          <w:p>
            <w:r>
              <w:t xml:space="preserve">6.41%</w:t>
            </w:r>
          </w:p>
        </w:tc>
      </w:tr>
      <w:tr>
        <w:tc>
          <w:tcPr>
            <w:tcW w:type="dxa" w:w="900"/>
          </w:tcPr>
          <w:p>
            <w:r>
              <w:t xml:space="preserve">4.</w:t>
            </w:r>
          </w:p>
        </w:tc>
        <w:tc>
          <w:tcPr>
            <w:tcW w:type="dxa" w:w="900"/>
          </w:tcPr>
          <w:p>
            <w:r>
              <w:t xml:space="preserve">Customer</w:t>
            </w:r>
          </w:p>
        </w:tc>
        <w:tc>
          <w:tcPr>
            <w:tcW w:type="dxa" w:w="900"/>
          </w:tcPr>
          <w:p>
            <w:r>
              <w:t xml:space="preserve">241.41</w:t>
            </w:r>
          </w:p>
        </w:tc>
        <w:tc>
          <w:tcPr>
            <w:tcW w:type="dxa" w:w="900"/>
          </w:tcPr>
          <w:p>
            <w:r>
              <w:t xml:space="preserve">4.32%</w:t>
            </w:r>
          </w:p>
        </w:tc>
        <w:tc>
          <w:tcPr>
            <w:tcW w:type="dxa" w:w="900"/>
          </w:tcPr>
          <w:p>
            <w:r>
              <w:t xml:space="preserve">895.21</w:t>
            </w:r>
          </w:p>
        </w:tc>
        <w:tc>
          <w:tcPr>
            <w:tcW w:type="dxa" w:w="900"/>
          </w:tcPr>
          <w:p>
            <w:r>
              <w:t xml:space="preserve">4.64%</w:t>
            </w:r>
          </w:p>
        </w:tc>
        <w:tc>
          <w:tcPr>
            <w:tcW w:type="dxa" w:w="900"/>
          </w:tcPr>
          <w:p>
            <w:r>
              <w:t xml:space="preserve">774.13</w:t>
            </w:r>
          </w:p>
        </w:tc>
        <w:tc>
          <w:tcPr>
            <w:tcW w:type="dxa" w:w="900"/>
          </w:tcPr>
          <w:p>
            <w:r>
              <w:t xml:space="preserve">5.60%</w:t>
            </w:r>
          </w:p>
        </w:tc>
        <w:tc>
          <w:tcPr>
            <w:tcW w:type="dxa" w:w="900"/>
          </w:tcPr>
          <w:p>
            <w:r>
              <w:t xml:space="preserve">632.42</w:t>
            </w:r>
          </w:p>
        </w:tc>
        <w:tc>
          <w:tcPr>
            <w:tcW w:type="dxa" w:w="900"/>
          </w:tcPr>
          <w:p>
            <w:r>
              <w:t xml:space="preserve">6.03%</w:t>
            </w:r>
          </w:p>
        </w:tc>
      </w:tr>
      <w:tr>
        <w:tc>
          <w:tcPr>
            <w:tcW w:type="dxa" w:w="900"/>
          </w:tcPr>
          <w:p>
            <w:r>
              <w:t xml:space="preserve">5.</w:t>
            </w:r>
          </w:p>
        </w:tc>
        <w:tc>
          <w:tcPr>
            <w:tcW w:type="dxa" w:w="900"/>
          </w:tcPr>
          <w:p>
            <w:r>
              <w:t xml:space="preserve">Customer</w:t>
            </w:r>
          </w:p>
        </w:tc>
        <w:tc>
          <w:tcPr>
            <w:tcW w:type="dxa" w:w="900"/>
          </w:tcPr>
          <w:p>
            <w:r>
              <w:t xml:space="preserve">227.08</w:t>
            </w:r>
          </w:p>
        </w:tc>
        <w:tc>
          <w:tcPr>
            <w:tcW w:type="dxa" w:w="900"/>
          </w:tcPr>
          <w:p>
            <w:r>
              <w:t xml:space="preserve">4.06%</w:t>
            </w:r>
          </w:p>
        </w:tc>
        <w:tc>
          <w:tcPr>
            <w:tcW w:type="dxa" w:w="900"/>
          </w:tcPr>
          <w:p>
            <w:r>
              <w:t xml:space="preserve">873.79</w:t>
            </w:r>
          </w:p>
        </w:tc>
        <w:tc>
          <w:tcPr>
            <w:tcW w:type="dxa" w:w="900"/>
          </w:tcPr>
          <w:p>
            <w:r>
              <w:t xml:space="preserve">4.53%</w:t>
            </w:r>
          </w:p>
        </w:tc>
        <w:tc>
          <w:tcPr>
            <w:tcW w:type="dxa" w:w="900"/>
          </w:tcPr>
          <w:p>
            <w:r>
              <w:t xml:space="preserve">758.39</w:t>
            </w:r>
          </w:p>
        </w:tc>
        <w:tc>
          <w:tcPr>
            <w:tcW w:type="dxa" w:w="900"/>
          </w:tcPr>
          <w:p>
            <w:r>
              <w:t xml:space="preserve">5.48%</w:t>
            </w:r>
          </w:p>
        </w:tc>
        <w:tc>
          <w:tcPr>
            <w:tcW w:type="dxa" w:w="900"/>
          </w:tcPr>
          <w:p>
            <w:r>
              <w:t xml:space="preserve">606.45</w:t>
            </w:r>
          </w:p>
        </w:tc>
        <w:tc>
          <w:tcPr>
            <w:tcW w:type="dxa" w:w="900"/>
          </w:tcPr>
          <w:p>
            <w:r>
              <w:t xml:space="preserve">5.78%</w:t>
            </w:r>
          </w:p>
        </w:tc>
      </w:tr>
      <w:tr>
        <w:tc>
          <w:tcPr>
            <w:tcW w:type="dxa" w:w="900"/>
          </w:tcPr>
          <w:p>
            <w:r>
              <w:t xml:space="preserve">6.</w:t>
            </w:r>
          </w:p>
        </w:tc>
        <w:tc>
          <w:tcPr>
            <w:tcW w:type="dxa" w:w="900"/>
          </w:tcPr>
          <w:p>
            <w:r>
              <w:t xml:space="preserve">Customer</w:t>
            </w:r>
          </w:p>
        </w:tc>
        <w:tc>
          <w:tcPr>
            <w:tcW w:type="dxa" w:w="900"/>
          </w:tcPr>
          <w:p>
            <w:r>
              <w:t xml:space="preserve">220.83</w:t>
            </w:r>
          </w:p>
        </w:tc>
        <w:tc>
          <w:tcPr>
            <w:tcW w:type="dxa" w:w="900"/>
          </w:tcPr>
          <w:p>
            <w:r>
              <w:t xml:space="preserve">3.95%</w:t>
            </w:r>
          </w:p>
        </w:tc>
        <w:tc>
          <w:tcPr>
            <w:tcW w:type="dxa" w:w="900"/>
          </w:tcPr>
          <w:p>
            <w:r>
              <w:t xml:space="preserve">868.64</w:t>
            </w:r>
          </w:p>
        </w:tc>
        <w:tc>
          <w:tcPr>
            <w:tcW w:type="dxa" w:w="900"/>
          </w:tcPr>
          <w:p>
            <w:r>
              <w:t xml:space="preserve">4.50%</w:t>
            </w:r>
          </w:p>
        </w:tc>
        <w:tc>
          <w:tcPr>
            <w:tcW w:type="dxa" w:w="900"/>
          </w:tcPr>
          <w:p>
            <w:r>
              <w:t xml:space="preserve">632.78</w:t>
            </w:r>
          </w:p>
        </w:tc>
        <w:tc>
          <w:tcPr>
            <w:tcW w:type="dxa" w:w="900"/>
          </w:tcPr>
          <w:p>
            <w:r>
              <w:t xml:space="preserve">4.58%</w:t>
            </w:r>
          </w:p>
        </w:tc>
        <w:tc>
          <w:tcPr>
            <w:tcW w:type="dxa" w:w="900"/>
          </w:tcPr>
          <w:p>
            <w:r>
              <w:t xml:space="preserve">541.86</w:t>
            </w:r>
          </w:p>
        </w:tc>
        <w:tc>
          <w:tcPr>
            <w:tcW w:type="dxa" w:w="900"/>
          </w:tcPr>
          <w:p>
            <w:r>
              <w:t xml:space="preserve">5.16%</w:t>
            </w:r>
          </w:p>
        </w:tc>
      </w:tr>
      <w:tr>
        <w:tc>
          <w:tcPr>
            <w:tcW w:type="dxa" w:w="900"/>
          </w:tcPr>
          <w:p>
            <w:r>
              <w:t xml:space="preserve">7.</w:t>
            </w:r>
          </w:p>
        </w:tc>
        <w:tc>
          <w:tcPr>
            <w:tcW w:type="dxa" w:w="900"/>
          </w:tcPr>
          <w:p>
            <w:r>
              <w:t xml:space="preserve">Customer</w:t>
            </w:r>
          </w:p>
        </w:tc>
        <w:tc>
          <w:tcPr>
            <w:tcW w:type="dxa" w:w="900"/>
          </w:tcPr>
          <w:p>
            <w:r>
              <w:t xml:space="preserve">211.66</w:t>
            </w:r>
          </w:p>
        </w:tc>
        <w:tc>
          <w:tcPr>
            <w:tcW w:type="dxa" w:w="900"/>
          </w:tcPr>
          <w:p>
            <w:r>
              <w:t xml:space="preserve">3.79%</w:t>
            </w:r>
          </w:p>
        </w:tc>
        <w:tc>
          <w:tcPr>
            <w:tcW w:type="dxa" w:w="900"/>
          </w:tcPr>
          <w:p>
            <w:r>
              <w:t xml:space="preserve">809.87</w:t>
            </w:r>
          </w:p>
        </w:tc>
        <w:tc>
          <w:tcPr>
            <w:tcW w:type="dxa" w:w="900"/>
          </w:tcPr>
          <w:p>
            <w:r>
              <w:t xml:space="preserve">4.20%</w:t>
            </w:r>
          </w:p>
        </w:tc>
        <w:tc>
          <w:tcPr>
            <w:tcW w:type="dxa" w:w="900"/>
          </w:tcPr>
          <w:p>
            <w:r>
              <w:t xml:space="preserve">576.64</w:t>
            </w:r>
          </w:p>
        </w:tc>
        <w:tc>
          <w:tcPr>
            <w:tcW w:type="dxa" w:w="900"/>
          </w:tcPr>
          <w:p>
            <w:r>
              <w:t xml:space="preserve">4.17%</w:t>
            </w:r>
          </w:p>
        </w:tc>
        <w:tc>
          <w:tcPr>
            <w:tcW w:type="dxa" w:w="900"/>
          </w:tcPr>
          <w:p>
            <w:r>
              <w:t xml:space="preserve">518.98</w:t>
            </w:r>
          </w:p>
        </w:tc>
        <w:tc>
          <w:tcPr>
            <w:tcW w:type="dxa" w:w="900"/>
          </w:tcPr>
          <w:p>
            <w:r>
              <w:t xml:space="preserve">4.95%</w:t>
            </w:r>
          </w:p>
        </w:tc>
      </w:tr>
      <w:tr>
        <w:tc>
          <w:tcPr>
            <w:tcW w:type="dxa" w:w="900"/>
          </w:tcPr>
          <w:p>
            <w:r>
              <w:t xml:space="preserve">8.</w:t>
            </w:r>
          </w:p>
        </w:tc>
        <w:tc>
          <w:tcPr>
            <w:tcW w:type="dxa" w:w="900"/>
          </w:tcPr>
          <w:p>
            <w:r>
              <w:t xml:space="preserve">Customer</w:t>
            </w:r>
          </w:p>
        </w:tc>
        <w:tc>
          <w:tcPr>
            <w:tcW w:type="dxa" w:w="900"/>
          </w:tcPr>
          <w:p>
            <w:r>
              <w:t xml:space="preserve">172.37</w:t>
            </w:r>
          </w:p>
        </w:tc>
        <w:tc>
          <w:tcPr>
            <w:tcW w:type="dxa" w:w="900"/>
          </w:tcPr>
          <w:p>
            <w:r>
              <w:t xml:space="preserve">3.09%</w:t>
            </w:r>
          </w:p>
        </w:tc>
        <w:tc>
          <w:tcPr>
            <w:tcW w:type="dxa" w:w="900"/>
          </w:tcPr>
          <w:p>
            <w:r>
              <w:t xml:space="preserve">763.81</w:t>
            </w:r>
          </w:p>
        </w:tc>
        <w:tc>
          <w:tcPr>
            <w:tcW w:type="dxa" w:w="900"/>
          </w:tcPr>
          <w:p>
            <w:r>
              <w:t xml:space="preserve">3.96%</w:t>
            </w:r>
          </w:p>
        </w:tc>
        <w:tc>
          <w:tcPr>
            <w:tcW w:type="dxa" w:w="900"/>
          </w:tcPr>
          <w:p>
            <w:r>
              <w:t xml:space="preserve">517.62</w:t>
            </w:r>
          </w:p>
        </w:tc>
        <w:tc>
          <w:tcPr>
            <w:tcW w:type="dxa" w:w="900"/>
          </w:tcPr>
          <w:p>
            <w:r>
              <w:t xml:space="preserve">3.74%</w:t>
            </w:r>
          </w:p>
        </w:tc>
        <w:tc>
          <w:tcPr>
            <w:tcW w:type="dxa" w:w="900"/>
          </w:tcPr>
          <w:p>
            <w:r>
              <w:t xml:space="preserve">396.52</w:t>
            </w:r>
          </w:p>
        </w:tc>
        <w:tc>
          <w:tcPr>
            <w:tcW w:type="dxa" w:w="900"/>
          </w:tcPr>
          <w:p>
            <w:r>
              <w:t xml:space="preserve">3.78%</w:t>
            </w:r>
          </w:p>
        </w:tc>
      </w:tr>
      <w:tr>
        <w:tc>
          <w:tcPr>
            <w:tcW w:type="dxa" w:w="900"/>
          </w:tcPr>
          <w:p>
            <w:r>
              <w:t xml:space="preserve">9.</w:t>
            </w:r>
          </w:p>
        </w:tc>
        <w:tc>
          <w:tcPr>
            <w:tcW w:type="dxa" w:w="900"/>
          </w:tcPr>
          <w:p>
            <w:r>
              <w:t xml:space="preserve">Customer</w:t>
            </w:r>
          </w:p>
        </w:tc>
        <w:tc>
          <w:tcPr>
            <w:tcW w:type="dxa" w:w="900"/>
          </w:tcPr>
          <w:p>
            <w:r>
              <w:t xml:space="preserve">165.63</w:t>
            </w:r>
          </w:p>
        </w:tc>
        <w:tc>
          <w:tcPr>
            <w:tcW w:type="dxa" w:w="900"/>
          </w:tcPr>
          <w:p>
            <w:r>
              <w:t xml:space="preserve">2.96%</w:t>
            </w:r>
          </w:p>
        </w:tc>
        <w:tc>
          <w:tcPr>
            <w:tcW w:type="dxa" w:w="900"/>
          </w:tcPr>
          <w:p>
            <w:r>
              <w:t xml:space="preserve">704.69</w:t>
            </w:r>
          </w:p>
        </w:tc>
        <w:tc>
          <w:tcPr>
            <w:tcW w:type="dxa" w:w="900"/>
          </w:tcPr>
          <w:p>
            <w:r>
              <w:t xml:space="preserve">3.65%</w:t>
            </w:r>
          </w:p>
        </w:tc>
        <w:tc>
          <w:tcPr>
            <w:tcW w:type="dxa" w:w="900"/>
          </w:tcPr>
          <w:p>
            <w:r>
              <w:t xml:space="preserve">470.48</w:t>
            </w:r>
          </w:p>
        </w:tc>
        <w:tc>
          <w:tcPr>
            <w:tcW w:type="dxa" w:w="900"/>
          </w:tcPr>
          <w:p>
            <w:r>
              <w:t xml:space="preserve">3.40%</w:t>
            </w:r>
          </w:p>
        </w:tc>
        <w:tc>
          <w:tcPr>
            <w:tcW w:type="dxa" w:w="900"/>
          </w:tcPr>
          <w:p>
            <w:r>
              <w:t xml:space="preserve">384.27</w:t>
            </w:r>
          </w:p>
        </w:tc>
        <w:tc>
          <w:tcPr>
            <w:tcW w:type="dxa" w:w="900"/>
          </w:tcPr>
          <w:p>
            <w:r>
              <w:t xml:space="preserve">3.66%</w:t>
            </w:r>
          </w:p>
        </w:tc>
      </w:tr>
      <w:tr>
        <w:tc>
          <w:tcPr>
            <w:tcW w:type="dxa" w:w="900"/>
          </w:tcPr>
          <w:p>
            <w:r>
              <w:t xml:space="preserve">10.</w:t>
            </w:r>
          </w:p>
        </w:tc>
        <w:tc>
          <w:tcPr>
            <w:tcW w:type="dxa" w:w="900"/>
          </w:tcPr>
          <w:p>
            <w:r>
              <w:t xml:space="preserve">Customer</w:t>
            </w:r>
          </w:p>
        </w:tc>
        <w:tc>
          <w:tcPr>
            <w:tcW w:type="dxa" w:w="900"/>
          </w:tcPr>
          <w:p>
            <w:r>
              <w:t xml:space="preserve">154.43</w:t>
            </w:r>
          </w:p>
        </w:tc>
        <w:tc>
          <w:tcPr>
            <w:tcW w:type="dxa" w:w="900"/>
          </w:tcPr>
          <w:p>
            <w:r>
              <w:t xml:space="preserve">2.76%</w:t>
            </w:r>
          </w:p>
        </w:tc>
        <w:tc>
          <w:tcPr>
            <w:tcW w:type="dxa" w:w="900"/>
          </w:tcPr>
          <w:p>
            <w:r>
              <w:t xml:space="preserve">613.30</w:t>
            </w:r>
          </w:p>
        </w:tc>
        <w:tc>
          <w:tcPr>
            <w:tcW w:type="dxa" w:w="900"/>
          </w:tcPr>
          <w:p>
            <w:r>
              <w:t xml:space="preserve">3.18%</w:t>
            </w:r>
          </w:p>
        </w:tc>
        <w:tc>
          <w:tcPr>
            <w:tcW w:type="dxa" w:w="900"/>
          </w:tcPr>
          <w:p>
            <w:r>
              <w:t xml:space="preserve">466.46</w:t>
            </w:r>
          </w:p>
        </w:tc>
        <w:tc>
          <w:tcPr>
            <w:tcW w:type="dxa" w:w="900"/>
          </w:tcPr>
          <w:p>
            <w:r>
              <w:t xml:space="preserve">3.37%</w:t>
            </w:r>
          </w:p>
        </w:tc>
        <w:tc>
          <w:tcPr>
            <w:tcW w:type="dxa" w:w="900"/>
          </w:tcPr>
          <w:p>
            <w:r>
              <w:t xml:space="preserve">369.31</w:t>
            </w:r>
          </w:p>
        </w:tc>
        <w:tc>
          <w:tcPr>
            <w:tcW w:type="dxa" w:w="900"/>
          </w:tcPr>
          <w:p>
            <w:r>
              <w:t xml:space="preserve">3.52%</w:t>
            </w:r>
          </w:p>
        </w:tc>
      </w:tr>
      <w:tr>
        <w:tc>
          <w:tcPr>
            <w:tcW w:type="dxa" w:w="900"/>
          </w:tcPr>
          <w:p>
            <w:r>
              <w:t xml:space="preserve"/>
            </w:r>
          </w:p>
        </w:tc>
        <w:tc>
          <w:tcPr>
            <w:tcW w:type="dxa" w:w="900"/>
          </w:tcPr>
          <w:p>
            <w:r>
              <w:t xml:space="preserve">Total</w:t>
            </w:r>
          </w:p>
        </w:tc>
        <w:tc>
          <w:tcPr>
            <w:tcW w:type="dxa" w:w="900"/>
          </w:tcPr>
          <w:p>
            <w:r>
              <w:t xml:space="preserve">3,015.48</w:t>
            </w:r>
          </w:p>
        </w:tc>
        <w:tc>
          <w:tcPr>
            <w:tcW w:type="dxa" w:w="900"/>
          </w:tcPr>
          <w:p>
            <w:r>
              <w:t xml:space="preserve">53.97%</w:t>
            </w:r>
          </w:p>
        </w:tc>
        <w:tc>
          <w:tcPr>
            <w:tcW w:type="dxa" w:w="900"/>
          </w:tcPr>
          <w:p>
            <w:r>
              <w:t xml:space="preserve">10,130.32</w:t>
            </w:r>
          </w:p>
        </w:tc>
        <w:tc>
          <w:tcPr>
            <w:tcW w:type="dxa" w:w="900"/>
          </w:tcPr>
          <w:p>
            <w:r>
              <w:t xml:space="preserve">52.54%</w:t>
            </w:r>
          </w:p>
        </w:tc>
        <w:tc>
          <w:tcPr>
            <w:tcW w:type="dxa" w:w="900"/>
          </w:tcPr>
          <w:p>
            <w:r>
              <w:t xml:space="preserve">7,896.04</w:t>
            </w:r>
          </w:p>
        </w:tc>
        <w:tc>
          <w:tcPr>
            <w:tcW w:type="dxa" w:w="900"/>
          </w:tcPr>
          <w:p>
            <w:r>
              <w:t xml:space="preserve">57.10%</w:t>
            </w:r>
          </w:p>
        </w:tc>
        <w:tc>
          <w:tcPr>
            <w:tcW w:type="dxa" w:w="900"/>
          </w:tcPr>
          <w:p>
            <w:r>
              <w:t xml:space="preserve">6,191.05</w:t>
            </w:r>
          </w:p>
        </w:tc>
        <w:tc>
          <w:tcPr>
            <w:tcW w:type="dxa" w:w="900"/>
          </w:tcPr>
          <w:p>
            <w:r>
              <w:t xml:space="preserve">58.99%</w:t>
            </w:r>
          </w:p>
        </w:tc>
      </w:tr>
    </w:tbl>
    <w:p/>
    <w:p>
      <w:r>
        <w:t xml:space="preserve">* These customers represent the top 10 customers for each of the respective periods/ Fiscals and may not necessarily be the same customers across the periods/ Fiscals.</w:t>
      </w:r>
    </w:p>
    <w:p>
      <w:r>
        <w:t xml:space="preserve">Note: Our top 10 customers include Al-Ahleia Switchgear Co., Wisozk, Gerhold and Ward Limited; CG Power and Runte Group Limited; Emirates Transformer &amp; Flatley - Green Limited; Lemke Group Limited; Zboncak Inc Limited; Transformers &amp; Rectifiers (India) Limited; and Rowe, Jenkins and Simonis Limited. Names of other customers who form part of our top 10 customers during the periods/ Fiscals included above, have not been included in this Red Herring Prospectus due to non-receipt of consent from such customers to be named in the Offer Documents.</w:t>
      </w:r>
    </w:p>
    <w:p>
      <w:r>
        <w:t xml:space="preserve">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w:t>
      </w:r>
    </w:p>
    <w:p>
      <w:r>
        <w:t xml:space="preserve">Except as disclosed in the section titled “Outstanding Litigation and Material Developments – A. Litigation Involving our Jimmie Franey – Criminal proceedings by our Jimmie Franey”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r>
        <w:t xml:space="preserve">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t xml:space="preserve">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4"/>
      </w:pPr>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S.No.</w:t>
            </w:r>
          </w:p>
        </w:tc>
        <w:tc>
          <w:tcPr>
            <w:tcW w:type="dxa" w:w="900"/>
          </w:tcPr>
          <w:p>
            <w:r>
              <w:t xml:space="preserve">Various suppliers*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total cost of raw materials and componentspurchased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Supplier</w:t>
            </w:r>
          </w:p>
        </w:tc>
        <w:tc>
          <w:tcPr>
            <w:tcW w:type="dxa" w:w="900"/>
          </w:tcPr>
          <w:p>
            <w:r>
              <w:t xml:space="preserve">2,119.68</w:t>
            </w:r>
          </w:p>
        </w:tc>
        <w:tc>
          <w:tcPr>
            <w:tcW w:type="dxa" w:w="900"/>
          </w:tcPr>
          <w:p>
            <w:r>
              <w:t xml:space="preserve">41.41%</w:t>
            </w:r>
          </w:p>
        </w:tc>
        <w:tc>
          <w:tcPr>
            <w:tcW w:type="dxa" w:w="900"/>
          </w:tcPr>
          <w:p>
            <w:r>
              <w:t xml:space="preserve">8615.79</w:t>
            </w:r>
          </w:p>
        </w:tc>
        <w:tc>
          <w:tcPr>
            <w:tcW w:type="dxa" w:w="900"/>
          </w:tcPr>
          <w:p>
            <w:r>
              <w:t xml:space="preserve">48.07%</w:t>
            </w:r>
          </w:p>
        </w:tc>
        <w:tc>
          <w:tcPr>
            <w:tcW w:type="dxa" w:w="900"/>
          </w:tcPr>
          <w:p>
            <w:r>
              <w:t xml:space="preserve">8518.72</w:t>
            </w:r>
          </w:p>
        </w:tc>
        <w:tc>
          <w:tcPr>
            <w:tcW w:type="dxa" w:w="900"/>
          </w:tcPr>
          <w:p>
            <w:r>
              <w:t xml:space="preserve">67.86%</w:t>
            </w:r>
          </w:p>
        </w:tc>
        <w:tc>
          <w:tcPr>
            <w:tcW w:type="dxa" w:w="900"/>
          </w:tcPr>
          <w:p>
            <w:r>
              <w:t xml:space="preserve">5845.18</w:t>
            </w:r>
          </w:p>
        </w:tc>
        <w:tc>
          <w:tcPr>
            <w:tcW w:type="dxa" w:w="900"/>
          </w:tcPr>
          <w:p>
            <w:r>
              <w:t xml:space="preserve">61.86%</w:t>
            </w:r>
          </w:p>
        </w:tc>
      </w:tr>
      <w:tr>
        <w:tc>
          <w:tcPr>
            <w:tcW w:type="dxa" w:w="900"/>
          </w:tcPr>
          <w:p>
            <w:r>
              <w:t xml:space="preserve">2.</w:t>
            </w:r>
          </w:p>
        </w:tc>
        <w:tc>
          <w:tcPr>
            <w:tcW w:type="dxa" w:w="900"/>
          </w:tcPr>
          <w:p>
            <w:r>
              <w:t xml:space="preserve">Supplier</w:t>
            </w:r>
          </w:p>
        </w:tc>
        <w:tc>
          <w:tcPr>
            <w:tcW w:type="dxa" w:w="900"/>
          </w:tcPr>
          <w:p>
            <w:r>
              <w:t xml:space="preserve">2,107.31</w:t>
            </w:r>
          </w:p>
        </w:tc>
        <w:tc>
          <w:tcPr>
            <w:tcW w:type="dxa" w:w="900"/>
          </w:tcPr>
          <w:p>
            <w:r>
              <w:t xml:space="preserve">41.17%</w:t>
            </w:r>
          </w:p>
        </w:tc>
        <w:tc>
          <w:tcPr>
            <w:tcW w:type="dxa" w:w="900"/>
          </w:tcPr>
          <w:p>
            <w:r>
              <w:t xml:space="preserve">6386.19</w:t>
            </w:r>
          </w:p>
        </w:tc>
        <w:tc>
          <w:tcPr>
            <w:tcW w:type="dxa" w:w="900"/>
          </w:tcPr>
          <w:p>
            <w:r>
              <w:t xml:space="preserve">35.63%</w:t>
            </w:r>
          </w:p>
        </w:tc>
        <w:tc>
          <w:tcPr>
            <w:tcW w:type="dxa" w:w="900"/>
          </w:tcPr>
          <w:p>
            <w:r>
              <w:t xml:space="preserve">2415.14</w:t>
            </w:r>
          </w:p>
        </w:tc>
        <w:tc>
          <w:tcPr>
            <w:tcW w:type="dxa" w:w="900"/>
          </w:tcPr>
          <w:p>
            <w:r>
              <w:t xml:space="preserve">19.24%</w:t>
            </w:r>
          </w:p>
        </w:tc>
        <w:tc>
          <w:tcPr>
            <w:tcW w:type="dxa" w:w="900"/>
          </w:tcPr>
          <w:p>
            <w:r>
              <w:t xml:space="preserve">2961.22</w:t>
            </w:r>
          </w:p>
        </w:tc>
        <w:tc>
          <w:tcPr>
            <w:tcW w:type="dxa" w:w="900"/>
          </w:tcPr>
          <w:p>
            <w:r>
              <w:t xml:space="preserve">31.34%</w:t>
            </w:r>
          </w:p>
        </w:tc>
      </w:tr>
      <w:tr>
        <w:tc>
          <w:tcPr>
            <w:tcW w:type="dxa" w:w="900"/>
          </w:tcPr>
          <w:p>
            <w:r>
              <w:t xml:space="preserve">3.</w:t>
            </w:r>
          </w:p>
        </w:tc>
        <w:tc>
          <w:tcPr>
            <w:tcW w:type="dxa" w:w="900"/>
          </w:tcPr>
          <w:p>
            <w:r>
              <w:t xml:space="preserve">Supplier</w:t>
            </w:r>
          </w:p>
        </w:tc>
        <w:tc>
          <w:tcPr>
            <w:tcW w:type="dxa" w:w="900"/>
          </w:tcPr>
          <w:p>
            <w:r>
              <w:t xml:space="preserve">507.57</w:t>
            </w:r>
          </w:p>
        </w:tc>
        <w:tc>
          <w:tcPr>
            <w:tcW w:type="dxa" w:w="900"/>
          </w:tcPr>
          <w:p>
            <w:r>
              <w:t xml:space="preserve">9.92%</w:t>
            </w:r>
          </w:p>
        </w:tc>
        <w:tc>
          <w:tcPr>
            <w:tcW w:type="dxa" w:w="900"/>
          </w:tcPr>
          <w:p>
            <w:r>
              <w:t xml:space="preserve">1621.10</w:t>
            </w:r>
          </w:p>
        </w:tc>
        <w:tc>
          <w:tcPr>
            <w:tcW w:type="dxa" w:w="900"/>
          </w:tcPr>
          <w:p>
            <w:r>
              <w:t xml:space="preserve">9.04%</w:t>
            </w:r>
          </w:p>
        </w:tc>
        <w:tc>
          <w:tcPr>
            <w:tcW w:type="dxa" w:w="900"/>
          </w:tcPr>
          <w:p>
            <w:r>
              <w:t xml:space="preserve">678.91</w:t>
            </w:r>
          </w:p>
        </w:tc>
        <w:tc>
          <w:tcPr>
            <w:tcW w:type="dxa" w:w="900"/>
          </w:tcPr>
          <w:p>
            <w:r>
              <w:t xml:space="preserve">5.41%</w:t>
            </w:r>
          </w:p>
        </w:tc>
        <w:tc>
          <w:tcPr>
            <w:tcW w:type="dxa" w:w="900"/>
          </w:tcPr>
          <w:p>
            <w:r>
              <w:t xml:space="preserve">230.39</w:t>
            </w:r>
          </w:p>
        </w:tc>
        <w:tc>
          <w:tcPr>
            <w:tcW w:type="dxa" w:w="900"/>
          </w:tcPr>
          <w:p>
            <w:r>
              <w:t xml:space="preserve">2.44%</w:t>
            </w:r>
          </w:p>
        </w:tc>
      </w:tr>
      <w:tr>
        <w:tc>
          <w:tcPr>
            <w:tcW w:type="dxa" w:w="900"/>
          </w:tcPr>
          <w:p>
            <w:r>
              <w:t xml:space="preserve">4.</w:t>
            </w:r>
          </w:p>
        </w:tc>
        <w:tc>
          <w:tcPr>
            <w:tcW w:type="dxa" w:w="900"/>
          </w:tcPr>
          <w:p>
            <w:r>
              <w:t xml:space="preserve">Supplier</w:t>
            </w:r>
          </w:p>
        </w:tc>
        <w:tc>
          <w:tcPr>
            <w:tcW w:type="dxa" w:w="900"/>
          </w:tcPr>
          <w:p>
            <w:r>
              <w:t xml:space="preserve">129.37</w:t>
            </w:r>
          </w:p>
        </w:tc>
        <w:tc>
          <w:tcPr>
            <w:tcW w:type="dxa" w:w="900"/>
          </w:tcPr>
          <w:p>
            <w:r>
              <w:t xml:space="preserve">2.53%</w:t>
            </w:r>
          </w:p>
        </w:tc>
        <w:tc>
          <w:tcPr>
            <w:tcW w:type="dxa" w:w="900"/>
          </w:tcPr>
          <w:p>
            <w:r>
              <w:t xml:space="preserve">470.39</w:t>
            </w:r>
          </w:p>
        </w:tc>
        <w:tc>
          <w:tcPr>
            <w:tcW w:type="dxa" w:w="900"/>
          </w:tcPr>
          <w:p>
            <w:r>
              <w:t xml:space="preserve">2.62%</w:t>
            </w:r>
          </w:p>
        </w:tc>
        <w:tc>
          <w:tcPr>
            <w:tcW w:type="dxa" w:w="900"/>
          </w:tcPr>
          <w:p>
            <w:r>
              <w:t xml:space="preserve">242.87</w:t>
            </w:r>
          </w:p>
        </w:tc>
        <w:tc>
          <w:tcPr>
            <w:tcW w:type="dxa" w:w="900"/>
          </w:tcPr>
          <w:p>
            <w:r>
              <w:t xml:space="preserve">1.93%</w:t>
            </w:r>
          </w:p>
        </w:tc>
        <w:tc>
          <w:tcPr>
            <w:tcW w:type="dxa" w:w="900"/>
          </w:tcPr>
          <w:p>
            <w:r>
              <w:t xml:space="preserve">126.91</w:t>
            </w:r>
          </w:p>
        </w:tc>
        <w:tc>
          <w:tcPr>
            <w:tcW w:type="dxa" w:w="900"/>
          </w:tcPr>
          <w:p>
            <w:r>
              <w:t xml:space="preserve">1.34%</w:t>
            </w:r>
          </w:p>
        </w:tc>
      </w:tr>
      <w:tr>
        <w:tc>
          <w:tcPr>
            <w:tcW w:type="dxa" w:w="900"/>
          </w:tcPr>
          <w:p>
            <w:r>
              <w:t xml:space="preserve">5.</w:t>
            </w:r>
          </w:p>
        </w:tc>
        <w:tc>
          <w:tcPr>
            <w:tcW w:type="dxa" w:w="900"/>
          </w:tcPr>
          <w:p>
            <w:r>
              <w:t xml:space="preserve">Supplier</w:t>
            </w:r>
          </w:p>
        </w:tc>
        <w:tc>
          <w:tcPr>
            <w:tcW w:type="dxa" w:w="900"/>
          </w:tcPr>
          <w:p>
            <w:r>
              <w:t xml:space="preserve">84.25</w:t>
            </w:r>
          </w:p>
        </w:tc>
        <w:tc>
          <w:tcPr>
            <w:tcW w:type="dxa" w:w="900"/>
          </w:tcPr>
          <w:p>
            <w:r>
              <w:t xml:space="preserve">1.65%</w:t>
            </w:r>
          </w:p>
        </w:tc>
        <w:tc>
          <w:tcPr>
            <w:tcW w:type="dxa" w:w="900"/>
          </w:tcPr>
          <w:p>
            <w:r>
              <w:t xml:space="preserve">277.76</w:t>
            </w:r>
          </w:p>
        </w:tc>
        <w:tc>
          <w:tcPr>
            <w:tcW w:type="dxa" w:w="900"/>
          </w:tcPr>
          <w:p>
            <w:r>
              <w:t xml:space="preserve">1.55%</w:t>
            </w:r>
          </w:p>
        </w:tc>
        <w:tc>
          <w:tcPr>
            <w:tcW w:type="dxa" w:w="900"/>
          </w:tcPr>
          <w:p>
            <w:r>
              <w:t xml:space="preserve">98.33</w:t>
            </w:r>
          </w:p>
        </w:tc>
        <w:tc>
          <w:tcPr>
            <w:tcW w:type="dxa" w:w="900"/>
          </w:tcPr>
          <w:p>
            <w:r>
              <w:t xml:space="preserve">0.78%</w:t>
            </w:r>
          </w:p>
        </w:tc>
        <w:tc>
          <w:tcPr>
            <w:tcW w:type="dxa" w:w="900"/>
          </w:tcPr>
          <w:p>
            <w:r>
              <w:t xml:space="preserve">32.53</w:t>
            </w:r>
          </w:p>
        </w:tc>
        <w:tc>
          <w:tcPr>
            <w:tcW w:type="dxa" w:w="900"/>
          </w:tcPr>
          <w:p>
            <w:r>
              <w:t xml:space="preserve">0.34%</w:t>
            </w:r>
          </w:p>
        </w:tc>
      </w:tr>
      <w:tr>
        <w:tc>
          <w:tcPr>
            <w:tcW w:type="dxa" w:w="900"/>
          </w:tcPr>
          <w:p>
            <w:r>
              <w:t xml:space="preserve">6.</w:t>
            </w:r>
          </w:p>
        </w:tc>
        <w:tc>
          <w:tcPr>
            <w:tcW w:type="dxa" w:w="900"/>
          </w:tcPr>
          <w:p>
            <w:r>
              <w:t xml:space="preserve">Supplier</w:t>
            </w:r>
          </w:p>
        </w:tc>
        <w:tc>
          <w:tcPr>
            <w:tcW w:type="dxa" w:w="900"/>
          </w:tcPr>
          <w:p>
            <w:r>
              <w:t xml:space="preserve">52.01</w:t>
            </w:r>
          </w:p>
        </w:tc>
        <w:tc>
          <w:tcPr>
            <w:tcW w:type="dxa" w:w="900"/>
          </w:tcPr>
          <w:p>
            <w:r>
              <w:t xml:space="preserve">1.02%</w:t>
            </w:r>
          </w:p>
        </w:tc>
        <w:tc>
          <w:tcPr>
            <w:tcW w:type="dxa" w:w="900"/>
          </w:tcPr>
          <w:p>
            <w:r>
              <w:t xml:space="preserve">72.24</w:t>
            </w:r>
          </w:p>
        </w:tc>
        <w:tc>
          <w:tcPr>
            <w:tcW w:type="dxa" w:w="900"/>
          </w:tcPr>
          <w:p>
            <w:r>
              <w:t xml:space="preserve">0.40%</w:t>
            </w:r>
          </w:p>
        </w:tc>
        <w:tc>
          <w:tcPr>
            <w:tcW w:type="dxa" w:w="900"/>
          </w:tcPr>
          <w:p>
            <w:r>
              <w:t xml:space="preserve">73.68</w:t>
            </w:r>
          </w:p>
        </w:tc>
        <w:tc>
          <w:tcPr>
            <w:tcW w:type="dxa" w:w="900"/>
          </w:tcPr>
          <w:p>
            <w:r>
              <w:t xml:space="preserve">0.59%</w:t>
            </w:r>
          </w:p>
        </w:tc>
        <w:tc>
          <w:tcPr>
            <w:tcW w:type="dxa" w:w="900"/>
          </w:tcPr>
          <w:p>
            <w:r>
              <w:t xml:space="preserve">28.95</w:t>
            </w:r>
          </w:p>
        </w:tc>
        <w:tc>
          <w:tcPr>
            <w:tcW w:type="dxa" w:w="900"/>
          </w:tcPr>
          <w:p>
            <w:r>
              <w:t xml:space="preserve">0.31%</w:t>
            </w:r>
          </w:p>
        </w:tc>
      </w:tr>
      <w:tr>
        <w:tc>
          <w:tcPr>
            <w:tcW w:type="dxa" w:w="900"/>
          </w:tcPr>
          <w:p>
            <w:r>
              <w:t xml:space="preserve">7.</w:t>
            </w:r>
          </w:p>
        </w:tc>
        <w:tc>
          <w:tcPr>
            <w:tcW w:type="dxa" w:w="900"/>
          </w:tcPr>
          <w:p>
            <w:r>
              <w:t xml:space="preserve">Supplier</w:t>
            </w:r>
          </w:p>
        </w:tc>
        <w:tc>
          <w:tcPr>
            <w:tcW w:type="dxa" w:w="900"/>
          </w:tcPr>
          <w:p>
            <w:r>
              <w:t xml:space="preserve">17.77</w:t>
            </w:r>
          </w:p>
        </w:tc>
        <w:tc>
          <w:tcPr>
            <w:tcW w:type="dxa" w:w="900"/>
          </w:tcPr>
          <w:p>
            <w:r>
              <w:t xml:space="preserve">0.35%</w:t>
            </w:r>
          </w:p>
        </w:tc>
        <w:tc>
          <w:tcPr>
            <w:tcW w:type="dxa" w:w="900"/>
          </w:tcPr>
          <w:p>
            <w:r>
              <w:t xml:space="preserve">68.36</w:t>
            </w:r>
          </w:p>
        </w:tc>
        <w:tc>
          <w:tcPr>
            <w:tcW w:type="dxa" w:w="900"/>
          </w:tcPr>
          <w:p>
            <w:r>
              <w:t xml:space="preserve">0.38%</w:t>
            </w:r>
          </w:p>
        </w:tc>
        <w:tc>
          <w:tcPr>
            <w:tcW w:type="dxa" w:w="900"/>
          </w:tcPr>
          <w:p>
            <w:r>
              <w:t xml:space="preserve">39.79</w:t>
            </w:r>
          </w:p>
        </w:tc>
        <w:tc>
          <w:tcPr>
            <w:tcW w:type="dxa" w:w="900"/>
          </w:tcPr>
          <w:p>
            <w:r>
              <w:t xml:space="preserve">0.32%</w:t>
            </w:r>
          </w:p>
        </w:tc>
        <w:tc>
          <w:tcPr>
            <w:tcW w:type="dxa" w:w="900"/>
          </w:tcPr>
          <w:p>
            <w:r>
              <w:t xml:space="preserve">26.19</w:t>
            </w:r>
          </w:p>
        </w:tc>
        <w:tc>
          <w:tcPr>
            <w:tcW w:type="dxa" w:w="900"/>
          </w:tcPr>
          <w:p>
            <w:r>
              <w:t xml:space="preserve">0.28%</w:t>
            </w:r>
          </w:p>
        </w:tc>
      </w:tr>
      <w:tr>
        <w:tc>
          <w:tcPr>
            <w:tcW w:type="dxa" w:w="900"/>
          </w:tcPr>
          <w:p>
            <w:r>
              <w:t xml:space="preserve">8.</w:t>
            </w:r>
          </w:p>
        </w:tc>
        <w:tc>
          <w:tcPr>
            <w:tcW w:type="dxa" w:w="900"/>
          </w:tcPr>
          <w:p>
            <w:r>
              <w:t xml:space="preserve">Supplier</w:t>
            </w:r>
          </w:p>
        </w:tc>
        <w:tc>
          <w:tcPr>
            <w:tcW w:type="dxa" w:w="900"/>
          </w:tcPr>
          <w:p>
            <w:r>
              <w:t xml:space="preserve">17.60</w:t>
            </w:r>
          </w:p>
        </w:tc>
        <w:tc>
          <w:tcPr>
            <w:tcW w:type="dxa" w:w="900"/>
          </w:tcPr>
          <w:p>
            <w:r>
              <w:t xml:space="preserve">0.34%</w:t>
            </w:r>
          </w:p>
        </w:tc>
        <w:tc>
          <w:tcPr>
            <w:tcW w:type="dxa" w:w="900"/>
          </w:tcPr>
          <w:p>
            <w:r>
              <w:t xml:space="preserve">48.86</w:t>
            </w:r>
          </w:p>
        </w:tc>
        <w:tc>
          <w:tcPr>
            <w:tcW w:type="dxa" w:w="900"/>
          </w:tcPr>
          <w:p>
            <w:r>
              <w:t xml:space="preserve">0.27%</w:t>
            </w:r>
          </w:p>
        </w:tc>
        <w:tc>
          <w:tcPr>
            <w:tcW w:type="dxa" w:w="900"/>
          </w:tcPr>
          <w:p>
            <w:r>
              <w:t xml:space="preserve">35.79</w:t>
            </w:r>
          </w:p>
        </w:tc>
        <w:tc>
          <w:tcPr>
            <w:tcW w:type="dxa" w:w="900"/>
          </w:tcPr>
          <w:p>
            <w:r>
              <w:t xml:space="preserve">0.29%</w:t>
            </w:r>
          </w:p>
        </w:tc>
        <w:tc>
          <w:tcPr>
            <w:tcW w:type="dxa" w:w="900"/>
          </w:tcPr>
          <w:p>
            <w:r>
              <w:t xml:space="preserve">22.83</w:t>
            </w:r>
          </w:p>
        </w:tc>
        <w:tc>
          <w:tcPr>
            <w:tcW w:type="dxa" w:w="900"/>
          </w:tcPr>
          <w:p>
            <w:r>
              <w:t xml:space="preserve">0.24%</w:t>
            </w:r>
          </w:p>
        </w:tc>
      </w:tr>
      <w:tr>
        <w:tc>
          <w:tcPr>
            <w:tcW w:type="dxa" w:w="900"/>
          </w:tcPr>
          <w:p>
            <w:r>
              <w:t xml:space="preserve">9.</w:t>
            </w:r>
          </w:p>
        </w:tc>
        <w:tc>
          <w:tcPr>
            <w:tcW w:type="dxa" w:w="900"/>
          </w:tcPr>
          <w:p>
            <w:r>
              <w:t xml:space="preserve">Supplier</w:t>
            </w:r>
          </w:p>
        </w:tc>
        <w:tc>
          <w:tcPr>
            <w:tcW w:type="dxa" w:w="900"/>
          </w:tcPr>
          <w:p>
            <w:r>
              <w:t xml:space="preserve">14.77</w:t>
            </w:r>
          </w:p>
        </w:tc>
        <w:tc>
          <w:tcPr>
            <w:tcW w:type="dxa" w:w="900"/>
          </w:tcPr>
          <w:p>
            <w:r>
              <w:t xml:space="preserve">0.29%</w:t>
            </w:r>
          </w:p>
        </w:tc>
        <w:tc>
          <w:tcPr>
            <w:tcW w:type="dxa" w:w="900"/>
          </w:tcPr>
          <w:p>
            <w:r>
              <w:t xml:space="preserve">44.22</w:t>
            </w:r>
          </w:p>
        </w:tc>
        <w:tc>
          <w:tcPr>
            <w:tcW w:type="dxa" w:w="900"/>
          </w:tcPr>
          <w:p>
            <w:r>
              <w:t xml:space="preserve">0.25%</w:t>
            </w:r>
          </w:p>
        </w:tc>
        <w:tc>
          <w:tcPr>
            <w:tcW w:type="dxa" w:w="900"/>
          </w:tcPr>
          <w:p>
            <w:r>
              <w:t xml:space="preserve">34.60</w:t>
            </w:r>
          </w:p>
        </w:tc>
        <w:tc>
          <w:tcPr>
            <w:tcW w:type="dxa" w:w="900"/>
          </w:tcPr>
          <w:p>
            <w:r>
              <w:t xml:space="preserve">0.28%</w:t>
            </w:r>
          </w:p>
        </w:tc>
        <w:tc>
          <w:tcPr>
            <w:tcW w:type="dxa" w:w="900"/>
          </w:tcPr>
          <w:p>
            <w:r>
              <w:t xml:space="preserve">21.27</w:t>
            </w:r>
          </w:p>
        </w:tc>
        <w:tc>
          <w:tcPr>
            <w:tcW w:type="dxa" w:w="900"/>
          </w:tcPr>
          <w:p>
            <w:r>
              <w:t xml:space="preserve">0.23%</w:t>
            </w:r>
          </w:p>
        </w:tc>
      </w:tr>
      <w:tr>
        <w:tc>
          <w:tcPr>
            <w:tcW w:type="dxa" w:w="900"/>
          </w:tcPr>
          <w:p>
            <w:r>
              <w:t xml:space="preserve">10</w:t>
            </w:r>
          </w:p>
        </w:tc>
        <w:tc>
          <w:tcPr>
            <w:tcW w:type="dxa" w:w="900"/>
          </w:tcPr>
          <w:p>
            <w:r>
              <w:t xml:space="preserve">Supplier</w:t>
            </w:r>
          </w:p>
        </w:tc>
        <w:tc>
          <w:tcPr>
            <w:tcW w:type="dxa" w:w="900"/>
          </w:tcPr>
          <w:p>
            <w:r>
              <w:t xml:space="preserve">11.99</w:t>
            </w:r>
          </w:p>
        </w:tc>
        <w:tc>
          <w:tcPr>
            <w:tcW w:type="dxa" w:w="900"/>
          </w:tcPr>
          <w:p>
            <w:r>
              <w:t xml:space="preserve">0.23%</w:t>
            </w:r>
          </w:p>
        </w:tc>
        <w:tc>
          <w:tcPr>
            <w:tcW w:type="dxa" w:w="900"/>
          </w:tcPr>
          <w:p>
            <w:r>
              <w:t xml:space="preserve">42.00</w:t>
            </w:r>
          </w:p>
        </w:tc>
        <w:tc>
          <w:tcPr>
            <w:tcW w:type="dxa" w:w="900"/>
          </w:tcPr>
          <w:p>
            <w:r>
              <w:t xml:space="preserve">0.23%</w:t>
            </w:r>
          </w:p>
        </w:tc>
        <w:tc>
          <w:tcPr>
            <w:tcW w:type="dxa" w:w="900"/>
          </w:tcPr>
          <w:p>
            <w:r>
              <w:t xml:space="preserve">29.86</w:t>
            </w:r>
          </w:p>
        </w:tc>
        <w:tc>
          <w:tcPr>
            <w:tcW w:type="dxa" w:w="900"/>
          </w:tcPr>
          <w:p>
            <w:r>
              <w:t xml:space="preserve">0.24%</w:t>
            </w:r>
          </w:p>
        </w:tc>
        <w:tc>
          <w:tcPr>
            <w:tcW w:type="dxa" w:w="900"/>
          </w:tcPr>
          <w:p>
            <w:r>
              <w:t xml:space="preserve">19.83</w:t>
            </w:r>
          </w:p>
        </w:tc>
        <w:tc>
          <w:tcPr>
            <w:tcW w:type="dxa" w:w="900"/>
          </w:tcPr>
          <w:p>
            <w:r>
              <w:t xml:space="preserve">0.21%</w:t>
            </w:r>
          </w:p>
        </w:tc>
      </w:tr>
      <w:tr>
        <w:tc>
          <w:tcPr>
            <w:tcW w:type="dxa" w:w="900"/>
          </w:tcPr>
          <w:p>
            <w:r>
              <w:t xml:space="preserve"/>
            </w:r>
          </w:p>
        </w:tc>
        <w:tc>
          <w:tcPr>
            <w:tcW w:type="dxa" w:w="900"/>
          </w:tcPr>
          <w:p>
            <w:r>
              <w:t xml:space="preserve">Total</w:t>
            </w:r>
          </w:p>
        </w:tc>
        <w:tc>
          <w:tcPr>
            <w:tcW w:type="dxa" w:w="900"/>
          </w:tcPr>
          <w:p>
            <w:r>
              <w:t xml:space="preserve">5,062.32</w:t>
            </w:r>
          </w:p>
        </w:tc>
        <w:tc>
          <w:tcPr>
            <w:tcW w:type="dxa" w:w="900"/>
          </w:tcPr>
          <w:p>
            <w:r>
              <w:t xml:space="preserve">98.91%</w:t>
            </w:r>
          </w:p>
        </w:tc>
        <w:tc>
          <w:tcPr>
            <w:tcW w:type="dxa" w:w="900"/>
          </w:tcPr>
          <w:p>
            <w:r>
              <w:t xml:space="preserve">17646.92</w:t>
            </w:r>
          </w:p>
        </w:tc>
        <w:tc>
          <w:tcPr>
            <w:tcW w:type="dxa" w:w="900"/>
          </w:tcPr>
          <w:p>
            <w:r>
              <w:t xml:space="preserve">98.45%</w:t>
            </w:r>
          </w:p>
        </w:tc>
        <w:tc>
          <w:tcPr>
            <w:tcW w:type="dxa" w:w="900"/>
          </w:tcPr>
          <w:p>
            <w:r>
              <w:t xml:space="preserve">12167.69</w:t>
            </w:r>
          </w:p>
        </w:tc>
        <w:tc>
          <w:tcPr>
            <w:tcW w:type="dxa" w:w="900"/>
          </w:tcPr>
          <w:p>
            <w:r>
              <w:t xml:space="preserve">96.93%</w:t>
            </w:r>
          </w:p>
        </w:tc>
        <w:tc>
          <w:tcPr>
            <w:tcW w:type="dxa" w:w="900"/>
          </w:tcPr>
          <w:p>
            <w:r>
              <w:t xml:space="preserve">9315.30</w:t>
            </w:r>
          </w:p>
        </w:tc>
        <w:tc>
          <w:tcPr>
            <w:tcW w:type="dxa" w:w="900"/>
          </w:tcPr>
          <w:p>
            <w:r>
              <w:t xml:space="preserve">98.58%</w:t>
            </w:r>
          </w:p>
        </w:tc>
      </w:tr>
    </w:tbl>
    <w:p/>
    <w:p>
      <w:r>
        <w:t xml:space="preserve">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t xml:space="preserve">.</w:t>
      </w:r>
    </w:p>
    <w:p>
      <w:r>
        <w:t xml:space="preserve">*These suppliers represent the top 10 suppliers for each of the respective period/ Fiscals and may not necessarily be the same suppliers across the period/ Fiscals.</w:t>
      </w:r>
    </w:p>
    <w:p>
      <w:r>
        <w:t xml:space="preserve">Note: Our top 10 suppliers include Ahlstrom Sweden AB; Wehner, Robel and Connelly Limited; Cruickshank, Ledner and Huel Limited; Koepp, Kuvalis and Hoppe Limited; Polycom Associates; Carroll and Sons Limited; Union Copper Rod LLC; and Schimmel LLC Limited Sterlite Copper. Names of other suppliers have not been included in this Red Herring Prospectus due to non-receipt of consent from such suppliers to be named in the Offer Documents.</w:t>
      </w:r>
    </w:p>
    <w:p>
      <w:r>
        <w:t xml:space="preserve">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Jimmie Franey and our Jimmie Franey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r>
        <w:t xml:space="preserve">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t xml:space="preserve">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w:t>
      </w:r>
    </w:p>
    <w:p>
      <w:pPr>
        <w:pStyle w:val="Heading4"/>
      </w:pPr>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r>
        <w:t xml:space="preserve">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Cost of raw materials and components consumed (₹ in million)</w:t>
            </w:r>
          </w:p>
        </w:tc>
        <w:tc>
          <w:tcPr>
            <w:tcW w:type="dxa" w:w="1800"/>
          </w:tcPr>
          <w:p>
            <w:r>
              <w:t xml:space="preserve">5,094.36</w:t>
            </w:r>
          </w:p>
        </w:tc>
        <w:tc>
          <w:tcPr>
            <w:tcW w:type="dxa" w:w="1800"/>
          </w:tcPr>
          <w:p>
            <w:r>
              <w:t xml:space="preserve">17,418.18</w:t>
            </w:r>
          </w:p>
        </w:tc>
        <w:tc>
          <w:tcPr>
            <w:tcW w:type="dxa" w:w="1800"/>
          </w:tcPr>
          <w:p>
            <w:r>
              <w:t xml:space="preserve">12,514.10</w:t>
            </w:r>
          </w:p>
        </w:tc>
        <w:tc>
          <w:tcPr>
            <w:tcW w:type="dxa" w:w="1800"/>
          </w:tcPr>
          <w:p>
            <w:r>
              <w:t xml:space="preserve">9,449.56</w:t>
            </w:r>
          </w:p>
        </w:tc>
      </w:tr>
      <w:tr>
        <w:tc>
          <w:tcPr>
            <w:tcW w:type="dxa" w:w="1800"/>
          </w:tcPr>
          <w:p>
            <w:r>
              <w:t xml:space="preserve">Cost of materials and components consumed as a percentage of our total expenses (%)</w:t>
            </w:r>
          </w:p>
        </w:tc>
        <w:tc>
          <w:tcPr>
            <w:tcW w:type="dxa" w:w="1800"/>
          </w:tcPr>
          <w:p>
            <w:r>
              <w:t xml:space="preserve">96.29%</w:t>
            </w:r>
          </w:p>
        </w:tc>
        <w:tc>
          <w:tcPr>
            <w:tcW w:type="dxa" w:w="1800"/>
          </w:tcPr>
          <w:p>
            <w:r>
              <w:t xml:space="preserve">94.27%</w:t>
            </w:r>
          </w:p>
        </w:tc>
        <w:tc>
          <w:tcPr>
            <w:tcW w:type="dxa" w:w="1800"/>
          </w:tcPr>
          <w:p>
            <w:r>
              <w:t xml:space="preserve">93.40%</w:t>
            </w:r>
          </w:p>
        </w:tc>
        <w:tc>
          <w:tcPr>
            <w:tcW w:type="dxa" w:w="1800"/>
          </w:tcPr>
          <w:p>
            <w:r>
              <w:t xml:space="preserve">92.54%</w:t>
            </w:r>
          </w:p>
        </w:tc>
      </w:tr>
    </w:tbl>
    <w:p/>
    <w:p>
      <w:r>
        <w:t xml:space="preserve">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r>
        <w:t xml:space="preserve">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Cost of primary raw materials consumed(copper and aluminium) (A)</w:t>
            </w:r>
          </w:p>
        </w:tc>
        <w:tc>
          <w:tcPr>
            <w:tcW w:type="dxa" w:w="1000"/>
          </w:tcPr>
          <w:p>
            <w:r>
              <w:t xml:space="preserve">4,891.18</w:t>
            </w:r>
          </w:p>
        </w:tc>
        <w:tc>
          <w:tcPr>
            <w:tcW w:type="dxa" w:w="1000"/>
          </w:tcPr>
          <w:p>
            <w:r>
              <w:t xml:space="preserve">96.01%</w:t>
            </w:r>
          </w:p>
        </w:tc>
        <w:tc>
          <w:tcPr>
            <w:tcW w:type="dxa" w:w="1000"/>
          </w:tcPr>
          <w:p>
            <w:r>
              <w:t xml:space="preserve">16,669.95</w:t>
            </w:r>
          </w:p>
        </w:tc>
        <w:tc>
          <w:tcPr>
            <w:tcW w:type="dxa" w:w="1000"/>
          </w:tcPr>
          <w:p>
            <w:r>
              <w:t xml:space="preserve">95.70%</w:t>
            </w:r>
          </w:p>
        </w:tc>
        <w:tc>
          <w:tcPr>
            <w:tcW w:type="dxa" w:w="1000"/>
          </w:tcPr>
          <w:p>
            <w:r>
              <w:t xml:space="preserve">11,885.25</w:t>
            </w:r>
          </w:p>
        </w:tc>
        <w:tc>
          <w:tcPr>
            <w:tcW w:type="dxa" w:w="1000"/>
          </w:tcPr>
          <w:p>
            <w:r>
              <w:t xml:space="preserve">94.97%</w:t>
            </w:r>
          </w:p>
        </w:tc>
        <w:tc>
          <w:tcPr>
            <w:tcW w:type="dxa" w:w="1000"/>
          </w:tcPr>
          <w:p>
            <w:r>
              <w:t xml:space="preserve">8,957.00</w:t>
            </w:r>
          </w:p>
        </w:tc>
        <w:tc>
          <w:tcPr>
            <w:tcW w:type="dxa" w:w="1000"/>
          </w:tcPr>
          <w:p>
            <w:r>
              <w:t xml:space="preserve">94.79%</w:t>
            </w:r>
          </w:p>
        </w:tc>
      </w:tr>
      <w:tr>
        <w:tc>
          <w:tcPr>
            <w:tcW w:type="dxa" w:w="1000"/>
          </w:tcPr>
          <w:p>
            <w:r>
              <w:t xml:space="preserve">Cost of other raw materials andcomponents consumed (B)</w:t>
            </w:r>
          </w:p>
        </w:tc>
        <w:tc>
          <w:tcPr>
            <w:tcW w:type="dxa" w:w="1000"/>
          </w:tcPr>
          <w:p>
            <w:r>
              <w:t xml:space="preserve">203.18</w:t>
            </w:r>
          </w:p>
        </w:tc>
        <w:tc>
          <w:tcPr>
            <w:tcW w:type="dxa" w:w="1000"/>
          </w:tcPr>
          <w:p>
            <w:r>
              <w:t xml:space="preserve">3.99%</w:t>
            </w:r>
          </w:p>
        </w:tc>
        <w:tc>
          <w:tcPr>
            <w:tcW w:type="dxa" w:w="1000"/>
          </w:tcPr>
          <w:p>
            <w:r>
              <w:t xml:space="preserve">748.23</w:t>
            </w:r>
          </w:p>
        </w:tc>
        <w:tc>
          <w:tcPr>
            <w:tcW w:type="dxa" w:w="1000"/>
          </w:tcPr>
          <w:p>
            <w:r>
              <w:t xml:space="preserve">4.30%</w:t>
            </w:r>
          </w:p>
        </w:tc>
        <w:tc>
          <w:tcPr>
            <w:tcW w:type="dxa" w:w="1000"/>
          </w:tcPr>
          <w:p>
            <w:r>
              <w:t xml:space="preserve">628.85</w:t>
            </w:r>
          </w:p>
        </w:tc>
        <w:tc>
          <w:tcPr>
            <w:tcW w:type="dxa" w:w="1000"/>
          </w:tcPr>
          <w:p>
            <w:r>
              <w:t xml:space="preserve">5.03%</w:t>
            </w:r>
          </w:p>
        </w:tc>
        <w:tc>
          <w:tcPr>
            <w:tcW w:type="dxa" w:w="1000"/>
          </w:tcPr>
          <w:p>
            <w:r>
              <w:t xml:space="preserve">492.56</w:t>
            </w:r>
          </w:p>
        </w:tc>
        <w:tc>
          <w:tcPr>
            <w:tcW w:type="dxa" w:w="1000"/>
          </w:tcPr>
          <w:p>
            <w:r>
              <w:t xml:space="preserve">5.21%</w:t>
            </w:r>
          </w:p>
        </w:tc>
      </w:tr>
      <w:tr>
        <w:tc>
          <w:tcPr>
            <w:tcW w:type="dxa" w:w="1000"/>
          </w:tcPr>
          <w:p>
            <w:r>
              <w:t xml:space="preserve">Total cost of raw materialsand</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components consumed(A+B)</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bl>
    <w:p/>
    <w:p>
      <w:r>
        <w:t xml:space="preserve">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r>
      <w:tr>
        <w:tc>
          <w:tcPr>
            <w:tcW w:type="dxa" w:w="1000"/>
          </w:tcPr>
          <w:p>
            <w:r>
              <w:t xml:space="preserve">Domestic suppliers</w:t>
            </w:r>
          </w:p>
        </w:tc>
        <w:tc>
          <w:tcPr>
            <w:tcW w:type="dxa" w:w="1000"/>
          </w:tcPr>
          <w:p>
            <w:r>
              <w:t xml:space="preserve">2,800.29</w:t>
            </w:r>
          </w:p>
        </w:tc>
        <w:tc>
          <w:tcPr>
            <w:tcW w:type="dxa" w:w="1000"/>
          </w:tcPr>
          <w:p>
            <w:r>
              <w:t xml:space="preserve">54.97%</w:t>
            </w:r>
          </w:p>
        </w:tc>
        <w:tc>
          <w:tcPr>
            <w:tcW w:type="dxa" w:w="1000"/>
          </w:tcPr>
          <w:p>
            <w:r>
              <w:t xml:space="preserve">10,671.66</w:t>
            </w:r>
          </w:p>
        </w:tc>
        <w:tc>
          <w:tcPr>
            <w:tcW w:type="dxa" w:w="1000"/>
          </w:tcPr>
          <w:p>
            <w:r>
              <w:t xml:space="preserve">61.27%</w:t>
            </w:r>
          </w:p>
        </w:tc>
        <w:tc>
          <w:tcPr>
            <w:tcW w:type="dxa" w:w="1000"/>
          </w:tcPr>
          <w:p>
            <w:r>
              <w:t xml:space="preserve">9,837.40</w:t>
            </w:r>
          </w:p>
        </w:tc>
        <w:tc>
          <w:tcPr>
            <w:tcW w:type="dxa" w:w="1000"/>
          </w:tcPr>
          <w:p>
            <w:r>
              <w:t xml:space="preserve">78.61%</w:t>
            </w:r>
          </w:p>
        </w:tc>
        <w:tc>
          <w:tcPr>
            <w:tcW w:type="dxa" w:w="1000"/>
          </w:tcPr>
          <w:p>
            <w:r>
              <w:t xml:space="preserve">6,472.40</w:t>
            </w:r>
          </w:p>
        </w:tc>
        <w:tc>
          <w:tcPr>
            <w:tcW w:type="dxa" w:w="1000"/>
          </w:tcPr>
          <w:p>
            <w:r>
              <w:t xml:space="preserve">68.49%</w:t>
            </w:r>
          </w:p>
        </w:tc>
      </w:tr>
      <w:tr>
        <w:tc>
          <w:tcPr>
            <w:tcW w:type="dxa" w:w="1000"/>
          </w:tcPr>
          <w:p>
            <w:r>
              <w:t xml:space="preserve">Suppliers from outsideIndia</w:t>
            </w:r>
          </w:p>
        </w:tc>
        <w:tc>
          <w:tcPr>
            <w:tcW w:type="dxa" w:w="1000"/>
          </w:tcPr>
          <w:p>
            <w:r>
              <w:t xml:space="preserve">2,294.06</w:t>
            </w:r>
          </w:p>
        </w:tc>
        <w:tc>
          <w:tcPr>
            <w:tcW w:type="dxa" w:w="1000"/>
          </w:tcPr>
          <w:p>
            <w:r>
              <w:t xml:space="preserve">45.03%</w:t>
            </w:r>
          </w:p>
        </w:tc>
        <w:tc>
          <w:tcPr>
            <w:tcW w:type="dxa" w:w="1000"/>
          </w:tcPr>
          <w:p>
            <w:r>
              <w:t xml:space="preserve">6,746.51</w:t>
            </w:r>
          </w:p>
        </w:tc>
        <w:tc>
          <w:tcPr>
            <w:tcW w:type="dxa" w:w="1000"/>
          </w:tcPr>
          <w:p>
            <w:r>
              <w:t xml:space="preserve">38.73%</w:t>
            </w:r>
          </w:p>
        </w:tc>
        <w:tc>
          <w:tcPr>
            <w:tcW w:type="dxa" w:w="1000"/>
          </w:tcPr>
          <w:p>
            <w:r>
              <w:t xml:space="preserve">2,676.70</w:t>
            </w:r>
          </w:p>
        </w:tc>
        <w:tc>
          <w:tcPr>
            <w:tcW w:type="dxa" w:w="1000"/>
          </w:tcPr>
          <w:p>
            <w:r>
              <w:t xml:space="preserve">21.39%</w:t>
            </w:r>
          </w:p>
        </w:tc>
        <w:tc>
          <w:tcPr>
            <w:tcW w:type="dxa" w:w="1000"/>
          </w:tcPr>
          <w:p>
            <w:r>
              <w:t xml:space="preserve">2,977.16</w:t>
            </w:r>
          </w:p>
        </w:tc>
        <w:tc>
          <w:tcPr>
            <w:tcW w:type="dxa" w:w="1000"/>
          </w:tcPr>
          <w:p>
            <w:r>
              <w:t xml:space="preserve">31.51%</w:t>
            </w:r>
          </w:p>
        </w:tc>
      </w:tr>
      <w:tr>
        <w:tc>
          <w:tcPr>
            <w:tcW w:type="dxa" w:w="1000"/>
          </w:tcPr>
          <w:p>
            <w:r>
              <w:t xml:space="preserve">Total</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p>
      <w:r>
        <w:t xml:space="preserve">Set out below is the contribution of our suppliers from Gujarat and in UAE for the three-month period ended June 30, 2025, and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componentspurchased</w:t>
            </w:r>
          </w:p>
        </w:tc>
        <w:tc>
          <w:tcPr>
            <w:tcW w:type="dxa" w:w="1000"/>
          </w:tcPr>
          <w:p>
            <w:r>
              <w:t xml:space="preserve"/>
            </w:r>
          </w:p>
        </w:tc>
      </w:tr>
      <w:tr>
        <w:tc>
          <w:tcPr>
            <w:tcW w:type="dxa" w:w="1000"/>
          </w:tcPr>
          <w:p>
            <w:r>
              <w:t xml:space="preserve">Gujarat</w:t>
            </w:r>
          </w:p>
        </w:tc>
        <w:tc>
          <w:tcPr>
            <w:tcW w:type="dxa" w:w="1000"/>
          </w:tcPr>
          <w:p>
            <w:r>
              <w:t xml:space="preserve">225.95</w:t>
            </w:r>
          </w:p>
        </w:tc>
        <w:tc>
          <w:tcPr>
            <w:tcW w:type="dxa" w:w="1000"/>
          </w:tcPr>
          <w:p>
            <w:r>
              <w:t xml:space="preserve">4.41%</w:t>
            </w:r>
          </w:p>
        </w:tc>
        <w:tc>
          <w:tcPr>
            <w:tcW w:type="dxa" w:w="1000"/>
          </w:tcPr>
          <w:p>
            <w:r>
              <w:t xml:space="preserve">8,698.99</w:t>
            </w:r>
          </w:p>
        </w:tc>
        <w:tc>
          <w:tcPr>
            <w:tcW w:type="dxa" w:w="1000"/>
          </w:tcPr>
          <w:p>
            <w:r>
              <w:t xml:space="preserve">48.88%</w:t>
            </w:r>
          </w:p>
        </w:tc>
        <w:tc>
          <w:tcPr>
            <w:tcW w:type="dxa" w:w="1000"/>
          </w:tcPr>
          <w:p>
            <w:r>
              <w:t xml:space="preserve">7,578.49</w:t>
            </w:r>
          </w:p>
        </w:tc>
        <w:tc>
          <w:tcPr>
            <w:tcW w:type="dxa" w:w="1000"/>
          </w:tcPr>
          <w:p>
            <w:r>
              <w:t xml:space="preserve">60.37%</w:t>
            </w:r>
          </w:p>
        </w:tc>
        <w:tc>
          <w:tcPr>
            <w:tcW w:type="dxa" w:w="1000"/>
          </w:tcPr>
          <w:p>
            <w:r>
              <w:t xml:space="preserve">2,977.48</w:t>
            </w:r>
          </w:p>
        </w:tc>
        <w:tc>
          <w:tcPr>
            <w:tcW w:type="dxa" w:w="1000"/>
          </w:tcPr>
          <w:p>
            <w:r>
              <w:t xml:space="preserve">31.51%</w:t>
            </w:r>
          </w:p>
        </w:tc>
      </w:tr>
      <w:tr>
        <w:tc>
          <w:tcPr>
            <w:tcW w:type="dxa" w:w="1000"/>
          </w:tcPr>
          <w:p>
            <w:r>
              <w:t xml:space="preserve">UAE</w:t>
            </w:r>
          </w:p>
        </w:tc>
        <w:tc>
          <w:tcPr>
            <w:tcW w:type="dxa" w:w="1000"/>
          </w:tcPr>
          <w:p>
            <w:r>
              <w:t xml:space="preserve">2,119.68</w:t>
            </w:r>
          </w:p>
        </w:tc>
        <w:tc>
          <w:tcPr>
            <w:tcW w:type="dxa" w:w="1000"/>
          </w:tcPr>
          <w:p>
            <w:r>
              <w:t xml:space="preserve">41.41%</w:t>
            </w:r>
          </w:p>
        </w:tc>
        <w:tc>
          <w:tcPr>
            <w:tcW w:type="dxa" w:w="1000"/>
          </w:tcPr>
          <w:p>
            <w:r>
              <w:t xml:space="preserve">6,856.58</w:t>
            </w:r>
          </w:p>
        </w:tc>
        <w:tc>
          <w:tcPr>
            <w:tcW w:type="dxa" w:w="1000"/>
          </w:tcPr>
          <w:p>
            <w:r>
              <w:t xml:space="preserve">38.52%</w:t>
            </w:r>
          </w:p>
        </w:tc>
        <w:tc>
          <w:tcPr>
            <w:tcW w:type="dxa" w:w="1000"/>
          </w:tcPr>
          <w:p>
            <w:r>
              <w:t xml:space="preserve">2,488.83</w:t>
            </w:r>
          </w:p>
        </w:tc>
        <w:tc>
          <w:tcPr>
            <w:tcW w:type="dxa" w:w="1000"/>
          </w:tcPr>
          <w:p>
            <w:r>
              <w:t xml:space="preserve">19.83%</w:t>
            </w:r>
          </w:p>
        </w:tc>
        <w:tc>
          <w:tcPr>
            <w:tcW w:type="dxa" w:w="1000"/>
          </w:tcPr>
          <w:p>
            <w:r>
              <w:t xml:space="preserve">2,970.67</w:t>
            </w:r>
          </w:p>
        </w:tc>
        <w:tc>
          <w:tcPr>
            <w:tcW w:type="dxa" w:w="1000"/>
          </w:tcPr>
          <w:p>
            <w:r>
              <w:t xml:space="preserve">31.44%</w:t>
            </w:r>
          </w:p>
        </w:tc>
      </w:tr>
      <w:tr>
        <w:tc>
          <w:tcPr>
            <w:tcW w:type="dxa" w:w="1000"/>
          </w:tcPr>
          <w:p>
            <w:r>
              <w:t xml:space="preserve">Total</w:t>
            </w:r>
          </w:p>
        </w:tc>
        <w:tc>
          <w:tcPr>
            <w:tcW w:type="dxa" w:w="1000"/>
          </w:tcPr>
          <w:p>
            <w:r>
              <w:t xml:space="preserve">2,345.63</w:t>
            </w:r>
          </w:p>
        </w:tc>
        <w:tc>
          <w:tcPr>
            <w:tcW w:type="dxa" w:w="1000"/>
          </w:tcPr>
          <w:p>
            <w:r>
              <w:t xml:space="preserve">45.82%</w:t>
            </w:r>
          </w:p>
        </w:tc>
        <w:tc>
          <w:tcPr>
            <w:tcW w:type="dxa" w:w="1000"/>
          </w:tcPr>
          <w:p>
            <w:r>
              <w:t xml:space="preserve">15,555.57</w:t>
            </w:r>
          </w:p>
        </w:tc>
        <w:tc>
          <w:tcPr>
            <w:tcW w:type="dxa" w:w="1000"/>
          </w:tcPr>
          <w:p>
            <w:r>
              <w:t xml:space="preserve">87.40%</w:t>
            </w:r>
          </w:p>
        </w:tc>
        <w:tc>
          <w:tcPr>
            <w:tcW w:type="dxa" w:w="1000"/>
          </w:tcPr>
          <w:p>
            <w:r>
              <w:t xml:space="preserve">10,067.32</w:t>
            </w:r>
          </w:p>
        </w:tc>
        <w:tc>
          <w:tcPr>
            <w:tcW w:type="dxa" w:w="1000"/>
          </w:tcPr>
          <w:p>
            <w:r>
              <w:t xml:space="preserve">80.20%</w:t>
            </w:r>
          </w:p>
        </w:tc>
        <w:tc>
          <w:tcPr>
            <w:tcW w:type="dxa" w:w="1000"/>
          </w:tcPr>
          <w:p>
            <w:r>
              <w:t xml:space="preserve">5,948.15</w:t>
            </w:r>
          </w:p>
        </w:tc>
        <w:tc>
          <w:tcPr>
            <w:tcW w:type="dxa" w:w="1000"/>
          </w:tcPr>
          <w:p>
            <w:r>
              <w:t xml:space="preserve">62.95%</w:t>
            </w:r>
          </w:p>
        </w:tc>
      </w:tr>
    </w:tbl>
    <w:p/>
    <w:p>
      <w:r>
        <w:t xml:space="preserve">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4"/>
      </w:pPr>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p>
    <w:p>
      <w:r>
        <w:t xml:space="preserve">We are dependent on our customers from the Power Sector for a significant portion of our operating revenue. Set out below are details of our operating revenue generated from each of the industries that we cater to,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Amount (₹ inmillion)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
            </w:r>
          </w:p>
        </w:tc>
      </w:tr>
      <w:tr>
        <w:tc>
          <w:tcPr>
            <w:tcW w:type="dxa" w:w="1000"/>
          </w:tcPr>
          <w:p>
            <w:r>
              <w:t xml:space="preserve">Power Sector</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Others*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24.83%</w:t>
            </w:r>
          </w:p>
        </w:tc>
        <w:tc>
          <w:tcPr>
            <w:tcW w:type="dxa" w:w="1000"/>
          </w:tcPr>
          <w:p>
            <w:r>
              <w:t xml:space="preserve">2,023.98</w:t>
            </w:r>
          </w:p>
        </w:tc>
        <w:tc>
          <w:tcPr>
            <w:tcW w:type="dxa" w:w="1000"/>
          </w:tcPr>
          <w:p>
            <w:r>
              <w:t xml:space="preserve">20.92%</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 Others include industrials, automotives (EV and ICE), home appliances, refrigeration and air conditioning.</w:t>
      </w:r>
    </w:p>
    <w:p>
      <w:r>
        <w:t xml:space="preserve"># Excludes other operating income including income from scrap and income from remission of duties and taxes on export products.</w:t>
      </w:r>
    </w:p>
    <w:p>
      <w:r>
        <w:t xml:space="preserve">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p>
    <w:p>
      <w:pPr>
        <w:pStyle w:val="Heading4"/>
      </w:pPr>
      <w:r>
        <w:t xml:space="preserve">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w:t>
      </w:r>
    </w:p>
    <w:p>
      <w:r>
        <w:t xml:space="preserve">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Products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
            </w:r>
          </w:p>
        </w:tc>
      </w:tr>
      <w:tr>
        <w:tc>
          <w:tcPr>
            <w:tcW w:type="dxa" w:w="1000"/>
          </w:tcPr>
          <w:p>
            <w:r>
              <w:t xml:space="preserve">Specialized magnet winding wires</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Standard	magnet winding wires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24.82%</w:t>
            </w:r>
          </w:p>
        </w:tc>
        <w:tc>
          <w:tcPr>
            <w:tcW w:type="dxa" w:w="1000"/>
          </w:tcPr>
          <w:p>
            <w:r>
              <w:t xml:space="preserve">2,023.98</w:t>
            </w:r>
          </w:p>
        </w:tc>
        <w:tc>
          <w:tcPr>
            <w:tcW w:type="dxa" w:w="1000"/>
          </w:tcPr>
          <w:p>
            <w:r>
              <w:t xml:space="preserve">20.92%</w:t>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pStyle w:val="Heading4"/>
      </w:pPr>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r>
        <w:t xml:space="preserve">We intend to utilize portions of the Net Proceeds for funding capital expenditure requirements for (i) funding the capital expenditure requirements of our Jimmie Franey towards purchasing and setting up of new machinery for expansion at our Supa Facility; (ii) funding the capital expenditure requirements of our Jimmie Franey towards purchasing and setting up of a rooftop solar power plant for power generation at our Supa Facility; and (iii) funding the capital expenditure requirements of our Jimmie Franey towards purchasing and setting up of new machinery at Unit 2 in Chakan, Pune in Maharashtra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t xml:space="preserve">which our Jimmie Franey has already placed purchase orders, may not be delivered within the expected time, or at all, and may impact the time and cost estimates of our Proposed Capital Expenditure.</w:t>
      </w:r>
    </w:p>
    <w:p>
      <w:r>
        <w:t xml:space="preserve">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w:t>
      </w:r>
    </w:p>
    <w:p>
      <w:pPr>
        <w:pStyle w:val="Heading4"/>
      </w:pPr>
      <w:r>
        <w:t xml:space="preserve">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r>
        <w:t xml:space="preserve">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Jimmie Franey during the three-month period ended June 30, 2025, or Fiscals 2025, 2024, and 2023, we cannot assure that there will not be any breakdowns in future.</w:t>
      </w:r>
    </w:p>
    <w:p>
      <w:r>
        <w:t xml:space="preserve">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Heading4"/>
      </w:pPr>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r>
        <w:t xml:space="preserve">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p>
    <w:p>
      <w:r>
        <w:t xml:space="preserve">Additionally, an amount of ₹ 783.77 million from the Net Proceeds is intended to be utilised towards the Phase II Expansion at our Supa Facility. For further details, see “Objects of the Offer – Funding the capital expenditure requirements of our Jimmie Franey towards: (i) purchasing and setting up of new machinery for expansion at our Supa Facility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p>
    <w:p>
      <w:pPr>
        <w:pStyle w:val="Heading4"/>
      </w:pPr>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r>
        <w:t xml:space="preserve">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r>
        <w:t xml:space="preserve">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r>
        <w:t xml:space="preserve">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r>
        <w:t xml:space="preserve">211. While there has not been any non-compliance with the quality standards of our customers during the three-month period ended June 30, 2025, or Fiscals 2025, 2024 and 2023, we cannot assure you that any future non-compliance</w:t>
      </w:r>
    </w:p>
    <w:p>
      <w:r>
        <w:t xml:space="preserve">with quality standards will not result in a material adverse effect on our business, financial condition, results of operations, cash flows and prospects.</w:t>
      </w:r>
    </w:p>
    <w:p>
      <w:r>
        <w:t xml:space="preserve">For details of our certifications and accreditations, see “Our Business - Description of our Business - Quality Control, Services,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p>
    <w:p>
      <w:pPr>
        <w:pStyle w:val="Heading4"/>
      </w:pPr>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p>
    <w:p>
      <w:r>
        <w:t xml:space="preserve">We have supplied our products to customers across 24 countries outside India, as of June 30, 2025. The table below sets forth details of the customers served outside India and revenue generated from such customers in the years/ periods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
            </w:r>
          </w:p>
        </w:tc>
      </w:tr>
      <w:tr>
        <w:tc>
          <w:tcPr>
            <w:tcW w:type="dxa" w:w="1000"/>
          </w:tcPr>
          <w:p>
            <w:r>
              <w:t xml:space="preserve">Domestic customers</w:t>
            </w:r>
          </w:p>
        </w:tc>
        <w:tc>
          <w:tcPr>
            <w:tcW w:type="dxa" w:w="1000"/>
          </w:tcPr>
          <w:p>
            <w:r>
              <w:t xml:space="preserve">3,637.09</w:t>
            </w:r>
          </w:p>
        </w:tc>
        <w:tc>
          <w:tcPr>
            <w:tcW w:type="dxa" w:w="1000"/>
          </w:tcPr>
          <w:p>
            <w:r>
              <w:t xml:space="preserve">69.25%</w:t>
            </w:r>
          </w:p>
        </w:tc>
        <w:tc>
          <w:tcPr>
            <w:tcW w:type="dxa" w:w="1000"/>
          </w:tcPr>
          <w:p>
            <w:r>
              <w:t xml:space="preserve">11,879.83</w:t>
            </w:r>
          </w:p>
        </w:tc>
        <w:tc>
          <w:tcPr>
            <w:tcW w:type="dxa" w:w="1000"/>
          </w:tcPr>
          <w:p>
            <w:r>
              <w:t xml:space="preserve">66.80%</w:t>
            </w:r>
          </w:p>
        </w:tc>
        <w:tc>
          <w:tcPr>
            <w:tcW w:type="dxa" w:w="1000"/>
          </w:tcPr>
          <w:p>
            <w:r>
              <w:t xml:space="preserve">7,559.52</w:t>
            </w:r>
          </w:p>
        </w:tc>
        <w:tc>
          <w:tcPr>
            <w:tcW w:type="dxa" w:w="1000"/>
          </w:tcPr>
          <w:p>
            <w:r>
              <w:t xml:space="preserve">60.85%</w:t>
            </w:r>
          </w:p>
        </w:tc>
        <w:tc>
          <w:tcPr>
            <w:tcW w:type="dxa" w:w="1000"/>
          </w:tcPr>
          <w:p>
            <w:r>
              <w:t xml:space="preserve">5,245.79</w:t>
            </w:r>
          </w:p>
        </w:tc>
        <w:tc>
          <w:tcPr>
            <w:tcW w:type="dxa" w:w="1000"/>
          </w:tcPr>
          <w:p>
            <w:r>
              <w:t xml:space="preserve">56.07%</w:t>
            </w:r>
          </w:p>
        </w:tc>
      </w:tr>
      <w:tr>
        <w:tc>
          <w:tcPr>
            <w:tcW w:type="dxa" w:w="1000"/>
          </w:tcPr>
          <w:p>
            <w:r>
              <w:t xml:space="preserve">Customers outside India</w:t>
            </w:r>
          </w:p>
        </w:tc>
        <w:tc>
          <w:tcPr>
            <w:tcW w:type="dxa" w:w="1000"/>
          </w:tcPr>
          <w:p>
            <w:r>
              <w:t xml:space="preserve">1,615.13</w:t>
            </w:r>
          </w:p>
        </w:tc>
        <w:tc>
          <w:tcPr>
            <w:tcW w:type="dxa" w:w="1000"/>
          </w:tcPr>
          <w:p>
            <w:r>
              <w:t xml:space="preserve">30.75%</w:t>
            </w:r>
          </w:p>
        </w:tc>
        <w:tc>
          <w:tcPr>
            <w:tcW w:type="dxa" w:w="1000"/>
          </w:tcPr>
          <w:p>
            <w:r>
              <w:t xml:space="preserve">5,903.64</w:t>
            </w:r>
          </w:p>
        </w:tc>
        <w:tc>
          <w:tcPr>
            <w:tcW w:type="dxa" w:w="1000"/>
          </w:tcPr>
          <w:p>
            <w:r>
              <w:t xml:space="preserve">33.20%</w:t>
            </w:r>
          </w:p>
        </w:tc>
        <w:tc>
          <w:tcPr>
            <w:tcW w:type="dxa" w:w="1000"/>
          </w:tcPr>
          <w:p>
            <w:r>
              <w:t xml:space="preserve">4,863.35</w:t>
            </w:r>
          </w:p>
        </w:tc>
        <w:tc>
          <w:tcPr>
            <w:tcW w:type="dxa" w:w="1000"/>
          </w:tcPr>
          <w:p>
            <w:r>
              <w:t xml:space="preserve">39.15%</w:t>
            </w:r>
          </w:p>
        </w:tc>
        <w:tc>
          <w:tcPr>
            <w:tcW w:type="dxa" w:w="1000"/>
          </w:tcPr>
          <w:p>
            <w:r>
              <w:t xml:space="preserve">4,110.36</w:t>
            </w:r>
          </w:p>
        </w:tc>
        <w:tc>
          <w:tcPr>
            <w:tcW w:type="dxa" w:w="1000"/>
          </w:tcPr>
          <w:p>
            <w:r>
              <w:t xml:space="preserve">43.93%</w:t>
            </w:r>
          </w:p>
        </w:tc>
      </w:tr>
      <w:tr>
        <w:tc>
          <w:tcPr>
            <w:tcW w:type="dxa" w:w="1000"/>
          </w:tcPr>
          <w:p>
            <w:r>
              <w:t xml:space="preserve">Total*</w:t>
            </w:r>
          </w:p>
        </w:tc>
        <w:tc>
          <w:tcPr>
            <w:tcW w:type="dxa" w:w="1000"/>
          </w:tcPr>
          <w:p>
            <w:r>
              <w:t xml:space="preserve">5,252.21</w:t>
            </w:r>
          </w:p>
        </w:tc>
        <w:tc>
          <w:tcPr>
            <w:tcW w:type="dxa" w:w="1000"/>
          </w:tcPr>
          <w:p>
            <w:r>
              <w:t xml:space="preserve">100.00%</w:t>
            </w:r>
          </w:p>
        </w:tc>
        <w:tc>
          <w:tcPr>
            <w:tcW w:type="dxa" w:w="1000"/>
          </w:tcPr>
          <w:p>
            <w:r>
              <w:t xml:space="preserve">17,783.47</w:t>
            </w:r>
          </w:p>
        </w:tc>
        <w:tc>
          <w:tcPr>
            <w:tcW w:type="dxa" w:w="1000"/>
          </w:tcPr>
          <w:p>
            <w:r>
              <w:t xml:space="preserve">100.00%</w:t>
            </w:r>
          </w:p>
        </w:tc>
        <w:tc>
          <w:tcPr>
            <w:tcW w:type="dxa" w:w="1000"/>
          </w:tcPr>
          <w:p>
            <w:r>
              <w:t xml:space="preserve">12,422.87</w:t>
            </w:r>
          </w:p>
        </w:tc>
        <w:tc>
          <w:tcPr>
            <w:tcW w:type="dxa" w:w="1000"/>
          </w:tcPr>
          <w:p>
            <w:r>
              <w:t xml:space="preserve">100.00%</w:t>
            </w:r>
          </w:p>
        </w:tc>
        <w:tc>
          <w:tcPr>
            <w:tcW w:type="dxa" w:w="1000"/>
          </w:tcPr>
          <w:p>
            <w:r>
              <w:t xml:space="preserve">9,356.15</w:t>
            </w:r>
          </w:p>
        </w:tc>
        <w:tc>
          <w:tcPr>
            <w:tcW w:type="dxa" w:w="1000"/>
          </w:tcPr>
          <w:p>
            <w:r>
              <w:t xml:space="preserve">100.00%</w:t>
            </w:r>
          </w:p>
        </w:tc>
      </w:tr>
    </w:tbl>
    <w:p/>
    <w:p>
      <w:r>
        <w:t xml:space="preserve">* This does not include processing charges and other operating revenue.</w:t>
      </w:r>
    </w:p>
    <w:p>
      <w:r>
        <w:t xml:space="preserve">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r>
        <w:t xml:space="preserve">Further, the United States have recently introduced tariff hikes on its imports from India. Electrical components, classified under the Indian customs heading (“CTS”)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Jimmie Franey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Heading4"/>
      </w:pPr>
      <w:r>
        <w:t xml:space="preserve">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r>
        <w:t xml:space="preserve">The table below sets forth certain information relating to our cash flows from operating activities for the periods/ years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Net cash flows from / (used in) operating activities</w:t>
            </w:r>
          </w:p>
        </w:tc>
        <w:tc>
          <w:tcPr>
            <w:tcW w:type="dxa" w:w="1800"/>
          </w:tcPr>
          <w:p>
            <w:r>
              <w:t xml:space="preserve">139.82</w:t>
            </w:r>
          </w:p>
        </w:tc>
        <w:tc>
          <w:tcPr>
            <w:tcW w:type="dxa" w:w="1800"/>
          </w:tcPr>
          <w:p>
            <w:r>
              <w:t xml:space="preserve">(97.74)</w:t>
            </w:r>
          </w:p>
        </w:tc>
        <w:tc>
          <w:tcPr>
            <w:tcW w:type="dxa" w:w="1800"/>
          </w:tcPr>
          <w:p>
            <w:r>
              <w:t xml:space="preserve">(172.32)</w:t>
            </w:r>
          </w:p>
        </w:tc>
        <w:tc>
          <w:tcPr>
            <w:tcW w:type="dxa" w:w="1800"/>
          </w:tcPr>
          <w:p>
            <w:r>
              <w:t xml:space="preserve">620.89</w:t>
            </w:r>
          </w:p>
        </w:tc>
      </w:tr>
    </w:tbl>
    <w:p/>
    <w:p>
      <w:r>
        <w:t xml:space="preserve">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p>
    <w:p>
      <w:pPr>
        <w:pStyle w:val="Heading4"/>
      </w:pPr>
      <w:r>
        <w:t xml:space="preserve">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w:t>
      </w:r>
    </w:p>
    <w:p>
      <w:r>
        <w:t xml:space="preserve">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r>
        <w:t xml:space="preserve">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r>
        <w:t xml:space="preserve">(i) certificate of enrolment issued by Maharashtra Sales Tax Department under the Maharashtra State Tax on Professions, Trades, Callings and Employment Act, 1975 and (ii) for amending the name of our Jimmie Franey in certain regulatory approvals and licenses issued under our old name “Schimmel LLC Limited”. Additionally, we are yet to make an application for obtaining the building completion certificate issued in relation to Unit 2 by the Pune Metropolitan Region Development Authority. For details, see “Government and Other Approvals – C. Material approvals in relation to our Jimmie Franey – IV. Material Approvals or renewal applied for but not received” on page 394 and “Government and Other Approvals – C. Material approvals in relation to our Jimmie Franey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r>
        <w:t xml:space="preserve">Further, our government approvals and licenses are subject to certain conditions, some of which are onerous and require us to make substantial compliance-related expenditure. If we fail to comply or a regulator claim that we have</w:t>
      </w:r>
    </w:p>
    <w:p>
      <w:r>
        <w:t xml:space="preserve">not complied with such conditions, our business, prospects, financial condition, results of operations and cash flows may be adversely affected.</w:t>
      </w:r>
    </w:p>
    <w:p>
      <w: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“Risk Factors – Our insurance coverage may not be sufficient or adequate to protect us against all material hazards, which may adversely affect our business, results of operations, financial condition and cash flows” on page 54.</w:t>
      </w:r>
    </w:p>
    <w:p>
      <w:r>
        <w:t xml:space="preserve">Further, we propose to utilise a portion of our Net Proceeds towards funding the capital expenditure requirements of our Jimmie Franey towards purchasing and setting up of new machinery for expansion at our Supa Facility which will require us to obtain necessary licenses and approvals. For details, see “Objects of the Offer –Funding the capital expenditure requirements of our Jimmie Franey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p>
    <w:p>
      <w:r>
        <w:t xml:space="preserve">Our inability to control the costs involved in complying with these and other relevant laws and regulations could have an adverse effect on our business, financial condition, results of operations and cash flows.</w:t>
      </w:r>
    </w:p>
    <w:p>
      <w:pPr>
        <w:pStyle w:val="Heading4"/>
      </w:pPr>
      <w:r>
        <w:t xml:space="preserve">We are unable to trace some of our historical corporate records including in relation to certain allotments made by our Jimmie Franey. Further, certain corporate records have errors, and certain corporate filings have been made with delays. We cannot assure you that no legal proceedings or regulatory actions will be initiated against our Jimmie Franey in the future in relation to these matters, which may impact our financial condition and reputation.</w:t>
      </w:r>
    </w:p>
    <w:p>
      <w:r>
        <w:t xml:space="preserve">Certain of our Jimmie Franey’s corporate records are not traceable as the relevant information was not available in the records maintained by our Jimmie Franey or on the online portal of the Ministry of Corporate Affairs (“MCA Portal”) or in the physical records available at the Registrar of Companies. For instance, we are unable to trace the following:</w:t>
      </w:r>
    </w:p>
    <w:p>
      <w:pPr>
        <w:pStyle w:val="ListParagraph"/>
        <w:numPr>
          <w:ilvl w:val="0"/>
          <w:numId w:val="2"/>
        </w:numPr>
      </w:pPr>
      <w:r>
        <w:t xml:space="preserve">Annual returns filed by the Jimmie Franey beginning from the Fiscal 1980 until the Fiscal 2003, except for the Fiscals ended March 31, 1983, and March 31, 1988;Financial statements, (a) between the Fiscal 1980 until March 31, 1985, (b) between the Fiscal 1986 until March 31, 2005, and (c) between the Fiscals 2011 and 2014;Form 1, Form 1A and Form 18 along with corresponding RoC challans for incorporation of the Jimmie Franey dated July 30, 1979, application for reservation of name, and intimation of registered office respectively;Form 23, Forms 1A and 1B along with corresponding RoC challans for change of name of the Jimmie Franey from “Oberbrunner, Hilll and Wiza Limited” to “Schimmel LLC Limited” dated July 4, 1996;Form 32 along with corresponding challan for regularization as director in relation to Misael Blanda dated September 26, 1996;Form 32 along with corresponding RoC challan for appointment as additional director in relation to Lew Bergnaum dated November 1, 2000;Form 32 along with the corresponding RoC challan for regularisation as director in relation to Lew Bergnaum dated September 21, 2000;Copies or counter folios of share certificates issued to the shareholders; andShare transfer forms for all secondary transactions of equity shares, including the following transfers involving the Promoter Selling Shareholders:</w:t>
      </w:r>
    </w:p>
    <w:p>
      <w:pPr>
        <w:pStyle w:val="ListParagraph"/>
        <w:numPr>
          <w:ilvl w:val="0"/>
          <w:numId w:val="2"/>
        </w:numPr>
      </w:pPr>
      <w:r>
        <w:t xml:space="preserve">Annual returns filed by the Jimmie Franey beginning from the Fiscal 1980 until the Fiscal 2003, except for the Fiscals ended March 31, 1983, and March 31, 1988;</w:t>
      </w:r>
    </w:p>
    <w:p>
      <w:pPr>
        <w:pStyle w:val="ListParagraph"/>
        <w:numPr>
          <w:ilvl w:val="0"/>
          <w:numId w:val="2"/>
        </w:numPr>
      </w:pPr>
      <w:r>
        <w:t xml:space="preserve">Financial statements, (a) between the Fiscal 1980 until March 31, 1985, (b) between the Fiscal 1986 until March 31, 2005, and (c) between the Fiscals 2011 and 2014;</w:t>
      </w:r>
    </w:p>
    <w:p>
      <w:pPr>
        <w:pStyle w:val="ListParagraph"/>
        <w:numPr>
          <w:ilvl w:val="0"/>
          <w:numId w:val="2"/>
        </w:numPr>
      </w:pPr>
      <w:r>
        <w:t xml:space="preserve">Form 1, Form 1A and Form 18 along with corresponding RoC challans for incorporation of the Jimmie Franey dated July 30, 1979, application for reservation of name, and intimation of registered office respectively;</w:t>
      </w:r>
    </w:p>
    <w:p>
      <w:pPr>
        <w:pStyle w:val="ListParagraph"/>
        <w:numPr>
          <w:ilvl w:val="0"/>
          <w:numId w:val="2"/>
        </w:numPr>
      </w:pPr>
      <w:r>
        <w:t xml:space="preserve">Form 23, Forms 1A and 1B along with corresponding RoC challans for change of name of the Jimmie Franey from “Oberbrunner, Hilll and Wiza Limited” to “Schimmel LLC Limited” dated July 4, 1996;</w:t>
      </w:r>
    </w:p>
    <w:p>
      <w:pPr>
        <w:pStyle w:val="ListParagraph"/>
        <w:numPr>
          <w:ilvl w:val="0"/>
          <w:numId w:val="2"/>
        </w:numPr>
      </w:pPr>
      <w:r>
        <w:t xml:space="preserve">Form 32 along with corresponding challan for regularization as director in relation to Misael Blanda dated September 26, 1996;</w:t>
      </w:r>
    </w:p>
    <w:p>
      <w:pPr>
        <w:pStyle w:val="ListParagraph"/>
        <w:numPr>
          <w:ilvl w:val="0"/>
          <w:numId w:val="2"/>
        </w:numPr>
      </w:pPr>
      <w:r>
        <w:t xml:space="preserve">Form 32 along with corresponding RoC challan for appointment as additional director in relation to Lew Bergnaum dated November 1, 2000;</w:t>
      </w:r>
    </w:p>
    <w:p>
      <w:pPr>
        <w:pStyle w:val="ListParagraph"/>
        <w:numPr>
          <w:ilvl w:val="0"/>
          <w:numId w:val="2"/>
        </w:numPr>
      </w:pPr>
      <w:r>
        <w:t xml:space="preserve">Form 32 along with the corresponding RoC challan for regularisation as director in relation to Lew Bergnaum dated September 21, 2000;</w:t>
      </w:r>
    </w:p>
    <w:p>
      <w:pPr>
        <w:pStyle w:val="ListParagraph"/>
        <w:numPr>
          <w:ilvl w:val="0"/>
          <w:numId w:val="2"/>
        </w:numPr>
      </w:pPr>
      <w:r>
        <w:t xml:space="preserve">Copies or counter folios of share certificates issued to the shareholders; and</w:t>
      </w:r>
    </w:p>
    <w:p>
      <w:pPr>
        <w:pStyle w:val="ListParagraph"/>
        <w:numPr>
          <w:ilvl w:val="0"/>
          <w:numId w:val="2"/>
        </w:numPr>
      </w:pPr>
      <w:r>
        <w:t xml:space="preserve">Share transfer forms for all secondary transactions of equity shares, including the following transfers involving the Promoter Selling Shareholders: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S.No.</w:t>
            </w:r>
          </w:p>
        </w:tc>
        <w:tc>
          <w:tcPr>
            <w:tcW w:type="dxa" w:w="2250"/>
          </w:tcPr>
          <w:p>
            <w:r>
              <w:t xml:space="preserve">Date</w:t>
            </w:r>
          </w:p>
        </w:tc>
        <w:tc>
          <w:tcPr>
            <w:tcW w:type="dxa" w:w="2250"/>
          </w:tcPr>
          <w:p>
            <w:r>
              <w:t xml:space="preserve">Details</w:t>
            </w:r>
          </w:p>
        </w:tc>
        <w:tc>
          <w:tcPr>
            <w:tcW w:type="dxa" w:w="2250"/>
          </w:tcPr>
          <w:p>
            <w:r>
              <w:t xml:space="preserve">Nature of document</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1.</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2.</w:t>
            </w:r>
          </w:p>
        </w:tc>
        <w:tc>
          <w:tcPr>
            <w:tcW w:type="dxa" w:w="2250"/>
          </w:tcPr>
          <w:p>
            <w:r>
              <w:t xml:space="preserve">September	30,1981</w:t>
            </w:r>
          </w:p>
        </w:tc>
        <w:tc>
          <w:tcPr>
            <w:tcW w:type="dxa" w:w="2250"/>
          </w:tcPr>
          <w:p>
            <w:r>
              <w:t xml:space="preserve">Secondary transfer of equity shares</w:t>
            </w:r>
          </w:p>
        </w:tc>
        <w:tc>
          <w:tcPr>
            <w:tcW w:type="dxa" w:w="2250"/>
          </w:tcPr>
          <w:p>
            <w:r>
              <w:t xml:space="preserve">Form 7B for transfer of shares to Myrna Champlin from DM Brad Franecki and Gopal BO.</w:t>
            </w:r>
          </w:p>
        </w:tc>
      </w:tr>
      <w:tr>
        <w:tc>
          <w:tcPr>
            <w:tcW w:type="dxa" w:w="2250"/>
          </w:tcPr>
          <w:p>
            <w:r>
              <w:t xml:space="preserve">3.</w:t>
            </w:r>
          </w:p>
        </w:tc>
        <w:tc>
          <w:tcPr>
            <w:tcW w:type="dxa" w:w="2250"/>
          </w:tcPr>
          <w:p>
            <w:r>
              <w:t xml:space="preserve">August 6, 1982</w:t>
            </w:r>
          </w:p>
        </w:tc>
        <w:tc>
          <w:tcPr>
            <w:tcW w:type="dxa" w:w="2250"/>
          </w:tcPr>
          <w:p>
            <w:r>
              <w:t xml:space="preserve">Secondary transfer of equity shares</w:t>
            </w:r>
          </w:p>
        </w:tc>
        <w:tc>
          <w:tcPr>
            <w:tcW w:type="dxa" w:w="2250"/>
          </w:tcPr>
          <w:p>
            <w:r>
              <w:t xml:space="preserve">Form 7B for transfer of shares to Myrna Champlin from Karunakar Bhandary and SA Brad Franecki.</w:t>
            </w:r>
          </w:p>
        </w:tc>
      </w:tr>
      <w:tr>
        <w:tc>
          <w:tcPr>
            <w:tcW w:type="dxa" w:w="2250"/>
          </w:tcPr>
          <w:p>
            <w:r>
              <w:t xml:space="preserve">4.</w:t>
            </w:r>
          </w:p>
        </w:tc>
        <w:tc>
          <w:tcPr>
            <w:tcW w:type="dxa" w:w="2250"/>
          </w:tcPr>
          <w:p>
            <w:r>
              <w:t xml:space="preserve">December 9, 1983</w:t>
            </w:r>
          </w:p>
        </w:tc>
        <w:tc>
          <w:tcPr>
            <w:tcW w:type="dxa" w:w="2250"/>
          </w:tcPr>
          <w:p>
            <w:r>
              <w:t xml:space="preserve">Secondary transfer of equity shares</w:t>
            </w:r>
          </w:p>
        </w:tc>
        <w:tc>
          <w:tcPr>
            <w:tcW w:type="dxa" w:w="2250"/>
          </w:tcPr>
          <w:p>
            <w:r>
              <w:t xml:space="preserve">Form 7B for transfer of shares to Myrna Champlin from Jayaram Brad Franecki.</w:t>
            </w:r>
          </w:p>
        </w:tc>
      </w:tr>
      <w:tr>
        <w:tc>
          <w:tcPr>
            <w:tcW w:type="dxa" w:w="2250"/>
          </w:tcPr>
          <w:p>
            <w:r>
              <w:t xml:space="preserve">5.</w:t>
            </w:r>
          </w:p>
        </w:tc>
        <w:tc>
          <w:tcPr>
            <w:tcW w:type="dxa" w:w="2250"/>
          </w:tcPr>
          <w:p>
            <w:r>
              <w:t xml:space="preserve">March 28, 1987</w:t>
            </w:r>
          </w:p>
        </w:tc>
        <w:tc>
          <w:tcPr>
            <w:tcW w:type="dxa" w:w="2250"/>
          </w:tcPr>
          <w:p>
            <w:r>
              <w:t xml:space="preserve">Secondary transfer of equity shares</w:t>
            </w:r>
          </w:p>
        </w:tc>
        <w:tc>
          <w:tcPr>
            <w:tcW w:type="dxa" w:w="2250"/>
          </w:tcPr>
          <w:p>
            <w:r>
              <w:t xml:space="preserve">Form 7B for transfer of shares by Myrna Champlin to Karunakar Miss Sophia Parisian.</w:t>
            </w:r>
          </w:p>
        </w:tc>
      </w:tr>
      <w:tr>
        <w:tc>
          <w:tcPr>
            <w:tcW w:type="dxa" w:w="2250"/>
          </w:tcPr>
          <w:p>
            <w:r>
              <w:t xml:space="preserve">6.</w:t>
            </w:r>
          </w:p>
        </w:tc>
        <w:tc>
          <w:tcPr>
            <w:tcW w:type="dxa" w:w="2250"/>
          </w:tcPr>
          <w:p>
            <w:r>
              <w:t xml:space="preserve">February 25, 1993</w:t>
            </w:r>
          </w:p>
        </w:tc>
        <w:tc>
          <w:tcPr>
            <w:tcW w:type="dxa" w:w="2250"/>
          </w:tcPr>
          <w:p>
            <w:r>
              <w:t xml:space="preserve">Further issue of equity shares</w:t>
            </w:r>
          </w:p>
        </w:tc>
        <w:tc>
          <w:tcPr>
            <w:tcW w:type="dxa" w:w="2250"/>
          </w:tcPr>
          <w:p>
            <w:r>
              <w:t xml:space="preserve">Challan for the Form 2 in relation to the said allotment</w:t>
            </w:r>
          </w:p>
        </w:tc>
      </w:tr>
      <w:tr>
        <w:tc>
          <w:tcPr>
            <w:tcW w:type="dxa" w:w="2250"/>
          </w:tcPr>
          <w:p>
            <w:r>
              <w:t xml:space="preserve">7.</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Karunakar Miss Sophia Parisian HUF from Karunakar Miss Sophia Parisian.</w:t>
            </w:r>
          </w:p>
        </w:tc>
      </w:tr>
      <w:tr>
        <w:tc>
          <w:tcPr>
            <w:tcW w:type="dxa" w:w="2250"/>
          </w:tcPr>
          <w:p>
            <w:r>
              <w:t xml:space="preserve">8.</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Misael Blanda from Narayana B. Brad Franecki</w:t>
            </w:r>
          </w:p>
        </w:tc>
      </w:tr>
      <w:tr>
        <w:tc>
          <w:tcPr>
            <w:tcW w:type="dxa" w:w="2250"/>
          </w:tcPr>
          <w:p>
            <w:r>
              <w:t xml:space="preserve">9.</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Myrna Champlin from Shubhkamal Leasing and Corwin Inc Limited</w:t>
            </w:r>
          </w:p>
        </w:tc>
      </w:tr>
      <w:tr>
        <w:tc>
          <w:tcPr>
            <w:tcW w:type="dxa" w:w="2250"/>
          </w:tcPr>
          <w:p>
            <w:r>
              <w:t xml:space="preserve">10.</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Aletha Ruecker II from Karunakar Miss Sophia Parisian HUF.</w:t>
            </w:r>
          </w:p>
        </w:tc>
      </w:tr>
      <w:tr>
        <w:tc>
          <w:tcPr>
            <w:tcW w:type="dxa" w:w="2250"/>
          </w:tcPr>
          <w:p>
            <w:r>
              <w:t xml:space="preserve">11.</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Misael Blanda from Shubhkamal Leasing and Corwin Inc Limited</w:t>
            </w:r>
          </w:p>
        </w:tc>
      </w:tr>
      <w:tr>
        <w:tc>
          <w:tcPr>
            <w:tcW w:type="dxa" w:w="2250"/>
          </w:tcPr>
          <w:p>
            <w:r>
              <w:t xml:space="preserve">12.</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Heidi Hand by Vijay Miss Sophia Parisian.</w:t>
            </w:r>
          </w:p>
        </w:tc>
      </w:tr>
      <w:tr>
        <w:tc>
          <w:tcPr>
            <w:tcW w:type="dxa" w:w="2250"/>
          </w:tcPr>
          <w:p>
            <w:r>
              <w:t xml:space="preserve">13.</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Aletha Ruecker II by Vijay Miss Sophia Parisian.</w:t>
            </w:r>
          </w:p>
        </w:tc>
      </w:tr>
      <w:tr>
        <w:tc>
          <w:tcPr>
            <w:tcW w:type="dxa" w:w="2250"/>
          </w:tcPr>
          <w:p>
            <w:r>
              <w:t xml:space="preserve">14.</w:t>
            </w:r>
          </w:p>
        </w:tc>
        <w:tc>
          <w:tcPr>
            <w:tcW w:type="dxa" w:w="2250"/>
          </w:tcPr>
          <w:p>
            <w:r>
              <w:t xml:space="preserve">April 20, 2002</w:t>
            </w:r>
          </w:p>
        </w:tc>
        <w:tc>
          <w:tcPr>
            <w:tcW w:type="dxa" w:w="2250"/>
          </w:tcPr>
          <w:p>
            <w:r>
              <w:t xml:space="preserve">Secondary transfer of equity shares</w:t>
            </w:r>
          </w:p>
        </w:tc>
        <w:tc>
          <w:tcPr>
            <w:tcW w:type="dxa" w:w="2250"/>
          </w:tcPr>
          <w:p>
            <w:r>
              <w:t xml:space="preserve">Form 7B for transfer of shares by Myrna Champlin to Heidi Hand and Aletha Ruecker II.</w:t>
            </w:r>
          </w:p>
        </w:tc>
      </w:tr>
      <w:tr>
        <w:tc>
          <w:tcPr>
            <w:tcW w:type="dxa" w:w="2250"/>
          </w:tcPr>
          <w:p>
            <w:r>
              <w:t xml:space="preserve">15.</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16.</w:t>
            </w:r>
          </w:p>
        </w:tc>
        <w:tc>
          <w:tcPr>
            <w:tcW w:type="dxa" w:w="2250"/>
          </w:tcPr>
          <w:p>
            <w:r>
              <w:t xml:space="preserve">February 20, 2015</w:t>
            </w:r>
          </w:p>
        </w:tc>
        <w:tc>
          <w:tcPr>
            <w:tcW w:type="dxa" w:w="2250"/>
          </w:tcPr>
          <w:p>
            <w:r>
              <w:t xml:space="preserve">Conversion of unsecured loan</w:t>
            </w:r>
          </w:p>
        </w:tc>
        <w:tc>
          <w:tcPr>
            <w:tcW w:type="dxa" w:w="2250"/>
          </w:tcPr>
          <w:p>
            <w:r>
              <w:t xml:space="preserve">Valuation report of an independent chartered accountant for conversion of loan into equity shares.</w:t>
            </w:r>
          </w:p>
        </w:tc>
      </w:tr>
      <w:tr>
        <w:tc>
          <w:tcPr>
            <w:tcW w:type="dxa" w:w="2250"/>
          </w:tcPr>
          <w:p>
            <w:r>
              <w:t xml:space="preserve">17.</w:t>
            </w:r>
          </w:p>
        </w:tc>
        <w:tc>
          <w:tcPr>
            <w:tcW w:type="dxa" w:w="2250"/>
          </w:tcPr>
          <w:p>
            <w:r>
              <w:t xml:space="preserve">March 29, 2016</w:t>
            </w:r>
          </w:p>
        </w:tc>
        <w:tc>
          <w:tcPr>
            <w:tcW w:type="dxa" w:w="2250"/>
          </w:tcPr>
          <w:p>
            <w:r>
              <w:t xml:space="preserve">Secondary transfer of equity shares</w:t>
            </w:r>
          </w:p>
        </w:tc>
        <w:tc>
          <w:tcPr>
            <w:tcW w:type="dxa" w:w="2250"/>
          </w:tcPr>
          <w:p>
            <w:r>
              <w:t xml:space="preserve">Form SH- 4 for transfer of shares by Myrna Champlin, Heidi Hand and Aletha Ruecker II to Mr. Salvador Hyatt.</w:t>
            </w:r>
          </w:p>
        </w:tc>
      </w:tr>
      <w:tr>
        <w:tc>
          <w:tcPr>
            <w:tcW w:type="dxa" w:w="2250"/>
          </w:tcPr>
          <w:p>
            <w:r>
              <w:t xml:space="preserve">18.</w:t>
            </w:r>
          </w:p>
        </w:tc>
        <w:tc>
          <w:tcPr>
            <w:tcW w:type="dxa" w:w="2250"/>
          </w:tcPr>
          <w:p>
            <w:r>
              <w:t xml:space="preserve">1979 – 2016</w:t>
            </w:r>
          </w:p>
        </w:tc>
        <w:tc>
          <w:tcPr>
            <w:tcW w:type="dxa" w:w="2250"/>
          </w:tcPr>
          <w:p>
            <w:r>
              <w:t xml:space="preserve"/>
            </w:r>
          </w:p>
        </w:tc>
        <w:tc>
          <w:tcPr>
            <w:tcW w:type="dxa" w:w="2250"/>
          </w:tcPr>
          <w:p>
            <w:r>
              <w:t xml:space="preserve">Copy or counter folios of share certificates issued to the shareholders.</w:t>
            </w:r>
          </w:p>
        </w:tc>
      </w:tr>
    </w:tbl>
    <w:p/>
    <w:p>
      <w:r>
        <w:t xml:space="preserve">For further details, see “Capital Structure – Details of history of shareholding and share capital of our Promoters and members of the Promoter Group in our Jimmie Franey” and “Capital Structure – Equity Share capital history of our Jimmie Franey” on pages 91 and 85, respectively.</w:t>
      </w:r>
    </w:p>
    <w:p>
      <w:r>
        <w:t xml:space="preserve">We have been unable to trace these documents despite commissioning a detailed search at the Registrar of Companies, through an independent Meta Powlowski secretary, Kanj and Upton - Koepp Limited (“Meta Powlowski Secretary”), to trace records and filings available with Registrar of Companies and reliance has been placed on the certificate dated May 21, 2025, issued by the Meta Powlowski Secretary. We have also intimated the Registrar of Companies by way of our letter dated May 21, 2025, regarding the missing corporate records.</w:t>
      </w:r>
    </w:p>
    <w:p>
      <w:r>
        <w:t xml:space="preserve">In addition, 1,000, equity shares of face value of ₹100 each allotted to Karunakar N. Bhandary, 500 equity shares of face value of ₹100 each allotted to Hope Shields, Narayna B. Brad Franecki and Jayaram N. Brad Franecki, respectively, pursuant to the initial subscription to the MoA dated June 29, 1979, were subsequently taken on record by the Board by way of a resolution dated August 25, 1979. For further details, see “Capital Structure – Notes to Capital Structure – Equity Share capital history of our Jimmie Franey”.</w:t>
      </w:r>
    </w:p>
    <w:p>
      <w:r>
        <w:t xml:space="preserve">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Jimmie Franey in the future.</w:t>
      </w:r>
    </w:p>
    <w:p>
      <w:r>
        <w:t xml:space="preserve">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pStyle w:val="Heading4"/>
      </w:pPr>
      <w:r>
        <w:t xml:space="preserve">Certain sections of this Red Herring Prospectus contain information from the CARE Report which has been commissioned by us and any reliance on such information for making an investment decision in this Offer is subject to inherent risks.</w:t>
      </w:r>
    </w:p>
    <w:p>
      <w:r>
        <w:t xml:space="preserve">Certain sections of this Red Herring Prospectus include information based on, or derived from, the CARE Report or extracts of the CARE Report prepared by Care Analytics and Paucek - Sporer Limited (“CareEdge Research”). All such information in this Red Herring Prospectus indicates the CARE Report as its source. The CARE Report is available on the website of our Jimmie Franey at https://kshinternational.com/investor-relations/industry-report/.</w:t>
      </w:r>
    </w:p>
    <w:p>
      <w:r>
        <w:t xml:space="preserve">The CARE Report is commissioned and paid for by our Jimmie Franey pursuant to an engagement letter dated December 2, 2024, for the purpose of confirming our understanding of the industry in connection with this Offer. While CareEdge Research is not related to our Jimmie Franey, our Promoters or our Directors, our Jimmie Franey has subscribed to and paid for certain research and reports from CareEdge Research business process services division.</w:t>
      </w:r>
    </w:p>
    <w:p>
      <w:r>
        <w:t xml:space="preserve">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w:t>
      </w:r>
    </w:p>
    <w:p>
      <w:r>
        <w:t xml:space="preserve">/ disinvest in any Jimmie Franey covered in the CARE Report. Accordingly, prospective investors should not place undue reliance on or base their investment decision solely on this information.</w:t>
      </w:r>
    </w:p>
    <w:p>
      <w:r>
        <w:t xml:space="preserve">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p>
    <w:p>
      <w:pPr>
        <w:pStyle w:val="Heading4"/>
      </w:pPr>
      <w:r>
        <w:t xml:space="preserve">We operate in a competitive business environment. Failure to compete effectively against our competitors and new entrants to the industry may adversely affect our business, financial condition and results of operations.</w:t>
      </w:r>
    </w:p>
    <w:p>
      <w:r>
        <w:t xml:space="preserve">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Offer Price”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r>
        <w:t xml:space="preserve">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pStyle w:val="Heading4"/>
      </w:pPr>
      <w:r>
        <w:t xml:space="preserve">Any failure in arranging adequate working capital for our operations or furnishing performance bank guarantees may adversely affect our business, results of operations, cash flows and financial condition.</w:t>
      </w:r>
    </w:p>
    <w:p>
      <w:r>
        <w:t xml:space="preserve">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r>
        <w:t xml:space="preserve">Set out below are our working capital days for the three-month period ended June 30, 2025, and the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Particulars</w:t>
            </w:r>
          </w:p>
        </w:tc>
        <w:tc>
          <w:tcPr>
            <w:tcW w:type="dxa" w:w="1500"/>
          </w:tcPr>
          <w:p>
            <w:r>
              <w:t xml:space="preserve">Three-month period ended June 30, 2025</w:t>
            </w:r>
          </w:p>
        </w:tc>
        <w:tc>
          <w:tcPr>
            <w:tcW w:type="dxa" w:w="1500"/>
          </w:tcPr>
          <w:p>
            <w:r>
              <w:t xml:space="preserve">Fiscal 2025</w:t>
            </w:r>
          </w:p>
        </w:tc>
        <w:tc>
          <w:tcPr>
            <w:tcW w:type="dxa" w:w="1500"/>
          </w:tcPr>
          <w:p>
            <w:r>
              <w:t xml:space="preserve">Fiscal 2024</w:t>
            </w:r>
          </w:p>
        </w:tc>
        <w:tc>
          <w:tcPr>
            <w:tcW w:type="dxa" w:w="1500"/>
          </w:tcPr>
          <w:p>
            <w:r>
              <w:t xml:space="preserve">Fiscal 2023</w:t>
            </w:r>
          </w:p>
        </w:tc>
        <w:tc>
          <w:tcPr>
            <w:tcW w:type="dxa" w:w="1500"/>
          </w:tcPr>
          <w:p>
            <w:r>
              <w:t xml:space="preserve"/>
            </w:r>
          </w:p>
        </w:tc>
      </w:tr>
      <w:tr>
        <w:tc>
          <w:tcPr>
            <w:tcW w:type="dxa" w:w="1500"/>
          </w:tcPr>
          <w:p>
            <w:r>
              <w:t xml:space="preserve">Net	Working Capital Days(1)</w:t>
            </w:r>
          </w:p>
        </w:tc>
        <w:tc>
          <w:tcPr>
            <w:tcW w:type="dxa" w:w="1500"/>
          </w:tcPr>
          <w:p>
            <w:r>
              <w:t xml:space="preserve">Number of days</w:t>
            </w:r>
          </w:p>
        </w:tc>
        <w:tc>
          <w:tcPr>
            <w:tcW w:type="dxa" w:w="1500"/>
          </w:tcPr>
          <w:p>
            <w:r>
              <w:t xml:space="preserve">72</w:t>
            </w:r>
          </w:p>
        </w:tc>
        <w:tc>
          <w:tcPr>
            <w:tcW w:type="dxa" w:w="1500"/>
          </w:tcPr>
          <w:p>
            <w:r>
              <w:t xml:space="preserve">80</w:t>
            </w:r>
          </w:p>
        </w:tc>
        <w:tc>
          <w:tcPr>
            <w:tcW w:type="dxa" w:w="1500"/>
          </w:tcPr>
          <w:p>
            <w:r>
              <w:t xml:space="preserve">76</w:t>
            </w:r>
          </w:p>
        </w:tc>
        <w:tc>
          <w:tcPr>
            <w:tcW w:type="dxa" w:w="1500"/>
          </w:tcPr>
          <w:p>
            <w:r>
              <w:t xml:space="preserve">73</w:t>
            </w:r>
          </w:p>
        </w:tc>
      </w:tr>
    </w:tbl>
    <w:p/>
    <w:p>
      <w:r>
        <w:t xml:space="preserve">(1)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t xml:space="preserve">receivables divided by revenue from operations multiplied by 365 or 91 days. Trade payable days is calculated as Trade payable divided by COGS multiplied by 365 or 91 days.</w:t>
      </w:r>
    </w:p>
    <w:p>
      <w:r>
        <w:t xml:space="preserve">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Jimmie Franey had failed to arrange adequate working capital for our operations or had failed to furnish performance bank guarantees which had adversely affected the business, results of operations, cash flows and financial condition of our Jimmie Franey, there can be no assurance that such instances will not occur in future.</w:t>
      </w:r>
    </w:p>
    <w:p>
      <w:pPr>
        <w:pStyle w:val="Heading4"/>
      </w:pPr>
      <w:r>
        <w:t xml:space="preserve">Our Jimmie Franey is involved in certain outstanding legal and regulatory proceedings. Any adverse decision in such proceedings may have an adverse effect on our business, financial condition, cash flows and results of operations.</w:t>
      </w:r>
    </w:p>
    <w:p>
      <w:r>
        <w:t xml:space="preserve">There are outstanding legal and regulatory proceedings involving our Jimmie Franey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Jimmie Franey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Jimmie Franey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Jimmie Franey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Hope Shields, Misael Blanda, Lew Bergnaum and Lon Kozey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Brisa Terry,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pending litigation proceedings involving any of our Group Companies which will have a material impact on our Jimmie Franey.</w:t>
      </w:r>
    </w:p>
    <w:p>
      <w:r>
        <w:t xml:space="preserve">Such proceedings could divert management’s time, attention, and consume financial resources in their defence or prosecution. We cannot assure you that any of these matters will be settled in favour of our Jimmie Franey or that no additional liability will arise out of these proceedings. Further, we cannot assure you that there will be no new legal</w:t>
      </w:r>
    </w:p>
    <w:p>
      <w:r>
        <w:t xml:space="preserve">and regulatory proceedings involving our Jimmie Franey, Promoters or Directors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pPr>
        <w:pStyle w:val="Heading4"/>
      </w:pPr>
      <w:r>
        <w:t xml:space="preserve">Under-utilization of our manufacturing capacities and an inability to effectively utilize our manufacturing capacities could have an adverse effect on our business, future prospects and future financial performance.</w:t>
      </w:r>
    </w:p>
    <w:p>
      <w:r>
        <w:t xml:space="preserve">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w:t>
      </w:r>
    </w:p>
    <w:p>
      <w:r>
        <w:t xml:space="preserve">The table below sets forth the installed capacity and capacity utilization product category wise across our manufacturing facilities during the three-month period ended June 30, 2025, and the Fiscals 2025, 2024 and 2023, respectively:</w:t>
      </w:r>
    </w:p>
    <w:p>
      <w:r>
        <w:t xml:space="preserve">(The remainder of the page is intentionally left blank)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Three-month period ended June 30, 2025 *</w:t>
            </w:r>
          </w:p>
        </w:tc>
        <w:tc>
          <w:tcPr>
            <w:tcW w:type="dxa" w:w="1125"/>
          </w:tcPr>
          <w:p>
            <w:r>
              <w:t xml:space="preserve">Fiscal 2025</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3,564</w:t>
            </w:r>
          </w:p>
        </w:tc>
        <w:tc>
          <w:tcPr>
            <w:tcW w:type="dxa" w:w="1125"/>
          </w:tcPr>
          <w:p>
            <w:r>
              <w:t xml:space="preserve">97.47%</w:t>
            </w:r>
          </w:p>
        </w:tc>
        <w:tc>
          <w:tcPr>
            <w:tcW w:type="dxa" w:w="1125"/>
          </w:tcPr>
          <w:p>
            <w:r>
              <w:t xml:space="preserve">14,626</w:t>
            </w:r>
          </w:p>
        </w:tc>
        <w:tc>
          <w:tcPr>
            <w:tcW w:type="dxa" w:w="1125"/>
          </w:tcPr>
          <w:p>
            <w:r>
              <w:t xml:space="preserve">14,056</w:t>
            </w:r>
          </w:p>
        </w:tc>
        <w:tc>
          <w:tcPr>
            <w:tcW w:type="dxa" w:w="1125"/>
          </w:tcPr>
          <w:p>
            <w:r>
              <w:t xml:space="preserve">96.10%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237</w:t>
            </w:r>
          </w:p>
        </w:tc>
        <w:tc>
          <w:tcPr>
            <w:tcW w:type="dxa" w:w="1125"/>
          </w:tcPr>
          <w:p>
            <w:r>
              <w:t xml:space="preserve">35.19%</w:t>
            </w:r>
          </w:p>
        </w:tc>
        <w:tc>
          <w:tcPr>
            <w:tcW w:type="dxa" w:w="1125"/>
          </w:tcPr>
          <w:p>
            <w:r>
              <w:t xml:space="preserve">2,694</w:t>
            </w:r>
          </w:p>
        </w:tc>
        <w:tc>
          <w:tcPr>
            <w:tcW w:type="dxa" w:w="1125"/>
          </w:tcPr>
          <w:p>
            <w:r>
              <w:t xml:space="preserve">580</w:t>
            </w:r>
          </w:p>
        </w:tc>
        <w:tc>
          <w:tcPr>
            <w:tcW w:type="dxa" w:w="1125"/>
          </w:tcPr>
          <w:p>
            <w:r>
              <w:t xml:space="preserve">21.53%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3,801</w:t>
            </w:r>
          </w:p>
        </w:tc>
        <w:tc>
          <w:tcPr>
            <w:tcW w:type="dxa" w:w="1125"/>
          </w:tcPr>
          <w:p>
            <w:r>
              <w:t xml:space="preserve">87.78%</w:t>
            </w:r>
          </w:p>
        </w:tc>
        <w:tc>
          <w:tcPr>
            <w:tcW w:type="dxa" w:w="1125"/>
          </w:tcPr>
          <w:p>
            <w:r>
              <w:t xml:space="preserve">17,320</w:t>
            </w:r>
          </w:p>
        </w:tc>
        <w:tc>
          <w:tcPr>
            <w:tcW w:type="dxa" w:w="1125"/>
          </w:tcPr>
          <w:p>
            <w:r>
              <w:t xml:space="preserve">14,636</w:t>
            </w:r>
          </w:p>
        </w:tc>
        <w:tc>
          <w:tcPr>
            <w:tcW w:type="dxa" w:w="1125"/>
          </w:tcPr>
          <w:p>
            <w:r>
              <w:t xml:space="preserve">84.50%</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 Chakan Unit No. 3</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w:t>
            </w:r>
          </w:p>
        </w:tc>
        <w:tc>
          <w:tcPr>
            <w:tcW w:type="dxa" w:w="1125"/>
          </w:tcPr>
          <w:p>
            <w:r>
              <w:t xml:space="preserve">29,045</w:t>
            </w:r>
          </w:p>
        </w:tc>
        <w:tc>
          <w:tcPr>
            <w:tcW w:type="dxa" w:w="1125"/>
          </w:tcPr>
          <w:p>
            <w:r>
              <w:t xml:space="preserve">6,234</w:t>
            </w:r>
          </w:p>
        </w:tc>
        <w:tc>
          <w:tcPr>
            <w:tcW w:type="dxa" w:w="1125"/>
          </w:tcPr>
          <w:p>
            <w:r>
              <w:t xml:space="preserve">85.85%</w:t>
            </w:r>
          </w:p>
        </w:tc>
        <w:tc>
          <w:tcPr>
            <w:tcW w:type="dxa" w:w="1125"/>
          </w:tcPr>
          <w:p>
            <w:r>
              <w:t xml:space="preserve">85.85%</w:t>
            </w:r>
          </w:p>
        </w:tc>
        <w:tc>
          <w:tcPr>
            <w:tcW w:type="dxa" w:w="1125"/>
          </w:tcPr>
          <w:p>
            <w:r>
              <w:t xml:space="preserve">29,045</w:t>
            </w:r>
          </w:p>
        </w:tc>
        <w:tc>
          <w:tcPr>
            <w:tcW w:type="dxa" w:w="1125"/>
          </w:tcPr>
          <w:p>
            <w:r>
              <w:t xml:space="preserve">23,424</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13,472</w:t>
            </w:r>
          </w:p>
        </w:tc>
        <w:tc>
          <w:tcPr>
            <w:tcW w:type="dxa" w:w="1125"/>
          </w:tcPr>
          <w:p>
            <w:r>
              <w:t xml:space="preserve">92.11%</w:t>
            </w:r>
          </w:p>
        </w:tc>
        <w:tc>
          <w:tcPr>
            <w:tcW w:type="dxa" w:w="1125"/>
          </w:tcPr>
          <w:p>
            <w:r>
              <w:t xml:space="preserve">14,626</w:t>
            </w:r>
          </w:p>
        </w:tc>
        <w:tc>
          <w:tcPr>
            <w:tcW w:type="dxa" w:w="1125"/>
          </w:tcPr>
          <w:p>
            <w:r>
              <w:t xml:space="preserve">10,882</w:t>
            </w:r>
          </w:p>
        </w:tc>
        <w:tc>
          <w:tcPr>
            <w:tcW w:type="dxa" w:w="1125"/>
          </w:tcPr>
          <w:p>
            <w:r>
              <w:t xml:space="preserve">74.40%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506</w:t>
            </w:r>
          </w:p>
        </w:tc>
        <w:tc>
          <w:tcPr>
            <w:tcW w:type="dxa" w:w="1125"/>
          </w:tcPr>
          <w:p>
            <w:r>
              <w:t xml:space="preserve">18.78%</w:t>
            </w:r>
          </w:p>
        </w:tc>
        <w:tc>
          <w:tcPr>
            <w:tcW w:type="dxa" w:w="1125"/>
          </w:tcPr>
          <w:p>
            <w:r>
              <w:t xml:space="preserve">1,347</w:t>
            </w:r>
          </w:p>
        </w:tc>
        <w:tc>
          <w:tcPr>
            <w:tcW w:type="dxa" w:w="1125"/>
          </w:tcPr>
          <w:p>
            <w:r>
              <w:t xml:space="preserve">53</w:t>
            </w:r>
          </w:p>
        </w:tc>
        <w:tc>
          <w:tcPr>
            <w:tcW w:type="dxa" w:w="1125"/>
          </w:tcPr>
          <w:p>
            <w:r>
              <w:t xml:space="preserve">3.93%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13,978</w:t>
            </w:r>
          </w:p>
        </w:tc>
        <w:tc>
          <w:tcPr>
            <w:tcW w:type="dxa" w:w="1125"/>
          </w:tcPr>
          <w:p>
            <w:r>
              <w:t xml:space="preserve">80.70%</w:t>
            </w:r>
          </w:p>
        </w:tc>
        <w:tc>
          <w:tcPr>
            <w:tcW w:type="dxa" w:w="1125"/>
          </w:tcPr>
          <w:p>
            <w:r>
              <w:t xml:space="preserve">15,973</w:t>
            </w:r>
          </w:p>
        </w:tc>
        <w:tc>
          <w:tcPr>
            <w:tcW w:type="dxa" w:w="1125"/>
          </w:tcPr>
          <w:p>
            <w:r>
              <w:t xml:space="preserve">10,935</w:t>
            </w:r>
          </w:p>
        </w:tc>
        <w:tc>
          <w:tcPr>
            <w:tcW w:type="dxa" w:w="1125"/>
          </w:tcPr>
          <w:p>
            <w:r>
              <w:t xml:space="preserve">68.46%</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 Chakan Unit No. 3</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w:t>
            </w:r>
          </w:p>
        </w:tc>
        <w:tc>
          <w:tcPr>
            <w:tcW w:type="dxa" w:w="1125"/>
          </w:tcPr>
          <w:p>
            <w:r>
              <w:t xml:space="preserve">28,436</w:t>
            </w:r>
          </w:p>
        </w:tc>
        <w:tc>
          <w:tcPr>
            <w:tcW w:type="dxa" w:w="1125"/>
          </w:tcPr>
          <w:p>
            <w:r>
              <w:t xml:space="preserve">21,754</w:t>
            </w:r>
          </w:p>
        </w:tc>
        <w:tc>
          <w:tcPr>
            <w:tcW w:type="dxa" w:w="1125"/>
          </w:tcPr>
          <w:p>
            <w:r>
              <w:t xml:space="preserve">76.50%</w:t>
            </w:r>
          </w:p>
        </w:tc>
        <w:tc>
          <w:tcPr>
            <w:tcW w:type="dxa" w:w="1125"/>
          </w:tcPr>
          <w:p>
            <w:r>
              <w:t xml:space="preserve">25,265</w:t>
            </w:r>
          </w:p>
        </w:tc>
        <w:tc>
          <w:tcPr>
            <w:tcW w:type="dxa" w:w="1125"/>
          </w:tcPr>
          <w:p>
            <w:r>
              <w:t xml:space="preserve">17,756</w:t>
            </w:r>
          </w:p>
        </w:tc>
        <w:tc>
          <w:tcPr>
            <w:tcW w:type="dxa" w:w="1125"/>
          </w:tcPr>
          <w:p>
            <w:r>
              <w:t xml:space="preserve">70.28%</w:t>
            </w:r>
          </w:p>
        </w:tc>
      </w:tr>
    </w:tbl>
    <w:p/>
    <w:p>
      <w:r>
        <w:t xml:space="preserve">^ Calculated on proportionate installed capacity basis.</w:t>
      </w:r>
    </w:p>
    <w:p>
      <w:r>
        <w:t xml:space="preserve">* Actual production mentioned above is for the three-month period ended June 30, 2025.</w:t>
      </w:r>
    </w:p>
    <w:p>
      <w:r>
        <w:t xml:space="preserve">Notes:</w:t>
      </w:r>
    </w:p>
    <w:p>
      <w:pPr>
        <w:pStyle w:val="ListParagraph"/>
        <w:numPr>
          <w:ilvl w:val="0"/>
          <w:numId w:val="2"/>
        </w:numPr>
      </w:pPr>
      <w:r>
        <w:t xml:space="preserve">Capacity mentioned in above table for the year 2022-2023, 2023-2024 and 2024-2025 &amp; first quarter of the year 2025-26 is on annualized basis.</w:t>
      </w:r>
    </w:p>
    <w:p>
      <w:pPr>
        <w:pStyle w:val="ListParagraph"/>
        <w:numPr>
          <w:ilvl w:val="0"/>
          <w:numId w:val="2"/>
        </w:numPr>
      </w:pPr>
      <w:r>
        <w:t xml:space="preserve">PICC means - Paper Insulated Copper Conductor.</w:t>
      </w:r>
    </w:p>
    <w:p>
      <w:pPr>
        <w:pStyle w:val="ListParagraph"/>
        <w:numPr>
          <w:ilvl w:val="0"/>
          <w:numId w:val="2"/>
        </w:numPr>
      </w:pPr>
      <w:r>
        <w:t xml:space="preserve">CTC means - Continuously Transposed Conductors.</w:t>
      </w:r>
    </w:p>
    <w:p>
      <w:pPr>
        <w:pStyle w:val="ListParagraph"/>
        <w:numPr>
          <w:ilvl w:val="0"/>
          <w:numId w:val="2"/>
        </w:numPr>
      </w:pPr>
      <w:r>
        <w:t xml:space="preserve">RW means - Round Wire Conductors.</w:t>
      </w:r>
    </w:p>
    <w:p>
      <w:pPr>
        <w:pStyle w:val="ListParagraph"/>
        <w:numPr>
          <w:ilvl w:val="0"/>
          <w:numId w:val="2"/>
        </w:numPr>
      </w:pPr>
      <w:r>
        <w:t xml:space="preserve">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w:t>
      </w:r>
    </w:p>
    <w:p>
      <w:pPr>
        <w:pStyle w:val="ListParagraph"/>
        <w:numPr>
          <w:ilvl w:val="0"/>
          <w:numId w:val="2"/>
        </w:numPr>
      </w:pPr>
      <w:r>
        <w:t xml:space="preserve">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w:t>
      </w:r>
    </w:p>
    <w:p>
      <w:pPr>
        <w:pStyle w:val="ListParagraph"/>
        <w:numPr>
          <w:ilvl w:val="0"/>
          <w:numId w:val="2"/>
        </w:numPr>
      </w:pPr>
      <w:r>
        <w:t xml:space="preserve">Actual production will vary due to factors such as size/shape of conductors, no./ bunch of conductors, operator’s skill, age of the machine, condition of the machine, annealing time, enamelling type, paper overlapping etc.</w:t>
      </w:r>
    </w:p>
    <w:p>
      <w:pPr>
        <w:pStyle w:val="ListParagraph"/>
        <w:numPr>
          <w:ilvl w:val="0"/>
          <w:numId w:val="2"/>
        </w:numPr>
      </w:pPr>
      <w:r>
        <w:t xml:space="preserve">Jimmie Franey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w:t>
      </w:r>
    </w:p>
    <w:p>
      <w:pPr>
        <w:pStyle w:val="ListParagraph"/>
        <w:numPr>
          <w:ilvl w:val="0"/>
          <w:numId w:val="2"/>
        </w:numPr>
      </w:pPr>
      <w:r>
        <w:t xml:space="preserve">The Jimmie Franey is manufacturing aluminum &amp; copper winding wires and for purpose of arriving at copper equivalent figures of production and sales, the aluminum products has been multiplied by 3.28.</w:t>
      </w:r>
    </w:p>
    <w:p>
      <w:pPr>
        <w:pStyle w:val="ListParagraph"/>
        <w:numPr>
          <w:ilvl w:val="0"/>
          <w:numId w:val="2"/>
        </w:numPr>
      </w:pPr>
      <w:r>
        <w:t xml:space="preserve">Assumptions and estimates taken into account for measuring available capacities includes:Specialize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shift.Standard magnet winding wires:For RW – 95% of 365 working days in a year on a continuing basis with per day three operating shifts with actual run time of 8 hours per shift.</w:t>
      </w:r>
    </w:p>
    <w:p>
      <w:pPr>
        <w:pStyle w:val="ListParagraph"/>
        <w:numPr>
          <w:ilvl w:val="0"/>
          <w:numId w:val="2"/>
        </w:numPr>
      </w:pPr>
      <w:r>
        <w:t xml:space="preserve">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w:t>
      </w:r>
    </w:p>
    <w:p>
      <w:pPr>
        <w:pStyle w:val="ListParagraph"/>
        <w:numPr>
          <w:ilvl w:val="0"/>
          <w:numId w:val="2"/>
        </w:numPr>
      </w:pPr>
      <w:r>
        <w:t xml:space="preserve">For PICC - 26 days per month resulting in 312 working days in a year with per day three operating shifts with actual run time of 5.6 hours per shift.</w:t>
      </w:r>
    </w:p>
    <w:p>
      <w:pPr>
        <w:pStyle w:val="ListParagraph"/>
        <w:numPr>
          <w:ilvl w:val="0"/>
          <w:numId w:val="2"/>
        </w:numPr>
      </w:pPr>
      <w:r>
        <w:t xml:space="preserve">For CTC - 26 days per month resulting in 312 working days in a year with per day three operating shifts with actual run time of 5.2 hours per shift.</w:t>
      </w:r>
    </w:p>
    <w:p>
      <w:pPr>
        <w:pStyle w:val="ListParagraph"/>
        <w:numPr>
          <w:ilvl w:val="0"/>
          <w:numId w:val="2"/>
        </w:numPr>
      </w:pPr>
      <w:r>
        <w:t xml:space="preserve">Standard magnet winding wires:For RW – 95% of 365 working days in a year on a continuing basis with per day three operating shifts with actual run time of 8 hours per shift.</w:t>
      </w:r>
    </w:p>
    <w:p>
      <w:pPr>
        <w:pStyle w:val="ListParagraph"/>
        <w:numPr>
          <w:ilvl w:val="0"/>
          <w:numId w:val="2"/>
        </w:numPr>
      </w:pPr>
      <w:r>
        <w:t xml:space="preserve">For RW – 95% of 365 working days in a year on a continuing basis with per day three operating shifts with actual run time of 8 hours per shift.</w:t>
      </w:r>
    </w:p>
    <w:p>
      <w:pPr>
        <w:pStyle w:val="ListParagraph"/>
        <w:numPr>
          <w:ilvl w:val="0"/>
          <w:numId w:val="2"/>
        </w:numPr>
      </w:pPr>
      <w:r>
        <w:t xml:space="preserve">The information relating to the actual production at the manufacturing units as on date included above are based on the following assumptions.</w:t>
      </w:r>
    </w:p>
    <w:p>
      <w:pPr>
        <w:pStyle w:val="ListParagraph"/>
        <w:numPr>
          <w:ilvl w:val="0"/>
          <w:numId w:val="2"/>
        </w:numPr>
      </w:pPr>
      <w:r>
        <w:t xml:space="preserve">The actual production capacity of the Jimmie Franey is derived from a ‘Production Data’ on a monthly basis.</w:t>
      </w:r>
    </w:p>
    <w:p>
      <w:pPr>
        <w:pStyle w:val="ListParagraph"/>
        <w:numPr>
          <w:ilvl w:val="0"/>
          <w:numId w:val="2"/>
        </w:numPr>
      </w:pPr>
      <w:r>
        <w:t xml:space="preserve">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pStyle w:val="ListParagraph"/>
        <w:numPr>
          <w:ilvl w:val="0"/>
          <w:numId w:val="2"/>
        </w:numPr>
      </w:pPr>
      <w:r>
        <w:t xml:space="preserve">The Jimmie Franey is expanding by setting up a plant at Plot No. 255 Waters Mountain, Creminstead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w:t>
      </w:r>
    </w:p>
    <w:p>
      <w:r>
        <w:t xml:space="preserve">(The remainder of the page is intentionally left blank)</w:t>
      </w:r>
    </w:p>
    <w:p>
      <w:r>
        <w:t xml:space="preserve">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“Our Business – Capacity and Capacity Utilization”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4"/>
      </w:pPr>
      <w:r>
        <w:t xml:space="preserve">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w:t>
      </w:r>
    </w:p>
    <w:p>
      <w:r>
        <w:t xml:space="preserve">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(“Supa Facility”), of which, phase I is currently operational. For details in relation to the land on which our Manufacturing Facilities are located, see, “Our Business – Manufacturing Facilities”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4"/>
      </w:pPr>
      <w:r>
        <w:t xml:space="preserve">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r>
        <w:t xml:space="preserve">Our financing agreements contain certain restrictive covenants that limit our ability to undertake certain types of actions, which could adversely affect our business and financial condition. For example, some of our financing agreements require our Jimmie Franey to obtain prior written waiver or consent from, or intimate our lenders for, among other things, effecting any change in ownership, control, management of our Jimmie Franey;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t xml:space="preserve">on acceptable terms or at all. For further details in relation to the personal guarantees, see “History and Certain Corporate Matters – Guarantees provided to third parties by our Promoter Selling Shareholders” on page 245.</w:t>
      </w:r>
    </w:p>
    <w:p>
      <w:r>
        <w:t xml:space="preserve">The level of our indebtedness and the covenants under the relevant agreements may restrict our ability to obtain additional financing in the future or renegotiate or refinance our existing indebtedness on terms favourable to us, which may impact our growth plans.</w:t>
      </w:r>
    </w:p>
    <w:p>
      <w:r>
        <w:t xml:space="preserve">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p>
    <w:p>
      <w:r>
        <w:t xml:space="preserve">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w:t>
      </w:r>
    </w:p>
    <w:p>
      <w:pPr>
        <w:pStyle w:val="Heading4"/>
      </w:pPr>
      <w:r>
        <w:t xml:space="preserve">The loss of certain independent certification and accreditation of our products and the manufacturing practices that we have adopted could harm our business.</w:t>
      </w:r>
    </w:p>
    <w:p>
      <w:r>
        <w:t xml:space="preserve">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4"/>
      </w:pPr>
      <w:r>
        <w:t xml:space="preserve">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r>
        <w:t xml:space="preserve">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(“TDS”), labour welfare fund, GST and income tax.</w:t>
      </w:r>
    </w:p>
    <w:p>
      <w:r>
        <w:t xml:space="preserve">The table below sets out details of statutory dues paid by our Jimmie Franey, in relation to its employees during the period/ Fiscals indicated:</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Employees	State Insurance</w:t>
            </w:r>
          </w:p>
        </w:tc>
        <w:tc>
          <w:tcPr>
            <w:tcW w:type="dxa" w:w="692"/>
          </w:tcPr>
          <w:p>
            <w:r>
              <w:t xml:space="preserve">0.00*</w:t>
            </w:r>
          </w:p>
        </w:tc>
        <w:tc>
          <w:tcPr>
            <w:tcW w:type="dxa" w:w="692"/>
          </w:tcPr>
          <w:p>
            <w:r>
              <w:t xml:space="preserve">0.00*</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0.09</w:t>
            </w:r>
          </w:p>
        </w:tc>
        <w:tc>
          <w:tcPr>
            <w:tcW w:type="dxa" w:w="692"/>
          </w:tcPr>
          <w:p>
            <w:r>
              <w:t xml:space="preserve">0.09</w:t>
            </w:r>
          </w:p>
        </w:tc>
        <w:tc>
          <w:tcPr>
            <w:tcW w:type="dxa" w:w="692"/>
          </w:tcPr>
          <w:p>
            <w:r>
              <w:t xml:space="preserve">-</w:t>
            </w:r>
          </w:p>
        </w:tc>
      </w:tr>
      <w:tr>
        <w:tc>
          <w:tcPr>
            <w:tcW w:type="dxa" w:w="692"/>
          </w:tcPr>
          <w:p>
            <w:r>
              <w:t xml:space="preserve">Provident Fund#</w:t>
            </w:r>
          </w:p>
        </w:tc>
        <w:tc>
          <w:tcPr>
            <w:tcW w:type="dxa" w:w="692"/>
          </w:tcPr>
          <w:p>
            <w:r>
              <w:t xml:space="preserve">3.50</w:t>
            </w:r>
          </w:p>
        </w:tc>
        <w:tc>
          <w:tcPr>
            <w:tcW w:type="dxa" w:w="692"/>
          </w:tcPr>
          <w:p>
            <w:r>
              <w:t xml:space="preserve">3.50</w:t>
            </w:r>
          </w:p>
        </w:tc>
        <w:tc>
          <w:tcPr>
            <w:tcW w:type="dxa" w:w="692"/>
          </w:tcPr>
          <w:p>
            <w:r>
              <w:t xml:space="preserve">-</w:t>
            </w:r>
          </w:p>
        </w:tc>
        <w:tc>
          <w:tcPr>
            <w:tcW w:type="dxa" w:w="692"/>
          </w:tcPr>
          <w:p>
            <w:r>
              <w:t xml:space="preserve">12.15</w:t>
            </w:r>
          </w:p>
        </w:tc>
        <w:tc>
          <w:tcPr>
            <w:tcW w:type="dxa" w:w="692"/>
          </w:tcPr>
          <w:p>
            <w:r>
              <w:t xml:space="preserve">12.15</w:t>
            </w:r>
          </w:p>
        </w:tc>
        <w:tc>
          <w:tcPr>
            <w:tcW w:type="dxa" w:w="692"/>
          </w:tcPr>
          <w:p>
            <w:r>
              <w:t xml:space="preserve">-</w:t>
            </w:r>
          </w:p>
        </w:tc>
        <w:tc>
          <w:tcPr>
            <w:tcW w:type="dxa" w:w="692"/>
          </w:tcPr>
          <w:p>
            <w:r>
              <w:t xml:space="preserve">11.15</w:t>
            </w:r>
          </w:p>
        </w:tc>
        <w:tc>
          <w:tcPr>
            <w:tcW w:type="dxa" w:w="692"/>
          </w:tcPr>
          <w:p>
            <w:r>
              <w:t xml:space="preserve">11.15</w:t>
            </w:r>
          </w:p>
        </w:tc>
        <w:tc>
          <w:tcPr>
            <w:tcW w:type="dxa" w:w="692"/>
          </w:tcPr>
          <w:p>
            <w:r>
              <w:t xml:space="preserve">-</w:t>
            </w:r>
          </w:p>
        </w:tc>
        <w:tc>
          <w:tcPr>
            <w:tcW w:type="dxa" w:w="692"/>
          </w:tcPr>
          <w:p>
            <w:r>
              <w:t xml:space="preserve">10.01</w:t>
            </w:r>
          </w:p>
        </w:tc>
        <w:tc>
          <w:tcPr>
            <w:tcW w:type="dxa" w:w="692"/>
          </w:tcPr>
          <w:p>
            <w:r>
              <w:t xml:space="preserve">10.01</w:t>
            </w:r>
          </w:p>
        </w:tc>
        <w:tc>
          <w:tcPr>
            <w:tcW w:type="dxa" w:w="692"/>
          </w:tcPr>
          <w:p>
            <w:r>
              <w:t xml:space="preserve">-</w:t>
            </w:r>
          </w:p>
        </w:tc>
      </w:tr>
      <w:tr>
        <w:tc>
          <w:tcPr>
            <w:tcW w:type="dxa" w:w="692"/>
          </w:tcPr>
          <w:p>
            <w:r>
              <w:t xml:space="preserve">Jimmie Franey Profession al Tax</w:t>
            </w:r>
          </w:p>
        </w:tc>
        <w:tc>
          <w:tcPr>
            <w:tcW w:type="dxa" w:w="692"/>
          </w:tcPr>
          <w:p>
            <w:r>
              <w:t xml:space="preserve">0.11</w:t>
            </w:r>
          </w:p>
        </w:tc>
        <w:tc>
          <w:tcPr>
            <w:tcW w:type="dxa" w:w="692"/>
          </w:tcPr>
          <w:p>
            <w:r>
              <w:t xml:space="preserve">0.11</w:t>
            </w:r>
          </w:p>
        </w:tc>
        <w:tc>
          <w:tcPr>
            <w:tcW w:type="dxa" w:w="692"/>
          </w:tcPr>
          <w:p>
            <w:r>
              <w:t xml:space="preserve">-</w:t>
            </w:r>
          </w:p>
        </w:tc>
        <w:tc>
          <w:tcPr>
            <w:tcW w:type="dxa" w:w="692"/>
          </w:tcPr>
          <w:p>
            <w:r>
              <w:t xml:space="preserve">0.42</w:t>
            </w:r>
          </w:p>
        </w:tc>
        <w:tc>
          <w:tcPr>
            <w:tcW w:type="dxa" w:w="692"/>
          </w:tcPr>
          <w:p>
            <w:r>
              <w:t xml:space="preserve">0.42</w:t>
            </w:r>
          </w:p>
        </w:tc>
        <w:tc>
          <w:tcPr>
            <w:tcW w:type="dxa" w:w="692"/>
          </w:tcPr>
          <w:p>
            <w:r>
              <w:t xml:space="preserve">-</w:t>
            </w:r>
          </w:p>
        </w:tc>
        <w:tc>
          <w:tcPr>
            <w:tcW w:type="dxa" w:w="692"/>
          </w:tcPr>
          <w:p>
            <w:r>
              <w:t xml:space="preserve">0.40</w:t>
            </w:r>
          </w:p>
        </w:tc>
        <w:tc>
          <w:tcPr>
            <w:tcW w:type="dxa" w:w="692"/>
          </w:tcPr>
          <w:p>
            <w:r>
              <w:t xml:space="preserve">0.40</w:t>
            </w:r>
          </w:p>
        </w:tc>
        <w:tc>
          <w:tcPr>
            <w:tcW w:type="dxa" w:w="692"/>
          </w:tcPr>
          <w:p>
            <w:r>
              <w:t xml:space="preserve">-</w:t>
            </w:r>
          </w:p>
        </w:tc>
        <w:tc>
          <w:tcPr>
            <w:tcW w:type="dxa" w:w="692"/>
          </w:tcPr>
          <w:p>
            <w:r>
              <w:t xml:space="preserve">0.39</w:t>
            </w:r>
          </w:p>
        </w:tc>
        <w:tc>
          <w:tcPr>
            <w:tcW w:type="dxa" w:w="692"/>
          </w:tcPr>
          <w:p>
            <w:r>
              <w:t xml:space="preserve">0.39</w:t>
            </w:r>
          </w:p>
        </w:tc>
        <w:tc>
          <w:tcPr>
            <w:tcW w:type="dxa" w:w="692"/>
          </w:tcPr>
          <w:p>
            <w:r>
              <w:t xml:space="preserve">-</w:t>
            </w:r>
          </w:p>
        </w:tc>
      </w:tr>
      <w:tr>
        <w:tc>
          <w:tcPr>
            <w:tcW w:type="dxa" w:w="692"/>
          </w:tcPr>
          <w:p>
            <w:r>
              <w:t xml:space="preserve">Tax Deducted at Sourceu/s 192B</w:t>
            </w:r>
          </w:p>
        </w:tc>
        <w:tc>
          <w:tcPr>
            <w:tcW w:type="dxa" w:w="692"/>
          </w:tcPr>
          <w:p>
            <w:r>
              <w:t xml:space="preserve">10.77</w:t>
            </w:r>
          </w:p>
        </w:tc>
        <w:tc>
          <w:tcPr>
            <w:tcW w:type="dxa" w:w="692"/>
          </w:tcPr>
          <w:p>
            <w:r>
              <w:t xml:space="preserve">10.77</w:t>
            </w:r>
          </w:p>
        </w:tc>
        <w:tc>
          <w:tcPr>
            <w:tcW w:type="dxa" w:w="692"/>
          </w:tcPr>
          <w:p>
            <w:r>
              <w:t xml:space="preserve">-</w:t>
            </w:r>
          </w:p>
        </w:tc>
        <w:tc>
          <w:tcPr>
            <w:tcW w:type="dxa" w:w="692"/>
          </w:tcPr>
          <w:p>
            <w:r>
              <w:t xml:space="preserve">11.50</w:t>
            </w:r>
          </w:p>
        </w:tc>
        <w:tc>
          <w:tcPr>
            <w:tcW w:type="dxa" w:w="692"/>
          </w:tcPr>
          <w:p>
            <w:r>
              <w:t xml:space="preserve">11.50</w:t>
            </w:r>
          </w:p>
        </w:tc>
        <w:tc>
          <w:tcPr>
            <w:tcW w:type="dxa" w:w="692"/>
          </w:tcPr>
          <w:p>
            <w:r>
              <w:t xml:space="preserve">-</w:t>
            </w:r>
          </w:p>
        </w:tc>
        <w:tc>
          <w:tcPr>
            <w:tcW w:type="dxa" w:w="692"/>
          </w:tcPr>
          <w:p>
            <w:r>
              <w:t xml:space="preserve">41.65</w:t>
            </w:r>
          </w:p>
        </w:tc>
        <w:tc>
          <w:tcPr>
            <w:tcW w:type="dxa" w:w="692"/>
          </w:tcPr>
          <w:p>
            <w:r>
              <w:t xml:space="preserve">41.65</w:t>
            </w:r>
          </w:p>
        </w:tc>
        <w:tc>
          <w:tcPr>
            <w:tcW w:type="dxa" w:w="692"/>
          </w:tcPr>
          <w:p>
            <w:r>
              <w:t xml:space="preserve">-</w:t>
            </w:r>
          </w:p>
        </w:tc>
        <w:tc>
          <w:tcPr>
            <w:tcW w:type="dxa" w:w="692"/>
          </w:tcPr>
          <w:p>
            <w:r>
              <w:t xml:space="preserve">52.03</w:t>
            </w:r>
          </w:p>
        </w:tc>
        <w:tc>
          <w:tcPr>
            <w:tcW w:type="dxa" w:w="692"/>
          </w:tcPr>
          <w:p>
            <w:r>
              <w:t xml:space="preserve">52.03</w:t>
            </w:r>
          </w:p>
        </w:tc>
        <w:tc>
          <w:tcPr>
            <w:tcW w:type="dxa" w:w="692"/>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 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Labour WelfareFund</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0.02</w:t>
            </w:r>
          </w:p>
        </w:tc>
        <w:tc>
          <w:tcPr>
            <w:tcW w:type="dxa" w:w="692"/>
          </w:tcPr>
          <w:p>
            <w:r>
              <w:t xml:space="preserve">0.02</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r>
      <w:tr>
        <w:tc>
          <w:tcPr>
            <w:tcW w:type="dxa" w:w="692"/>
          </w:tcPr>
          <w:p>
            <w:r>
              <w:t xml:space="preserve">Goods and Services Tax&amp;</w:t>
            </w:r>
          </w:p>
        </w:tc>
        <w:tc>
          <w:tcPr>
            <w:tcW w:type="dxa" w:w="692"/>
          </w:tcPr>
          <w:p>
            <w:r>
              <w:t xml:space="preserve">30.56</w:t>
            </w:r>
          </w:p>
        </w:tc>
        <w:tc>
          <w:tcPr>
            <w:tcW w:type="dxa" w:w="692"/>
          </w:tcPr>
          <w:p>
            <w:r>
              <w:t xml:space="preserve">30.65</w:t>
            </w:r>
          </w:p>
        </w:tc>
        <w:tc>
          <w:tcPr>
            <w:tcW w:type="dxa" w:w="692"/>
          </w:tcPr>
          <w:p>
            <w:r>
              <w:t xml:space="preserve">-</w:t>
            </w:r>
          </w:p>
        </w:tc>
        <w:tc>
          <w:tcPr>
            <w:tcW w:type="dxa" w:w="692"/>
          </w:tcPr>
          <w:p>
            <w:r>
              <w:t xml:space="preserve">98.95</w:t>
            </w:r>
          </w:p>
        </w:tc>
        <w:tc>
          <w:tcPr>
            <w:tcW w:type="dxa" w:w="692"/>
          </w:tcPr>
          <w:p>
            <w:r>
              <w:t xml:space="preserve">98.95</w:t>
            </w:r>
          </w:p>
        </w:tc>
        <w:tc>
          <w:tcPr>
            <w:tcW w:type="dxa" w:w="692"/>
          </w:tcPr>
          <w:p>
            <w:r>
              <w:t xml:space="preserve">-</w:t>
            </w:r>
          </w:p>
        </w:tc>
        <w:tc>
          <w:tcPr>
            <w:tcW w:type="dxa" w:w="692"/>
          </w:tcPr>
          <w:p>
            <w:r>
              <w:t xml:space="preserve">39.92</w:t>
            </w:r>
          </w:p>
        </w:tc>
        <w:tc>
          <w:tcPr>
            <w:tcW w:type="dxa" w:w="692"/>
          </w:tcPr>
          <w:p>
            <w:r>
              <w:t xml:space="preserve">39.92</w:t>
            </w:r>
          </w:p>
        </w:tc>
        <w:tc>
          <w:tcPr>
            <w:tcW w:type="dxa" w:w="692"/>
          </w:tcPr>
          <w:p>
            <w:r>
              <w:t xml:space="preserve">-</w:t>
            </w:r>
          </w:p>
        </w:tc>
        <w:tc>
          <w:tcPr>
            <w:tcW w:type="dxa" w:w="692"/>
          </w:tcPr>
          <w:p>
            <w:r>
              <w:t xml:space="preserve">17.61</w:t>
            </w:r>
          </w:p>
        </w:tc>
        <w:tc>
          <w:tcPr>
            <w:tcW w:type="dxa" w:w="692"/>
          </w:tcPr>
          <w:p>
            <w:r>
              <w:t xml:space="preserve">17.61</w:t>
            </w:r>
          </w:p>
        </w:tc>
        <w:tc>
          <w:tcPr>
            <w:tcW w:type="dxa" w:w="692"/>
          </w:tcPr>
          <w:p>
            <w:r>
              <w:t xml:space="preserve">-</w:t>
            </w:r>
          </w:p>
        </w:tc>
      </w:tr>
      <w:tr>
        <w:tc>
          <w:tcPr>
            <w:tcW w:type="dxa" w:w="692"/>
          </w:tcPr>
          <w:p>
            <w:r>
              <w:t xml:space="preserve">Total</w:t>
            </w:r>
          </w:p>
        </w:tc>
        <w:tc>
          <w:tcPr>
            <w:tcW w:type="dxa" w:w="692"/>
          </w:tcPr>
          <w:p>
            <w:r>
              <w:t xml:space="preserve">44.95</w:t>
            </w:r>
          </w:p>
        </w:tc>
        <w:tc>
          <w:tcPr>
            <w:tcW w:type="dxa" w:w="692"/>
          </w:tcPr>
          <w:p>
            <w:r>
              <w:t xml:space="preserve">44.95</w:t>
            </w:r>
          </w:p>
        </w:tc>
        <w:tc>
          <w:tcPr>
            <w:tcW w:type="dxa" w:w="692"/>
          </w:tcPr>
          <w:p>
            <w:r>
              <w:t xml:space="preserve"/>
            </w:r>
          </w:p>
        </w:tc>
        <w:tc>
          <w:tcPr>
            <w:tcW w:type="dxa" w:w="692"/>
          </w:tcPr>
          <w:p>
            <w:r>
              <w:t xml:space="preserve">123.07</w:t>
            </w:r>
          </w:p>
        </w:tc>
        <w:tc>
          <w:tcPr>
            <w:tcW w:type="dxa" w:w="692"/>
          </w:tcPr>
          <w:p>
            <w:r>
              <w:t xml:space="preserve">123.07</w:t>
            </w:r>
          </w:p>
        </w:tc>
        <w:tc>
          <w:tcPr>
            <w:tcW w:type="dxa" w:w="692"/>
          </w:tcPr>
          <w:p>
            <w:r>
              <w:t xml:space="preserve">-</w:t>
            </w:r>
          </w:p>
        </w:tc>
        <w:tc>
          <w:tcPr>
            <w:tcW w:type="dxa" w:w="692"/>
          </w:tcPr>
          <w:p>
            <w:r>
              <w:t xml:space="preserve">93.17</w:t>
            </w:r>
          </w:p>
        </w:tc>
        <w:tc>
          <w:tcPr>
            <w:tcW w:type="dxa" w:w="692"/>
          </w:tcPr>
          <w:p>
            <w:r>
              <w:t xml:space="preserve">93.17</w:t>
            </w:r>
          </w:p>
        </w:tc>
        <w:tc>
          <w:tcPr>
            <w:tcW w:type="dxa" w:w="692"/>
          </w:tcPr>
          <w:p>
            <w:r>
              <w:t xml:space="preserve">-</w:t>
            </w:r>
          </w:p>
        </w:tc>
        <w:tc>
          <w:tcPr>
            <w:tcW w:type="dxa" w:w="692"/>
          </w:tcPr>
          <w:p>
            <w:r>
              <w:t xml:space="preserve">80.14</w:t>
            </w:r>
          </w:p>
        </w:tc>
        <w:tc>
          <w:tcPr>
            <w:tcW w:type="dxa" w:w="692"/>
          </w:tcPr>
          <w:p>
            <w:r>
              <w:t xml:space="preserve">80.14</w:t>
            </w:r>
          </w:p>
        </w:tc>
        <w:tc>
          <w:tcPr>
            <w:tcW w:type="dxa" w:w="692"/>
          </w:tcPr>
          <w:p>
            <w:r>
              <w:t xml:space="preserve">-</w:t>
            </w:r>
          </w:p>
        </w:tc>
      </w:tr>
      <w:tr>
        <w:tc>
          <w:tcPr>
            <w:tcW w:type="dxa" w:w="692"/>
          </w:tcPr>
          <w:p>
            <w:r>
              <w:t xml:space="preserve">No   ofEmployee s as at period/yea r end*</w:t>
            </w:r>
          </w:p>
        </w:tc>
        <w:tc>
          <w:tcPr>
            <w:tcW w:type="dxa" w:w="692"/>
          </w:tcPr>
          <w:p>
            <w:r>
              <w:t xml:space="preserve">189</w:t>
            </w:r>
          </w:p>
        </w:tc>
        <w:tc>
          <w:tcPr>
            <w:tcW w:type="dxa" w:w="692"/>
          </w:tcPr>
          <w:p>
            <w:r>
              <w:t xml:space="preserve">178</w:t>
            </w:r>
          </w:p>
        </w:tc>
        <w:tc>
          <w:tcPr>
            <w:tcW w:type="dxa" w:w="692"/>
          </w:tcPr>
          <w:p>
            <w:r>
              <w:t xml:space="preserve">168</w:t>
            </w:r>
          </w:p>
        </w:tc>
        <w:tc>
          <w:tcPr>
            <w:tcW w:type="dxa" w:w="692"/>
          </w:tcPr>
          <w:p>
            <w:r>
              <w:t xml:space="preserve">161</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bl>
    <w:p/>
    <w:p>
      <w:r>
        <w:t xml:space="preserve">Note:</w:t>
      </w:r>
    </w:p>
    <w:p>
      <w:pPr>
        <w:pStyle w:val="ListParagraph"/>
        <w:numPr>
          <w:ilvl w:val="0"/>
          <w:numId w:val="2"/>
        </w:numPr>
      </w:pPr>
      <w:r>
        <w:t xml:space="preserve">The number of employees mentioned in the above table differ for every statutory due basis eligibility under respective acts.</w:t>
      </w:r>
    </w:p>
    <w:p>
      <w:pPr>
        <w:pStyle w:val="ListParagraph"/>
        <w:numPr>
          <w:ilvl w:val="0"/>
          <w:numId w:val="2"/>
        </w:numPr>
      </w:pPr>
      <w:r>
        <w:t xml:space="preserve">*excludes contractual employees.</w:t>
      </w:r>
    </w:p>
    <w:p>
      <w:r>
        <w:t xml:space="preserve">&amp; Goods and Services Tax includes only payment of taxes in cash.</w:t>
      </w:r>
    </w:p>
    <w:p>
      <w:r>
        <w:t xml:space="preserve"># Employer and Employee Contribution.</w:t>
      </w:r>
    </w:p>
    <w:p>
      <w:r>
        <w:t xml:space="preserve">The above-mentioned instances of delay in the payment of statutory dues were primarily due to operational reasons that were beyond the control of our Jimmie Franey. For instance, the delay in the payment of dues in respect of provident fund and employees state insurance were on account of payment of salaries in arrears and the delay in relation to payment of tax deducted at source was on account of belated receipt of invoices. Our Jimmie Franey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pStyle w:val="Heading4"/>
      </w:pPr>
      <w:r>
        <w:t xml:space="preserve">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r>
        <w:t xml:space="preserve">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r>
        <w:t xml:space="preserve">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Heading4"/>
      </w:pPr>
      <w:r>
        <w:t xml:space="preserve">We have substantial requirements for power and fuel for our manufacturing facilities and any disruption in the supply or increase in tariff may adversely affect our business, results of operations, and financial condition.</w:t>
      </w:r>
    </w:p>
    <w:p>
      <w:r>
        <w:t xml:space="preserve">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Power and fuel cost (₹ in million)</w:t>
            </w:r>
          </w:p>
        </w:tc>
        <w:tc>
          <w:tcPr>
            <w:tcW w:type="dxa" w:w="1800"/>
          </w:tcPr>
          <w:p>
            <w:r>
              <w:t xml:space="preserve">56.37</w:t>
            </w:r>
          </w:p>
        </w:tc>
        <w:tc>
          <w:tcPr>
            <w:tcW w:type="dxa" w:w="1800"/>
          </w:tcPr>
          <w:p>
            <w:r>
              <w:t xml:space="preserve">221.78</w:t>
            </w:r>
          </w:p>
        </w:tc>
        <w:tc>
          <w:tcPr>
            <w:tcW w:type="dxa" w:w="1800"/>
          </w:tcPr>
          <w:p>
            <w:r>
              <w:t xml:space="preserve">197.53</w:t>
            </w:r>
          </w:p>
        </w:tc>
        <w:tc>
          <w:tcPr>
            <w:tcW w:type="dxa" w:w="1800"/>
          </w:tcPr>
          <w:p>
            <w:r>
              <w:t xml:space="preserve">156.38</w:t>
            </w:r>
          </w:p>
        </w:tc>
      </w:tr>
      <w:tr>
        <w:tc>
          <w:tcPr>
            <w:tcW w:type="dxa" w:w="1800"/>
          </w:tcPr>
          <w:p>
            <w:r>
              <w:t xml:space="preserve">Percentage	of	total expenses (%)</w:t>
            </w:r>
          </w:p>
        </w:tc>
        <w:tc>
          <w:tcPr>
            <w:tcW w:type="dxa" w:w="1800"/>
          </w:tcPr>
          <w:p>
            <w:r>
              <w:t xml:space="preserve">1.07%</w:t>
            </w:r>
          </w:p>
        </w:tc>
        <w:tc>
          <w:tcPr>
            <w:tcW w:type="dxa" w:w="1800"/>
          </w:tcPr>
          <w:p>
            <w:r>
              <w:t xml:space="preserve">1.20%</w:t>
            </w:r>
          </w:p>
        </w:tc>
        <w:tc>
          <w:tcPr>
            <w:tcW w:type="dxa" w:w="1800"/>
          </w:tcPr>
          <w:p>
            <w:r>
              <w:t xml:space="preserve">1.47%</w:t>
            </w:r>
          </w:p>
        </w:tc>
        <w:tc>
          <w:tcPr>
            <w:tcW w:type="dxa" w:w="1800"/>
          </w:tcPr>
          <w:p>
            <w:r>
              <w:t xml:space="preserve">1.53%</w:t>
            </w:r>
          </w:p>
        </w:tc>
      </w:tr>
    </w:tbl>
    <w:p/>
    <w:p>
      <w:r>
        <w:t xml:space="preserve">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r>
        <w:t xml:space="preserve">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4"/>
      </w:pPr>
      <w:r>
        <w:t xml:space="preserve">We are subject to counterparty credit risk and any delay in receiving payments or non-receipt of payments from our customers could have an adverse effect on our business, results of operations, financial condition and cash flows.</w:t>
      </w:r>
    </w:p>
    <w:p>
      <w:r>
        <w:t xml:space="preserve">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w:t>
      </w:r>
    </w:p>
    <w:p>
      <w:r>
        <w:t xml:space="preserve">(₹ in million, except percentages)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Financial year ended</w:t>
            </w:r>
          </w:p>
        </w:tc>
        <w:tc>
          <w:tcPr>
            <w:tcW w:type="dxa" w:w="1800"/>
          </w:tcPr>
          <w:p>
            <w:r>
              <w:t xml:space="preserve"/>
            </w:r>
          </w:p>
        </w:tc>
        <w:tc>
          <w:tcPr>
            <w:tcW w:type="dxa" w:w="1800"/>
          </w:tcPr>
          <w:p>
            <w:r>
              <w:t xml:space="preserve"/>
            </w:r>
          </w:p>
        </w:tc>
      </w:tr>
      <w:tr>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c>
          <w:tcPr>
            <w:tcW w:type="dxa" w:w="1800"/>
          </w:tcPr>
          <w:p>
            <w:r>
              <w:t xml:space="preserve"/>
            </w:r>
          </w:p>
        </w:tc>
      </w:tr>
      <w:tr>
        <w:tc>
          <w:tcPr>
            <w:tcW w:type="dxa" w:w="1800"/>
          </w:tcPr>
          <w:p>
            <w:r>
              <w:t xml:space="preserve">Bad debts written off (A)</w:t>
            </w:r>
          </w:p>
        </w:tc>
        <w:tc>
          <w:tcPr>
            <w:tcW w:type="dxa" w:w="1800"/>
          </w:tcPr>
          <w:p>
            <w:r>
              <w:t xml:space="preserve">0.00</w:t>
            </w:r>
          </w:p>
        </w:tc>
        <w:tc>
          <w:tcPr>
            <w:tcW w:type="dxa" w:w="1800"/>
          </w:tcPr>
          <w:p>
            <w:r>
              <w:t xml:space="preserve">0.00</w:t>
            </w:r>
          </w:p>
        </w:tc>
        <w:tc>
          <w:tcPr>
            <w:tcW w:type="dxa" w:w="1800"/>
          </w:tcPr>
          <w:p>
            <w:r>
              <w:t xml:space="preserve">0.24</w:t>
            </w:r>
          </w:p>
        </w:tc>
        <w:tc>
          <w:tcPr>
            <w:tcW w:type="dxa" w:w="1800"/>
          </w:tcPr>
          <w:p>
            <w:r>
              <w:t xml:space="preserve">0.00</w:t>
            </w:r>
          </w:p>
        </w:tc>
      </w:tr>
      <w:tr>
        <w:tc>
          <w:tcPr>
            <w:tcW w:type="dxa" w:w="1800"/>
          </w:tcPr>
          <w:p>
            <w:r>
              <w:t xml:space="preserve">Bad debts written off as a percentage of revenue from operations (B = A/E) (%)</w:t>
            </w:r>
          </w:p>
        </w:tc>
        <w:tc>
          <w:tcPr>
            <w:tcW w:type="dxa" w:w="1800"/>
          </w:tcPr>
          <w:p>
            <w:r>
              <w:t xml:space="preserve">0.00%</w:t>
            </w:r>
          </w:p>
        </w:tc>
        <w:tc>
          <w:tcPr>
            <w:tcW w:type="dxa" w:w="1800"/>
          </w:tcPr>
          <w:p>
            <w:r>
              <w:t xml:space="preserve">0.00%</w:t>
            </w:r>
          </w:p>
        </w:tc>
        <w:tc>
          <w:tcPr>
            <w:tcW w:type="dxa" w:w="1800"/>
          </w:tcPr>
          <w:p>
            <w:r>
              <w:t xml:space="preserve">0.00%</w:t>
            </w:r>
          </w:p>
        </w:tc>
        <w:tc>
          <w:tcPr>
            <w:tcW w:type="dxa" w:w="1800"/>
          </w:tcPr>
          <w:p>
            <w:r>
              <w:t xml:space="preserve">0.00%</w:t>
            </w:r>
          </w:p>
        </w:tc>
      </w:tr>
      <w:tr>
        <w:tc>
          <w:tcPr>
            <w:tcW w:type="dxa" w:w="1800"/>
          </w:tcPr>
          <w:p>
            <w:r>
              <w:t xml:space="preserve">Provision for bad debt (C)</w:t>
            </w:r>
          </w:p>
        </w:tc>
        <w:tc>
          <w:tcPr>
            <w:tcW w:type="dxa" w:w="1800"/>
          </w:tcPr>
          <w:p>
            <w:r>
              <w:t xml:space="preserve">0.00</w:t>
            </w:r>
          </w:p>
        </w:tc>
        <w:tc>
          <w:tcPr>
            <w:tcW w:type="dxa" w:w="1800"/>
          </w:tcPr>
          <w:p>
            <w:r>
              <w:t xml:space="preserve">0.65</w:t>
            </w:r>
          </w:p>
        </w:tc>
        <w:tc>
          <w:tcPr>
            <w:tcW w:type="dxa" w:w="1800"/>
          </w:tcPr>
          <w:p>
            <w:r>
              <w:t xml:space="preserve">13.59</w:t>
            </w:r>
          </w:p>
        </w:tc>
        <w:tc>
          <w:tcPr>
            <w:tcW w:type="dxa" w:w="1800"/>
          </w:tcPr>
          <w:p>
            <w:r>
              <w:t xml:space="preserve">17.81</w:t>
            </w:r>
          </w:p>
        </w:tc>
      </w:tr>
      <w:tr>
        <w:tc>
          <w:tcPr>
            <w:tcW w:type="dxa" w:w="1800"/>
          </w:tcPr>
          <w:p>
            <w:r>
              <w:t xml:space="preserve">Provision for bad debt as a percentage of revenue from operations (D = C/E) (%)</w:t>
            </w:r>
          </w:p>
        </w:tc>
        <w:tc>
          <w:tcPr>
            <w:tcW w:type="dxa" w:w="1800"/>
          </w:tcPr>
          <w:p>
            <w:r>
              <w:t xml:space="preserve">0.00%</w:t>
            </w:r>
          </w:p>
        </w:tc>
        <w:tc>
          <w:tcPr>
            <w:tcW w:type="dxa" w:w="1800"/>
          </w:tcPr>
          <w:p>
            <w:r>
              <w:t xml:space="preserve">0.00%</w:t>
            </w:r>
          </w:p>
        </w:tc>
        <w:tc>
          <w:tcPr>
            <w:tcW w:type="dxa" w:w="1800"/>
          </w:tcPr>
          <w:p>
            <w:r>
              <w:t xml:space="preserve">0.10%</w:t>
            </w:r>
          </w:p>
        </w:tc>
        <w:tc>
          <w:tcPr>
            <w:tcW w:type="dxa" w:w="1800"/>
          </w:tcPr>
          <w:p>
            <w:r>
              <w:t xml:space="preserve">0.17%</w:t>
            </w:r>
          </w:p>
        </w:tc>
      </w:tr>
      <w:tr>
        <w:tc>
          <w:tcPr>
            <w:tcW w:type="dxa" w:w="1800"/>
          </w:tcPr>
          <w:p>
            <w:r>
              <w:t xml:space="preserve">Revenue from operations (E)</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pPr>
        <w:pStyle w:val="Heading4"/>
      </w:pPr>
      <w:r>
        <w:t xml:space="preserve">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r>
        <w:t xml:space="preserve">As of June 30, 2025, we have a dedicated team of 20 employees focused on new product/ process development and maintenance. During the three-month period ended June 30, 2025, and Fiscals 2025, 2024, and 2023, we have incurred</w:t>
      </w:r>
    </w:p>
    <w:p>
      <w:r>
        <w:t xml:space="preserve">₹4.49 million, ₹12.62 million,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4"/>
      </w:pPr>
      <w:r>
        <w:t xml:space="preserve">Our ability to access capital at attractive costs depends on our credit ratings. Non-availability of credit ratings or a poor rating may restrict our access to capital and thereby adversely affect our business, financial conditions, cash flows and results of operations.</w:t>
      </w:r>
    </w:p>
    <w:p>
      <w:r>
        <w:t xml:space="preserve">The cost and availability of capital depends on our credit ratings. Set out below are our credit ratings received from Champlin - Nitzsche Limited, in the three-month period ended June 30, 2025,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Date</w:t>
            </w:r>
          </w:p>
        </w:tc>
        <w:tc>
          <w:tcPr>
            <w:tcW w:type="dxa" w:w="2250"/>
          </w:tcPr>
          <w:p>
            <w:r>
              <w:t xml:space="preserve">Rating</w:t>
            </w:r>
          </w:p>
        </w:tc>
        <w:tc>
          <w:tcPr>
            <w:tcW w:type="dxa" w:w="2250"/>
          </w:tcPr>
          <w:p>
            <w:r>
              <w:t xml:space="preserve">Outlook</w:t>
            </w:r>
          </w:p>
        </w:tc>
        <w:tc>
          <w:tcPr>
            <w:tcW w:type="dxa" w:w="2250"/>
          </w:tcPr>
          <w:p>
            <w:r>
              <w:t xml:space="preserve">Facilities/ Instrument</w:t>
            </w:r>
          </w:p>
        </w:tc>
      </w:tr>
      <w:tr>
        <w:tc>
          <w:tcPr>
            <w:tcW w:type="dxa" w:w="2250"/>
          </w:tcPr>
          <w:p>
            <w:r>
              <w:t xml:space="preserve">December 10, 2024</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December 18, 2023</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November 30, 2022</w:t>
            </w:r>
          </w:p>
        </w:tc>
        <w:tc>
          <w:tcPr>
            <w:tcW w:type="dxa" w:w="2250"/>
          </w:tcPr>
          <w:p>
            <w:r>
              <w:t xml:space="preserve">‘CARE A-’</w:t>
            </w:r>
          </w:p>
        </w:tc>
        <w:tc>
          <w:tcPr>
            <w:tcW w:type="dxa" w:w="2250"/>
          </w:tcPr>
          <w:p>
            <w:r>
              <w:t xml:space="preserve">Positive</w:t>
            </w:r>
          </w:p>
        </w:tc>
        <w:tc>
          <w:tcPr>
            <w:tcW w:type="dxa" w:w="2250"/>
          </w:tcPr>
          <w:p>
            <w:r>
              <w:t xml:space="preserve">Long Term Bank Facilities</w:t>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bl>
    <w:p/>
    <w:p>
      <w:r>
        <w:t xml:space="preserve">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r>
        <w:t xml:space="preserve">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4"/>
      </w:pPr>
      <w:r>
        <w:t xml:space="preserve">Exchange rate fluctuations may adversely affect our business, financial conditions, cash flows and results of operations.</w:t>
      </w:r>
    </w:p>
    <w:p>
      <w:r>
        <w:t xml:space="preserve">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t xml:space="preserve">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on page 36.</w:t>
      </w:r>
    </w:p>
    <w:p>
      <w:r>
        <w:t xml:space="preserve">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pStyle w:val="Heading4"/>
      </w:pPr>
      <w:r>
        <w:t xml:space="preserve">Fraud, employee misconduct or similar incidents may adversely affect our results of operations and cash flows.</w:t>
      </w:r>
    </w:p>
    <w:p>
      <w:r>
        <w:t xml:space="preserve">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Jimmie Franey which had resulted in regulatory actions and litigation thereby creating an adverse impact on the business, reputation, results of operations, financial condition and cash flows of our Jimmie Franey,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4"/>
      </w:pPr>
      <w:r>
        <w:t xml:space="preserve">Some of our manufacturing facilities and our Corporate Office are leased by us. In the event we lose or are unable to renew such leasehold rights, our business, financial condition and results of operations may be adversely affected.</w:t>
      </w:r>
    </w:p>
    <w:p>
      <w: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p>
    <w:p>
      <w:r>
        <w:t xml:space="preserve">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pStyle w:val="Heading4"/>
      </w:pPr>
      <w:r>
        <w:t xml:space="preserve">We have not made any alternate arrangements for meeting our capital requirements for the Objects of the Offer. Any shortfall in raising / meeting the same could adversely affect our growth plans, operations and financial performance.</w:t>
      </w:r>
    </w:p>
    <w:p>
      <w:r>
        <w:t xml:space="preserve">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t xml:space="preserve">to raise money from this Offer or any shortfall in the Offer proceeds may delay the implementation schedule and could adversely affect our growth plans. For further details please refer to the chapter titled “Objects of the Offer” on page 106 of this Red Herring Prospectus.</w:t>
      </w:r>
    </w:p>
    <w:p>
      <w:pPr>
        <w:pStyle w:val="Heading4"/>
      </w:pPr>
      <w:r>
        <w:t xml:space="preserve">A portion of the Net Proceeds may be utilised for repayment or prepayment of certain loan facilities availed by our Jimmie Franey.</w:t>
      </w:r>
    </w:p>
    <w:p>
      <w:r>
        <w:t xml:space="preserve">We propose to repay or pre-pay certain loan facilities availed by our Jimmie Franey from Bank from the Net Proceeds. For details, see “Objects of the Offer” on page 106.</w:t>
      </w:r>
    </w:p>
    <w:p>
      <w:r>
        <w:t xml:space="preserve">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r>
        <w:t xml:space="preserve">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Jimmie Franey. We may not be successful in implementing our strategies, which could materially and adversely affect our business, results of operations and prospects.</w:t>
      </w:r>
    </w:p>
    <w:p>
      <w:r>
        <w:t xml:space="preserve">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pStyle w:val="ListParagraph"/>
        <w:numPr>
          <w:ilvl w:val="0"/>
          <w:numId w:val="2"/>
        </w:numPr>
      </w:pPr>
      <w:r>
        <w:t xml:space="preserve">the availability, terms and costs of financing;</w:t>
      </w:r>
    </w:p>
    <w:p>
      <w:pPr>
        <w:pStyle w:val="ListParagraph"/>
        <w:numPr>
          <w:ilvl w:val="0"/>
          <w:numId w:val="2"/>
        </w:numPr>
      </w:pPr>
      <w:r>
        <w:t xml:space="preserve">the grant of regulatory approvals; and</w:t>
      </w:r>
    </w:p>
    <w:p>
      <w:pPr>
        <w:pStyle w:val="ListParagraph"/>
        <w:numPr>
          <w:ilvl w:val="0"/>
          <w:numId w:val="2"/>
        </w:numPr>
      </w:pPr>
      <w:r>
        <w:t xml:space="preserve">general economic conditions in such markets.</w:t>
      </w:r>
    </w:p>
    <w:p>
      <w:r>
        <w:t xml:space="preserve">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pStyle w:val="Heading4"/>
      </w:pPr>
      <w:r>
        <w:t xml:space="preserve">Our failure to keep our technical knowledge confidential could erode our competitive advantage.</w:t>
      </w:r>
    </w:p>
    <w:p>
      <w:r>
        <w:t xml:space="preserve">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pPr>
        <w:pStyle w:val="Heading4"/>
      </w:pPr>
      <w:r>
        <w:t xml:space="preserve">Our Jimmie Franey has availed unsecured loans from financial institutions which may be recalled on demand.</w:t>
      </w:r>
    </w:p>
    <w:p>
      <w:r>
        <w:t xml:space="preserve">As of October 31, 2025, our Jimmie Franey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Jimmie Franey may be required to repay the entirety of the unsecured loans together with accrued interest. Our Jimmie Franey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Jimmie Franey, see, “Restated Financial Statement” on page 280.</w:t>
      </w:r>
    </w:p>
    <w:p>
      <w:pPr>
        <w:pStyle w:val="Heading4"/>
      </w:pPr>
      <w:r>
        <w:t xml:space="preserve">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p>
    <w:p>
      <w:r>
        <w:t xml:space="preserve">We are led by our Individual Promoters Hope Shields, Miss Caroline Blanda Jr., Misael Blanda, Lew Bergnaum and Lon Kozey. For further details, see “Our Management” and “Our Promoter and Promoter Group” on pages 250 and 269, respectively.</w:t>
      </w:r>
    </w:p>
    <w:p>
      <w:r>
        <w:t xml:space="preserve">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r>
        <w:t xml:space="preserve">As on date, our Jimmie Franey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w:t>
      </w:r>
    </w:p>
    <w:p>
      <w:r>
        <w:t xml:space="preserve">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r>
        <w:t xml:space="preserve">The following table sets forth the attrition rate for KMPs, SMs and other employees, respectively,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Cumulative attrition rate of KMPs and SMs</w:t>
            </w:r>
          </w:p>
        </w:tc>
        <w:tc>
          <w:tcPr>
            <w:tcW w:type="dxa" w:w="1800"/>
          </w:tcPr>
          <w:p>
            <w:r>
              <w:t xml:space="preserve">0.00%</w:t>
            </w:r>
          </w:p>
        </w:tc>
        <w:tc>
          <w:tcPr>
            <w:tcW w:type="dxa" w:w="1800"/>
          </w:tcPr>
          <w:p>
            <w:r>
              <w:t xml:space="preserve">0.00%</w:t>
            </w:r>
          </w:p>
        </w:tc>
        <w:tc>
          <w:tcPr>
            <w:tcW w:type="dxa" w:w="1800"/>
          </w:tcPr>
          <w:p>
            <w:r>
              <w:t xml:space="preserve">9.09%</w:t>
            </w:r>
          </w:p>
        </w:tc>
        <w:tc>
          <w:tcPr>
            <w:tcW w:type="dxa" w:w="18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Employee attrition rate (excluding KMPs/ SMs)</w:t>
            </w:r>
          </w:p>
        </w:tc>
        <w:tc>
          <w:tcPr>
            <w:tcW w:type="dxa" w:w="1800"/>
          </w:tcPr>
          <w:p>
            <w:r>
              <w:t xml:space="preserve">4.00%</w:t>
            </w:r>
          </w:p>
        </w:tc>
        <w:tc>
          <w:tcPr>
            <w:tcW w:type="dxa" w:w="1800"/>
          </w:tcPr>
          <w:p>
            <w:r>
              <w:t xml:space="preserve">15.00%</w:t>
            </w:r>
          </w:p>
        </w:tc>
        <w:tc>
          <w:tcPr>
            <w:tcW w:type="dxa" w:w="1800"/>
          </w:tcPr>
          <w:p>
            <w:r>
              <w:t xml:space="preserve">12.10%</w:t>
            </w:r>
          </w:p>
        </w:tc>
        <w:tc>
          <w:tcPr>
            <w:tcW w:type="dxa" w:w="1800"/>
          </w:tcPr>
          <w:p>
            <w:r>
              <w:t xml:space="preserve">18.00%</w:t>
            </w:r>
          </w:p>
        </w:tc>
      </w:tr>
    </w:tbl>
    <w:p/>
    <w:p>
      <w:r>
        <w:t xml:space="preserve">For further details regarding the employees, see “Our Business – Human Resources” on page 235.</w:t>
      </w:r>
    </w:p>
    <w:p>
      <w:r>
        <w:t xml:space="preserve">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t xml:space="preserve">or qualified replacements, our results of operations may be adversely affected. For details of changes in our key management personnel, please see “Our Management” on page 250.</w:t>
      </w:r>
    </w:p>
    <w:p>
      <w:r>
        <w:t xml:space="preserve">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pStyle w:val="Heading4"/>
      </w:pPr>
      <w:r>
        <w:t xml:space="preserve">Apart from two of our Directors, none of our Directors have any prior experience of directorships in listed companies. Post listing of the Equity Shares on the Stock Exchanges, our Jimmie Franey will be subject to the applicable regulatory requirements of a listed Jimmie Franey, including regulations prescribed under SEBI Listing Regulations and the Companies Act. Any non-compliance with the regulatory requirements, due to lack of experience or otherwise, may subject us to adverse regulatory actions.</w:t>
      </w:r>
    </w:p>
    <w:p>
      <w:r>
        <w:t xml:space="preserve">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Dinesh Hirachand Munot and Ajay Shriram Patil, none of our Directors, are currently on the board of directors of companies that are listed on the stock exchanges in India or outside India. Accordingly, most of our Directors have limited exposure to management of affairs of a listed Jimmie Franey which, inter alia, entails several compliance requirements and scrutiny of affairs by shareholders, regulators and the public at large that is associated with being a listed Jimmie Franey.</w:t>
      </w:r>
    </w:p>
    <w:p>
      <w:r>
        <w:t xml:space="preserve">Post listing of the Equity Shares on the Stock Exchanges, our Jimmie Franey will be subject to the applicable regulatory requirements of a listed Jimmie Franey, including the regulations prescribed under the SEBI Listing Regulations and the Companies Act. These laws impose various obligations related to corporate governance, disclosure practices, and compliance measures which were not applicable to us as an unlisted Jimmie Franey. Any delay or non-compliance with such applicable regulatory requirements, due to lack of experience or otherwise, may present certain potential challenges for our Jimmie Franey including but not limited to adverse regulatory actions or imposition of fines.</w:t>
      </w:r>
    </w:p>
    <w:p>
      <w:r>
        <w:t xml:space="preserve">As a result, the Board of Directors may have to provide increased attention to such procedures and their attention may be diverted from our business concerns, which may adversely affect our business, prospects, results of operations and financial condition.</w:t>
      </w:r>
    </w:p>
    <w:p>
      <w:pPr>
        <w:pStyle w:val="Heading4"/>
      </w:pPr>
      <w:r>
        <w:t xml:space="preserve">We currently avail benefits under certain Government incentive schemes. Cancellation or our inability to meet the conditions under such schemes may result in adversely affect our business operations, cash flows, results of operations and financial condition.</w:t>
      </w:r>
    </w:p>
    <w:p>
      <w:r>
        <w:t xml:space="preserve">During the three-month period ended June 30, 2025, and preceding three Fiscals, our Jimmie Franey has availed certain incentives such as Merchandise Exports from India Scheme (“MEIS”) and Remission of Duties or Taxes on Export of Products Scheme (“RoDTEP”). The table below sets forth details relating to government incentive schemes: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Three-month period ended June 30, 2025</w:t>
            </w:r>
          </w:p>
        </w:tc>
        <w:tc>
          <w:tcPr>
            <w:tcW w:type="dxa" w:w="1125"/>
          </w:tcPr>
          <w:p>
            <w:r>
              <w:t xml:space="preserve">Fiscal 2025</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Governmen t Incentive schemes (₹ in million)</w:t>
            </w:r>
          </w:p>
        </w:tc>
        <w:tc>
          <w:tcPr>
            <w:tcW w:type="dxa" w:w="1125"/>
          </w:tcPr>
          <w:p>
            <w:r>
              <w:t xml:space="preserve">Percentage of Revenue from Operations(%)</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r>
      <w:tr>
        <w:tc>
          <w:tcPr>
            <w:tcW w:type="dxa" w:w="1125"/>
          </w:tcPr>
          <w:p>
            <w:r>
              <w:t xml:space="preserve">2.67</w:t>
            </w:r>
          </w:p>
        </w:tc>
        <w:tc>
          <w:tcPr>
            <w:tcW w:type="dxa" w:w="1125"/>
          </w:tcPr>
          <w:p>
            <w:r>
              <w:t xml:space="preserve">0.05%</w:t>
            </w:r>
          </w:p>
        </w:tc>
        <w:tc>
          <w:tcPr>
            <w:tcW w:type="dxa" w:w="1125"/>
          </w:tcPr>
          <w:p>
            <w:r>
              <w:t xml:space="preserve">25.58</w:t>
            </w:r>
          </w:p>
        </w:tc>
        <w:tc>
          <w:tcPr>
            <w:tcW w:type="dxa" w:w="1125"/>
          </w:tcPr>
          <w:p>
            <w:r>
              <w:t xml:space="preserve">0.13%</w:t>
            </w:r>
          </w:p>
        </w:tc>
        <w:tc>
          <w:tcPr>
            <w:tcW w:type="dxa" w:w="1125"/>
          </w:tcPr>
          <w:p>
            <w:r>
              <w:t xml:space="preserve">0</w:t>
            </w:r>
          </w:p>
        </w:tc>
        <w:tc>
          <w:tcPr>
            <w:tcW w:type="dxa" w:w="1125"/>
          </w:tcPr>
          <w:p>
            <w:r>
              <w:t xml:space="preserve">0%</w:t>
            </w:r>
          </w:p>
        </w:tc>
        <w:tc>
          <w:tcPr>
            <w:tcW w:type="dxa" w:w="1125"/>
          </w:tcPr>
          <w:p>
            <w:r>
              <w:t xml:space="preserve">0.75</w:t>
            </w:r>
          </w:p>
        </w:tc>
        <w:tc>
          <w:tcPr>
            <w:tcW w:type="dxa" w:w="1125"/>
          </w:tcPr>
          <w:p>
            <w:r>
              <w:t xml:space="preserve">0.01%</w:t>
            </w:r>
          </w:p>
        </w:tc>
      </w:tr>
    </w:tbl>
    <w:p/>
    <w:p>
      <w:r>
        <w:t xml:space="preserve">In relation to our upcoming projects, including in relation to, setting up of our Supa Facility, we expect to receive incentives from the Maharashtra State Government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t xml:space="preserve">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t xml:space="preserve">with effect from February 5, 2025 for certain categories of beneficiaries which also includes our Jimmie Franey. Further, our inability to meet the conditions as prescribed under such schemes would make our Jimmie Franey less competitive against its competitors who have been availing this scheme by complying all conditions.</w:t>
      </w:r>
    </w:p>
    <w:p>
      <w:pPr>
        <w:pStyle w:val="Heading4"/>
      </w:pPr>
      <w:r>
        <w:t xml:space="preserve">We may be unable to adequately protect intellectual property that we use and may be subject to risks of infringement claims.</w:t>
      </w:r>
    </w:p>
    <w:p>
      <w:r>
        <w:t xml:space="preserve">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r>
        <w:t xml:space="preserve">Our trademark “KSH” is also used by 18 other entities, including, (i) Zboncak - Sanford Limited; (ii) Keebler and Sons Limited; (iii) KSH Infra Park 5 Private Limited; (iv) Labadie, Tremblay and Ullrich Limited; (v) Wiegand-Marvin - Greenholt Limited; (vi) Schiller - Kunde Limited; (vii) Kushal Motors and Torphy - Conroy Limited; (viii) Boehm, Schuster and Bogan Limited; (ix) Schulist, Romaguera-Hirthe and MacGyver Limited; (x) Kunde Group Limited; (xi) Carroll LLC Limited; (xii) Hirthe-Grant, Windler and Baumbach-Toy Limited; (xiii) Schinner, Hirthe and Bashirian Limited; (xiv) Lueilwitz and Sons Limited; (xv) Kling LLC Limited; (xvi) Goyette and Sons Limited Limited; (xvii) Watsica and Sons Limited Limited; and (xviii) Gottlieb, Hermann and Wiza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p>
    <w:p>
      <w:r>
        <w:t xml:space="preserve">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r>
        <w:t xml:space="preserve">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w:t>
      </w:r>
    </w:p>
    <w:p>
      <w:pPr>
        <w:pStyle w:val="Heading4"/>
      </w:pPr>
      <w:r>
        <w:t xml:space="preserve">Our insurance coverage may not be sufficient or adequate to protect us against all material hazards, which may adversely affect our business, results of operations, financial condition and cash flows</w:t>
      </w:r>
    </w:p>
    <w:p>
      <w:r>
        <w:t xml:space="preserve">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r>
        <w:t xml:space="preserve">(i)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Jimmie Franey,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r>
        <w:t xml:space="preserve">The following table sets forth our insurance cover in absolute amount and as a percentage of net assets as of the dates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Book value of assets (in ₹ million)</w:t>
            </w:r>
          </w:p>
        </w:tc>
        <w:tc>
          <w:tcPr>
            <w:tcW w:type="dxa" w:w="2250"/>
          </w:tcPr>
          <w:p>
            <w:r>
              <w:t xml:space="preserve">Insurance Coverage** (in ₹ million)</w:t>
            </w:r>
          </w:p>
        </w:tc>
        <w:tc>
          <w:tcPr>
            <w:tcW w:type="dxa" w:w="2250"/>
          </w:tcPr>
          <w:p>
            <w:r>
              <w:t xml:space="preserve">Average Percentage of insurance coverage to net value of assets (in%)</w:t>
            </w:r>
          </w:p>
        </w:tc>
      </w:tr>
      <w:tr>
        <w:tc>
          <w:tcPr>
            <w:tcW w:type="dxa" w:w="2250"/>
          </w:tcPr>
          <w:p>
            <w:r>
              <w:t xml:space="preserve">As on three-month period ended June 30, 2025</w:t>
            </w:r>
          </w:p>
        </w:tc>
        <w:tc>
          <w:tcPr>
            <w:tcW w:type="dxa" w:w="2250"/>
          </w:tcPr>
          <w:p>
            <w:r>
              <w:t xml:space="preserve">4,560.56</w:t>
            </w:r>
          </w:p>
        </w:tc>
        <w:tc>
          <w:tcPr>
            <w:tcW w:type="dxa" w:w="2250"/>
          </w:tcPr>
          <w:p>
            <w:r>
              <w:t xml:space="preserve">5,531.49</w:t>
            </w:r>
          </w:p>
        </w:tc>
        <w:tc>
          <w:tcPr>
            <w:tcW w:type="dxa" w:w="2250"/>
          </w:tcPr>
          <w:p>
            <w:r>
              <w:t xml:space="preserve">121.29%</w:t>
            </w:r>
          </w:p>
        </w:tc>
      </w:tr>
      <w:tr>
        <w:tc>
          <w:tcPr>
            <w:tcW w:type="dxa" w:w="2250"/>
          </w:tcPr>
          <w:p>
            <w:r>
              <w:t xml:space="preserve">As on financial year ended March 31, 2025</w:t>
            </w:r>
          </w:p>
        </w:tc>
        <w:tc>
          <w:tcPr>
            <w:tcW w:type="dxa" w:w="2250"/>
          </w:tcPr>
          <w:p>
            <w:r>
              <w:t xml:space="preserve">4045.16</w:t>
            </w:r>
          </w:p>
        </w:tc>
        <w:tc>
          <w:tcPr>
            <w:tcW w:type="dxa" w:w="2250"/>
          </w:tcPr>
          <w:p>
            <w:r>
              <w:t xml:space="preserve">5,526.27</w:t>
            </w:r>
          </w:p>
        </w:tc>
        <w:tc>
          <w:tcPr>
            <w:tcW w:type="dxa" w:w="2250"/>
          </w:tcPr>
          <w:p>
            <w:r>
              <w:t xml:space="preserve">136.61%</w:t>
            </w:r>
          </w:p>
        </w:tc>
      </w:tr>
      <w:tr>
        <w:tc>
          <w:tcPr>
            <w:tcW w:type="dxa" w:w="2250"/>
          </w:tcPr>
          <w:p>
            <w:r>
              <w:t xml:space="preserve">As on financial year ended March 31, 2024</w:t>
            </w:r>
          </w:p>
        </w:tc>
        <w:tc>
          <w:tcPr>
            <w:tcW w:type="dxa" w:w="2250"/>
          </w:tcPr>
          <w:p>
            <w:r>
              <w:t xml:space="preserve">2,325.63</w:t>
            </w:r>
          </w:p>
        </w:tc>
        <w:tc>
          <w:tcPr>
            <w:tcW w:type="dxa" w:w="2250"/>
          </w:tcPr>
          <w:p>
            <w:r>
              <w:t xml:space="preserve">3,348.99</w:t>
            </w:r>
          </w:p>
        </w:tc>
        <w:tc>
          <w:tcPr>
            <w:tcW w:type="dxa" w:w="2250"/>
          </w:tcPr>
          <w:p>
            <w:r>
              <w:t xml:space="preserve">144.00%</w:t>
            </w:r>
          </w:p>
        </w:tc>
      </w:tr>
      <w:tr>
        <w:tc>
          <w:tcPr>
            <w:tcW w:type="dxa" w:w="2250"/>
          </w:tcPr>
          <w:p>
            <w:r>
              <w:t xml:space="preserve">As on financial year ended March 31, 2023</w:t>
            </w:r>
          </w:p>
        </w:tc>
        <w:tc>
          <w:tcPr>
            <w:tcW w:type="dxa" w:w="2250"/>
          </w:tcPr>
          <w:p>
            <w:r>
              <w:t xml:space="preserve">1,960.55</w:t>
            </w:r>
          </w:p>
        </w:tc>
        <w:tc>
          <w:tcPr>
            <w:tcW w:type="dxa" w:w="2250"/>
          </w:tcPr>
          <w:p>
            <w:r>
              <w:t xml:space="preserve">2,486.50</w:t>
            </w:r>
          </w:p>
        </w:tc>
        <w:tc>
          <w:tcPr>
            <w:tcW w:type="dxa" w:w="2250"/>
          </w:tcPr>
          <w:p>
            <w:r>
              <w:t xml:space="preserve">126.83%</w:t>
            </w:r>
          </w:p>
        </w:tc>
      </w:tr>
    </w:tbl>
    <w:p/>
    <w:p>
      <w:r>
        <w:t xml:space="preserve">* Assets represent Fixed Assets including Capital Work in Progress and Inventory and excluding Freehold Land and Leasehold Land, Intangibles, Investments, Cash and Bank Balances, other Bank Balances and Advances and Other Assets.</w:t>
      </w:r>
    </w:p>
    <w:p>
      <w:r>
        <w:t xml:space="preserve">** Insurance policies do not include Marine Insurance, Transit Insurance and Burglary Policies.</w:t>
      </w:r>
    </w:p>
    <w:p>
      <w:r>
        <w:t xml:space="preserve">While there have not been any instances where insurance coverage of our Jimmie Franey was inadequate to protect us against all material hazards and had adverse effect on the business, results of operations and financial condition of our Jimmie Franey,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Jimmie Franey has not made any insurance claims in the three-month period ended June 30, 2025, and Fiscal 2025, 2024, and 2023. However, our Jimmie Franey has recently made one insurance claim aggregating to ₹2.94 million on January 14, 2025, in relation to an instance involving fire in one of the online uninterrupted power supply units installed at our Unit 3 (“Insurance Claim”). The Insurance Claim was rejected by the insurer and our Jimmie Franey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4"/>
      </w:pPr>
      <w:r>
        <w:t xml:space="preserve">We have certain contingent liabilities that have not been provided for in our financial statements, which if they materialise, may adversely affect our financial condition.</w:t>
      </w:r>
    </w:p>
    <w:p>
      <w:r>
        <w:t xml:space="preserve">As at June 30, 2025, our contingent liabilities as per Ind AS 37 – provisions, contingent liabilities and contingent assets, that have not been provided for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Our contingent liabilities may materialise and become actual liabilities. In such case, our business, financial condition, cash flows and results of operations may be adversely affected. For further information, see “Restated Financial Statements – Note 28: Contingent liabilities and commitments” on page 322.</w:t>
      </w:r>
    </w:p>
    <w:p>
      <w:pPr>
        <w:pStyle w:val="Heading4"/>
      </w:pPr>
      <w:r>
        <w:t xml:space="preserve">Our Promoters and certain of our Directors are interested in our Jimmie Franey in addition to their remuneration and reimbursement of expenses.</w:t>
      </w:r>
    </w:p>
    <w:p>
      <w:r>
        <w:t xml:space="preserve">Our Promoters and certain of our Directors have interests in us other than the reimbursement of expenses incurred and normal remuneration and benefits. They are interested in us to the extent of Equity Shares held by them, and their relatives in our Jimmie Franey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Jimmie Franey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p>
    <w:p>
      <w:r>
        <w:t xml:space="preserve">We cannot assure you that any Director who may be interested in the future, would always exercise their rights as Shareholders to the benefit and best interest of our Jimmie Franey. As a result, such Director in the future will continue to exercise significant control over our Jimmie Franey,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Heading4"/>
      </w:pPr>
      <w:r>
        <w:t xml:space="preserve">We have entered into, and will continue to enter into, related party transactions that may involve conflicts of interest.</w:t>
      </w:r>
    </w:p>
    <w:p>
      <w:r>
        <w:t xml:space="preserve">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Jimmie Franey could not have undertaken such transactions on more favorable terms with any unrelated parties. We cannot assure you that any dispute that may arise between us and related parties will be resolved in our favour.</w:t>
      </w:r>
    </w:p>
    <w:p>
      <w:pPr>
        <w:pStyle w:val="Heading4"/>
      </w:pPr>
      <w:r>
        <w:t xml:space="preserve">Our Promoters and members of our Promoter Group will continue to hold a significant equity stake in our Jimmie Franey after the Offer and their interests may differ from those of the other shareholders.</w:t>
      </w:r>
    </w:p>
    <w:p>
      <w:r>
        <w:t xml:space="preserve">As on the date of this Red Herring Prospectus, our Promoters and members of the Promoter Group collectively hold 98.40% of the paid-up Equity Share capital of our Jimmie Franey. For further information on their shareholding pre and post-Offer, see “Capital Structure” on page 84. After the completion of the Offer, our Promoters along with the members of Promoter Group will continue to collectively hold majority of the shareholding in our Jimmie Franey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Jimmie Franey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Jimmie Franey, see “Our Promoters and Promoter Group” and “Our Management” on pages 269 and 250, respectively.</w:t>
      </w:r>
    </w:p>
    <w:p>
      <w:pPr>
        <w:pStyle w:val="Heading4"/>
      </w:pPr>
      <w:r>
        <w:t xml:space="preserve">Technological failures could disrupt our operations and adversely affect our business operations and financial performance.</w:t>
      </w:r>
    </w:p>
    <w:p>
      <w:r>
        <w:t xml:space="preserve">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Heading4"/>
      </w:pPr>
      <w:r>
        <w:t xml:space="preserve">Any variation in the utilization of the Net Proceeds as disclosed in this Red Herring Prospectus shall be subject to certain compliance requirements, including prior approval of the shareholders of our Jimmie Franey.</w:t>
      </w:r>
    </w:p>
    <w:p>
      <w:r>
        <w:t xml:space="preserve">We propose to utilize the Net Proceeds towards (i) Prepayment and/or repayment, in full or in part, of all or a portion of certain outstanding borrowings availed by our Jimmie Franey; (ii) Funding the capital expenditure requirements of our Jimmie Franey towards (b) purchasing and setting up of new machinery for expansion at our Supa Facility; and (b) purchasing and setting up of new machinery at Unit 2 in Chakan, Pune in Maharashtra; (iii) Funding the capital expenditure requirements of our Jimmie Franey towards purchasing and setting up of a rooftop solar power plant for power generation at our Supa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Jimmie Franey who do not agree with our proposal to modify the objects of the Offer, at a price and manner as prescribed by SEBI.</w:t>
      </w:r>
    </w:p>
    <w:p>
      <w:r>
        <w:t xml:space="preserve">Additionally, the requirement on Promoters to provide an exit opportunity to such dissenting shareholders of our Jimmie Franey may deter our Promoters from agreeing to the variation of the proposed utilization of the Net Proceeds, even if such variation is in the interest of our Jimmie Franey. Further, we cannot assure you that our Promoters of our Jimmie Franey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Jimmie Franey. This may restrict our Jimmie Franey’s ability to respond to any change in our business or financial condition by re-deploying the unutilized portion of Net Proceeds, if any, which may adversely affect our business, financial conditions, cash flows and results of operations.</w:t>
      </w:r>
    </w:p>
    <w:p>
      <w:pPr>
        <w:pStyle w:val="Heading4"/>
      </w:pPr>
      <w:r>
        <w:t xml:space="preserve">We may be susceptible to liabilities arising from violation of applicable anti-bribery and anti-corruption laws.</w:t>
      </w:r>
    </w:p>
    <w:p>
      <w:r>
        <w:t xml:space="preserve">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Jimmie Franey maintains a policy on business conduct relating to anti-bribery and corruption, and which applies to the employees of our Jimmie Franey.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pStyle w:val="Heading4"/>
      </w:pPr>
      <w:r>
        <w:t xml:space="preserve">Our ability to pay dividends in the future will depend on our future cash flows, working capital requirements, capital expenditures and financial condition.</w:t>
      </w:r>
    </w:p>
    <w:p>
      <w:r>
        <w:t xml:space="preserve">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pStyle w:val="Heading4"/>
      </w:pPr>
      <w:r>
        <w:t xml:space="preserve">The disclosures related to the educational qualifications of certain of our Promoters in this Red Herring Prospectus are based on declarations, affidavits, and undertakings furnished by them.</w:t>
      </w:r>
    </w:p>
    <w:p>
      <w:r>
        <w:t xml:space="preserve">Our Promoter, Chairman and Executive Director, Hope Shields, and our Promoter, Mr. Salvador Hyatt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t xml:space="preserve">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pStyle w:val="Heading4"/>
      </w:pPr>
      <w:r>
        <w:t xml:space="preserve">Our Jimmie Franey will not receive any proceeds from the Offer for Sale. Our Promoter Selling Shareholders will receive the proceeds from the Offer for Sale.</w:t>
      </w:r>
    </w:p>
    <w:p>
      <w:r>
        <w:t xml:space="preserve">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p>
    <w:p>
      <w:pPr>
        <w:pStyle w:val="Heading2"/>
      </w:pPr>
      <w:r>
        <w:t xml:space="preserve">SECTION III – INTRODUCTION THE OFFER</w:t>
      </w:r>
    </w:p>
    <w:p>
      <w:r>
        <w:t xml:space="preserve">The following table summarizes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 of Equity Shares (1)</w:t>
            </w:r>
          </w:p>
        </w:tc>
        <w:tc>
          <w:tcPr>
            <w:tcW w:type="dxa" w:w="4500"/>
          </w:tcPr>
          <w:p>
            <w:r>
              <w:t xml:space="preserve">Up to [●] Equity Shares of face value of ₹5 each,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Sale(2)(3)</w:t>
            </w:r>
          </w:p>
        </w:tc>
        <w:tc>
          <w:tcPr>
            <w:tcW w:type="dxa" w:w="4500"/>
          </w:tcPr>
          <w:p>
            <w:r>
              <w:t xml:space="preserve">Up to [●] Equity Shares of face value of ₹5 each, aggregating up to ₹2,900.00 million</w:t>
            </w:r>
          </w:p>
        </w:tc>
      </w:tr>
      <w:tr>
        <w:tc>
          <w:tcPr>
            <w:tcW w:type="dxa" w:w="4500"/>
          </w:tcPr>
          <w:p>
            <w:r>
              <w:t xml:space="preserve">The Offer comprises of:</w:t>
            </w:r>
          </w:p>
        </w:tc>
        <w:tc>
          <w:tcPr>
            <w:tcW w:type="dxa" w:w="4500"/>
          </w:tcPr>
          <w:p>
            <w:r>
              <w:t xml:space="preserve"/>
            </w:r>
          </w:p>
        </w:tc>
      </w:tr>
      <w:tr>
        <w:tc>
          <w:tcPr>
            <w:tcW w:type="dxa" w:w="4500"/>
          </w:tcPr>
          <w:p>
            <w:r>
              <w:t xml:space="preserve">A) QIB Portion(4)(5)(6)</w:t>
            </w:r>
          </w:p>
        </w:tc>
        <w:tc>
          <w:tcPr>
            <w:tcW w:type="dxa" w:w="4500"/>
          </w:tcPr>
          <w:p>
            <w:r>
              <w:t xml:space="preserve">Not more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Anchor Investor Portion(6)</w:t>
            </w:r>
          </w:p>
        </w:tc>
        <w:tc>
          <w:tcPr>
            <w:tcW w:type="dxa" w:w="4500"/>
          </w:tcPr>
          <w:p>
            <w:r>
              <w:t xml:space="preserve">Up to [●] Equity Shares of face value of ₹5 each</w:t>
            </w:r>
          </w:p>
        </w:tc>
      </w:tr>
      <w:tr>
        <w:tc>
          <w:tcPr>
            <w:tcW w:type="dxa" w:w="4500"/>
          </w:tcPr>
          <w:p>
            <w:r>
              <w:t xml:space="preserve">(ii) Net QIB Portion (assuming Anchor Investor Portion is fully subscribed)</w:t>
            </w:r>
          </w:p>
        </w:tc>
        <w:tc>
          <w:tcPr>
            <w:tcW w:type="dxa" w:w="4500"/>
          </w:tcPr>
          <w:p>
            <w:r>
              <w:t xml:space="preserve">Up to [●] Equity Shares of face value of ₹5 each</w:t>
            </w:r>
          </w:p>
        </w:tc>
      </w:tr>
      <w:tr>
        <w:tc>
          <w:tcPr>
            <w:tcW w:type="dxa" w:w="4500"/>
          </w:tcPr>
          <w:p>
            <w:r>
              <w:t xml:space="preserve">of which:</w:t>
            </w:r>
          </w:p>
        </w:tc>
        <w:tc>
          <w:tcPr>
            <w:tcW w:type="dxa" w:w="4500"/>
          </w:tcPr>
          <w:p>
            <w:r>
              <w:t xml:space="preserve"/>
            </w:r>
          </w:p>
        </w:tc>
      </w:tr>
      <w:tr>
        <w:tc>
          <w:tcPr>
            <w:tcW w:type="dxa" w:w="4500"/>
          </w:tcPr>
          <w:p>
            <w:r>
              <w:t xml:space="preserve">(a) Available for allocation to Mutual Funds only (5% of the Net QIB Portion)</w:t>
            </w:r>
          </w:p>
        </w:tc>
        <w:tc>
          <w:tcPr>
            <w:tcW w:type="dxa" w:w="4500"/>
          </w:tcPr>
          <w:p>
            <w:r>
              <w:t xml:space="preserve">Up to [●] Equity Shares of face value of ₹5 each</w:t>
            </w:r>
          </w:p>
        </w:tc>
      </w:tr>
      <w:tr>
        <w:tc>
          <w:tcPr>
            <w:tcW w:type="dxa" w:w="4500"/>
          </w:tcPr>
          <w:p>
            <w:r>
              <w:t xml:space="preserve">(b) Balance of QIB Portion for all QIBs including Mutual Funds</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B) Non-Institutional Portion(4)(5)</w:t>
            </w:r>
          </w:p>
        </w:tc>
        <w:tc>
          <w:tcPr>
            <w:tcW w:type="dxa" w:w="4500"/>
          </w:tcPr>
          <w:p>
            <w:r>
              <w:t xml:space="preserve">Not less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One-third available for allocation to Bidders with an application size of more than ₹0.20 million and up to ₹1.00 million</w:t>
            </w:r>
          </w:p>
        </w:tc>
        <w:tc>
          <w:tcPr>
            <w:tcW w:type="dxa" w:w="4500"/>
          </w:tcPr>
          <w:p>
            <w:r>
              <w:t xml:space="preserve">Up to [●] Equity Shares of face value of ₹5 each</w:t>
            </w:r>
          </w:p>
        </w:tc>
      </w:tr>
      <w:tr>
        <w:tc>
          <w:tcPr>
            <w:tcW w:type="dxa" w:w="4500"/>
          </w:tcPr>
          <w:p>
            <w:r>
              <w:t xml:space="preserve">(ii) Two-third available for allocation to Bidders with an application size of more than ₹1.00 million</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C) Retail Portion(4)(5)</w:t>
            </w:r>
          </w:p>
        </w:tc>
        <w:tc>
          <w:tcPr>
            <w:tcW w:type="dxa" w:w="4500"/>
          </w:tcPr>
          <w:p>
            <w:r>
              <w:t xml:space="preserve">Not less than [●] Equity Shares of face value of ₹5 each aggregating up to ₹[●] million</w:t>
            </w:r>
          </w:p>
        </w:tc>
      </w:tr>
      <w:tr>
        <w:tc>
          <w:tcPr>
            <w:tcW w:type="dxa" w:w="4500"/>
          </w:tcPr>
          <w:p>
            <w:r>
              <w:t xml:space="preserve"/>
            </w:r>
          </w:p>
        </w:tc>
        <w:tc>
          <w:tcPr>
            <w:tcW w:type="dxa" w:w="4500"/>
          </w:tcPr>
          <w:p>
            <w:r>
              <w:t xml:space="preserve"/>
            </w:r>
          </w:p>
        </w:tc>
      </w:tr>
      <w:tr>
        <w:tc>
          <w:tcPr>
            <w:tcW w:type="dxa" w:w="4500"/>
          </w:tcPr>
          <w:p>
            <w:r>
              <w:t xml:space="preserve">Pre- and post-Offer Equity Shares</w:t>
            </w:r>
          </w:p>
        </w:tc>
        <w:tc>
          <w:tcPr>
            <w:tcW w:type="dxa" w:w="4500"/>
          </w:tcPr>
          <w:p>
            <w:r>
              <w:t xml:space="preserve"/>
            </w:r>
          </w:p>
        </w:tc>
      </w:tr>
      <w:tr>
        <w:tc>
          <w:tcPr>
            <w:tcW w:type="dxa" w:w="4500"/>
          </w:tcPr>
          <w:p>
            <w:r>
              <w:t xml:space="preserve">Equity Shares outstanding prior to the Offer (as on the date of this Red Herring Prospectus)</w:t>
            </w:r>
          </w:p>
        </w:tc>
        <w:tc>
          <w:tcPr>
            <w:tcW w:type="dxa" w:w="4500"/>
          </w:tcPr>
          <w:p>
            <w:r>
              <w:t xml:space="preserve">56,818,200 Equity Shares of face value of ₹5 each</w:t>
            </w:r>
          </w:p>
        </w:tc>
      </w:tr>
      <w:tr>
        <w:tc>
          <w:tcPr>
            <w:tcW w:type="dxa" w:w="4500"/>
          </w:tcPr>
          <w:p>
            <w:r>
              <w:t xml:space="preserve">Equity Shares outstanding after the Offer*</w:t>
            </w:r>
          </w:p>
        </w:tc>
        <w:tc>
          <w:tcPr>
            <w:tcW w:type="dxa" w:w="4500"/>
          </w:tcPr>
          <w:p>
            <w:r>
              <w:t xml:space="preserve">[●] Equity Shares of face value of ₹5 each</w:t>
            </w:r>
          </w:p>
        </w:tc>
      </w:tr>
      <w:tr>
        <w:tc>
          <w:tcPr>
            <w:tcW w:type="dxa" w:w="4500"/>
          </w:tcPr>
          <w:p>
            <w:r>
              <w:t xml:space="preserve"/>
            </w:r>
          </w:p>
        </w:tc>
        <w:tc>
          <w:tcPr>
            <w:tcW w:type="dxa" w:w="4500"/>
          </w:tcPr>
          <w:p>
            <w:r>
              <w:t xml:space="preserve"/>
            </w:r>
          </w:p>
        </w:tc>
      </w:tr>
      <w:tr>
        <w:tc>
          <w:tcPr>
            <w:tcW w:type="dxa" w:w="4500"/>
          </w:tcPr>
          <w:p>
            <w:r>
              <w:t xml:space="preserve">Use of Net Proceeds of the Offer</w:t>
            </w:r>
          </w:p>
        </w:tc>
        <w:tc>
          <w:tcPr>
            <w:tcW w:type="dxa" w:w="4500"/>
          </w:tcPr>
          <w:p>
            <w:r>
              <w:t xml:space="preserve">See “Objects of the Offer” on page 106 for information about the use of the Net Proceeds of the Offer. Our Jimmie Franey will not receive any proceeds from the Offer for Sale.</w:t>
            </w:r>
          </w:p>
        </w:tc>
      </w:tr>
    </w:tbl>
    <w:p/>
    <w:p>
      <w:r>
        <w:t xml:space="preserve">*	To be updated upon finalization of the Offer Price.</w:t>
      </w:r>
    </w:p>
    <w:p>
      <w:pPr>
        <w:pStyle w:val="ListParagraph"/>
        <w:numPr>
          <w:ilvl w:val="0"/>
          <w:numId w:val="2"/>
        </w:numPr>
      </w:pPr>
      <w:r>
        <w:t xml:space="preserve">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pPr>
        <w:pStyle w:val="ListParagraph"/>
        <w:numPr>
          <w:ilvl w:val="0"/>
          <w:numId w:val="2"/>
        </w:numPr>
      </w:pPr>
      <w:r>
        <w:t xml:space="preserve">Our Promoter Selling Shareholders have confirmed and authorised their participation in the Offer for Sale as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S. No.</w:t>
            </w:r>
          </w:p>
        </w:tc>
        <w:tc>
          <w:tcPr>
            <w:tcW w:type="dxa" w:w="1800"/>
          </w:tcPr>
          <w:p>
            <w:r>
              <w:t xml:space="preserve">Promoter Selling Shareholder</w:t>
            </w:r>
          </w:p>
        </w:tc>
        <w:tc>
          <w:tcPr>
            <w:tcW w:type="dxa" w:w="1800"/>
          </w:tcPr>
          <w:p>
            <w:r>
              <w:t xml:space="preserve">Maximum number of Equity Shares offered in the Offer for Sale</w:t>
            </w:r>
          </w:p>
        </w:tc>
        <w:tc>
          <w:tcPr>
            <w:tcW w:type="dxa" w:w="1800"/>
          </w:tcPr>
          <w:p>
            <w:r>
              <w:t xml:space="preserve">Aggregate amount of Offer for Sale (₹ in million)</w:t>
            </w:r>
          </w:p>
        </w:tc>
        <w:tc>
          <w:tcPr>
            <w:tcW w:type="dxa" w:w="1800"/>
          </w:tcPr>
          <w:p>
            <w:r>
              <w:t xml:space="preserve">Date of consent letter</w:t>
            </w:r>
          </w:p>
        </w:tc>
      </w:tr>
      <w:tr>
        <w:tc>
          <w:tcPr>
            <w:tcW w:type="dxa" w:w="1800"/>
          </w:tcPr>
          <w:p>
            <w:r>
              <w:t xml:space="preserve">1.</w:t>
            </w:r>
          </w:p>
        </w:tc>
        <w:tc>
          <w:tcPr>
            <w:tcW w:type="dxa" w:w="1800"/>
          </w:tcPr>
          <w:p>
            <w:r>
              <w:t xml:space="preserve">Hope Shields</w:t>
            </w:r>
          </w:p>
        </w:tc>
        <w:tc>
          <w:tcPr>
            <w:tcW w:type="dxa" w:w="1800"/>
          </w:tcPr>
          <w:p>
            <w:r>
              <w:t xml:space="preserve">[●]</w:t>
            </w:r>
          </w:p>
        </w:tc>
        <w:tc>
          <w:tcPr>
            <w:tcW w:type="dxa" w:w="1800"/>
          </w:tcPr>
          <w:p>
            <w:r>
              <w:t xml:space="preserve">Up to ₹1,528.00 million</w:t>
            </w:r>
          </w:p>
        </w:tc>
        <w:tc>
          <w:tcPr>
            <w:tcW w:type="dxa" w:w="1800"/>
          </w:tcPr>
          <w:p>
            <w:r>
              <w:t xml:space="preserve">December 6, 2025</w:t>
            </w:r>
          </w:p>
        </w:tc>
      </w:tr>
      <w:tr>
        <w:tc>
          <w:tcPr>
            <w:tcW w:type="dxa" w:w="1800"/>
          </w:tcPr>
          <w:p>
            <w:r>
              <w:t xml:space="preserve">2.</w:t>
            </w:r>
          </w:p>
        </w:tc>
        <w:tc>
          <w:tcPr>
            <w:tcW w:type="dxa" w:w="1800"/>
          </w:tcPr>
          <w:p>
            <w:r>
              <w:t xml:space="preserve">Miss Caroline Blanda Jr.</w:t>
            </w:r>
          </w:p>
        </w:tc>
        <w:tc>
          <w:tcPr>
            <w:tcW w:type="dxa" w:w="1800"/>
          </w:tcPr>
          <w:p>
            <w:r>
              <w:t xml:space="preserve">[●]</w:t>
            </w:r>
          </w:p>
        </w:tc>
        <w:tc>
          <w:tcPr>
            <w:tcW w:type="dxa" w:w="1800"/>
          </w:tcPr>
          <w:p>
            <w:r>
              <w:t xml:space="preserve">Up to ₹422.00 million</w:t>
            </w:r>
          </w:p>
        </w:tc>
        <w:tc>
          <w:tcPr>
            <w:tcW w:type="dxa" w:w="1800"/>
          </w:tcPr>
          <w:p>
            <w:r>
              <w:t xml:space="preserve">December 6, 2025</w:t>
            </w:r>
          </w:p>
        </w:tc>
      </w:tr>
      <w:tr>
        <w:tc>
          <w:tcPr>
            <w:tcW w:type="dxa" w:w="1800"/>
          </w:tcPr>
          <w:p>
            <w:r>
              <w:t xml:space="preserve">3.</w:t>
            </w:r>
          </w:p>
        </w:tc>
        <w:tc>
          <w:tcPr>
            <w:tcW w:type="dxa" w:w="1800"/>
          </w:tcPr>
          <w:p>
            <w:r>
              <w:t xml:space="preserve">Misael Blanda</w:t>
            </w:r>
          </w:p>
        </w:tc>
        <w:tc>
          <w:tcPr>
            <w:tcW w:type="dxa" w:w="1800"/>
          </w:tcPr>
          <w:p>
            <w:r>
              <w:t xml:space="preserve">[●]</w:t>
            </w:r>
          </w:p>
        </w:tc>
        <w:tc>
          <w:tcPr>
            <w:tcW w:type="dxa" w:w="1800"/>
          </w:tcPr>
          <w:p>
            <w:r>
              <w:t xml:space="preserve">Up to ₹475.00 million</w:t>
            </w:r>
          </w:p>
        </w:tc>
        <w:tc>
          <w:tcPr>
            <w:tcW w:type="dxa" w:w="1800"/>
          </w:tcPr>
          <w:p>
            <w:r>
              <w:t xml:space="preserve">December 6, 2025</w:t>
            </w:r>
          </w:p>
        </w:tc>
      </w:tr>
      <w:tr>
        <w:tc>
          <w:tcPr>
            <w:tcW w:type="dxa" w:w="1800"/>
          </w:tcPr>
          <w:p>
            <w:r>
              <w:t xml:space="preserve">4.</w:t>
            </w:r>
          </w:p>
        </w:tc>
        <w:tc>
          <w:tcPr>
            <w:tcW w:type="dxa" w:w="1800"/>
          </w:tcPr>
          <w:p>
            <w:r>
              <w:t xml:space="preserve">Lew Bergnaum</w:t>
            </w:r>
          </w:p>
        </w:tc>
        <w:tc>
          <w:tcPr>
            <w:tcW w:type="dxa" w:w="1800"/>
          </w:tcPr>
          <w:p>
            <w:r>
              <w:t xml:space="preserve">[●]</w:t>
            </w:r>
          </w:p>
        </w:tc>
        <w:tc>
          <w:tcPr>
            <w:tcW w:type="dxa" w:w="1800"/>
          </w:tcPr>
          <w:p>
            <w:r>
              <w:t xml:space="preserve">Up to ₹475.00 million</w:t>
            </w:r>
          </w:p>
        </w:tc>
        <w:tc>
          <w:tcPr>
            <w:tcW w:type="dxa" w:w="1800"/>
          </w:tcPr>
          <w:p>
            <w:r>
              <w:t xml:space="preserve">December 6, 2025</w:t>
            </w:r>
          </w:p>
        </w:tc>
      </w:tr>
    </w:tbl>
    <w:p/>
    <w:p>
      <w:pPr>
        <w:pStyle w:val="ListParagraph"/>
        <w:numPr>
          <w:ilvl w:val="0"/>
          <w:numId w:val="2"/>
        </w:numPr>
      </w:pPr>
      <w:r>
        <w:t xml:space="preserve">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p>
    <w:p>
      <w:pPr>
        <w:pStyle w:val="ListParagraph"/>
        <w:numPr>
          <w:ilvl w:val="0"/>
          <w:numId w:val="2"/>
        </w:numPr>
      </w:pPr>
      <w:r>
        <w:t xml:space="preserve">Subject to valid bids being received at or above the Offer Price, under subscription, if any, in any category, except in the QIB Portion, would be allowed to be met with spill-over from any other category or combination of categories of Bidders, as applicable, at the discretion of our Jimmie Franey,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pPr>
        <w:pStyle w:val="ListParagraph"/>
        <w:numPr>
          <w:ilvl w:val="0"/>
          <w:numId w:val="2"/>
        </w:numPr>
      </w:pPr>
      <w:r>
        <w:t xml:space="preserve">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₹0.20 million and up to ₹1.00 million and two-thirds of the Non-Institutional Portion will be available for allocation to Bidders with an application size of more than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ListParagraph"/>
        <w:numPr>
          <w:ilvl w:val="0"/>
          <w:numId w:val="2"/>
        </w:numPr>
      </w:pPr>
      <w:r>
        <w:t xml:space="preserve">Our Jimmie Franey,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w:t>
      </w:r>
    </w:p>
    <w:p>
      <w:r>
        <w:t xml:space="preserve">For further details including in relation to grounds for rejection of Bids, see “Offer Structure”, “Offer Procedure” and “Terms of the Offer” on pages 417, 420 and 411.</w:t>
      </w:r>
    </w:p>
    <w:p>
      <w:pPr>
        <w:pStyle w:val="Heading2"/>
      </w:pPr>
      <w:r>
        <w:t xml:space="preserve">SUMMARY FINANCIAL STATEMENTS</w:t>
      </w:r>
    </w:p>
    <w:p>
      <w:r>
        <w:t xml:space="preserve">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w:t>
      </w:r>
    </w:p>
    <w:p>
      <w:r>
        <w:t xml:space="preserve">(The remainder of the page has intentionally been left blank)</w:t>
      </w:r>
    </w:p>
    <w:p>
      <w:pPr>
        <w:pStyle w:val="Heading2"/>
      </w:pPr>
      <w:r>
        <w:t xml:space="preserve">GENERAL INFORMATION</w:t>
      </w:r>
    </w:p>
    <w:p>
      <w:pPr>
        <w:pStyle w:val="Heading3"/>
      </w:pPr>
      <w:r>
        <w:t xml:space="preserve">Registered Office of our Smitham-Casper and Sons Limited</w:t>
      </w:r>
    </w:p>
    <w:p>
      <w:r>
        <w:t xml:space="preserve">553 Abelardo Green, New Fernando</w:t>
      </w:r>
    </w:p>
    <w:p>
      <w:r>
        <w:t xml:space="preserve">524 Jasmine Valley, New Mathew</w:t>
      </w:r>
    </w:p>
    <w:p>
      <w:r>
        <w:t xml:space="preserve">Maharashtra, India</w:t>
      </w:r>
    </w:p>
    <w:p>
      <w:r>
        <w:t xml:space="preserve">For details of change in our registered office, see “History and Certain Corporate Matters – Changes in our Registered Office” on page 243.</w:t>
      </w:r>
    </w:p>
    <w:p>
      <w:pPr>
        <w:pStyle w:val="Heading3"/>
      </w:pPr>
      <w:r>
        <w:t xml:space="preserve">Corporate Office of our Smitham-Casper and Sons Limited</w:t>
      </w:r>
    </w:p>
    <w:p>
      <w:r>
        <w:t xml:space="preserve">91409 Rohan Estates, Coon Rapids</w:t>
      </w:r>
    </w:p>
    <w:p>
      <w:r>
        <w:t xml:space="preserve">Pune 411 045 Maharashtra, India</w:t>
      </w:r>
    </w:p>
    <w:p>
      <w:pPr>
        <w:pStyle w:val="Heading3"/>
      </w:pPr>
      <w:r>
        <w:t xml:space="preserve">Jimmie Franey registration number and corporate identity number</w:t>
      </w:r>
    </w:p>
    <w:p>
      <w:pPr>
        <w:pStyle w:val="ListParagraph"/>
        <w:numPr>
          <w:ilvl w:val="0"/>
          <w:numId w:val="2"/>
        </w:numPr>
      </w:pPr>
      <w:r>
        <w:t xml:space="preserve">Registration number: 141032</w:t>
      </w:r>
    </w:p>
    <w:p>
      <w:pPr>
        <w:pStyle w:val="ListParagraph"/>
        <w:numPr>
          <w:ilvl w:val="0"/>
          <w:numId w:val="2"/>
        </w:numPr>
      </w:pPr>
      <w:r>
        <w:t xml:space="preserve">Corporate identity number: U28129PN1979PLC141032</w:t>
      </w:r>
    </w:p>
    <w:p>
      <w:pPr>
        <w:pStyle w:val="Heading3"/>
      </w:pPr>
      <w:r>
        <w:t xml:space="preserve">Address of the RoC</w:t>
      </w:r>
    </w:p>
    <w:p>
      <w:r>
        <w:t xml:space="preserve">Our Jimmie Franey is registered with the Registrar of Companies, Maharashtra at Pune, which is situated at the following address:</w:t>
      </w:r>
    </w:p>
    <w:p>
      <w:pPr>
        <w:pStyle w:val="Heading3"/>
      </w:pPr>
      <w:r>
        <w:t xml:space="preserve">Registrar of Companies, Maharashtra at Pune</w:t>
      </w:r>
    </w:p>
    <w:p>
      <w:r>
        <w:t xml:space="preserve">14507 Jacobs Mount, East Garfieldboro</w:t>
      </w:r>
    </w:p>
    <w:p>
      <w:pPr>
        <w:pStyle w:val="Heading3"/>
      </w:pPr>
      <w:r>
        <w:t xml:space="preserve">Board of Directors of our Jimmie Franey</w:t>
      </w:r>
    </w:p>
    <w:p>
      <w:r>
        <w:t xml:space="preserve">The following table sets out the brief details of our Board of Directors as on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Name</w:t>
            </w:r>
          </w:p>
        </w:tc>
        <w:tc>
          <w:tcPr>
            <w:tcW w:type="dxa" w:w="2250"/>
          </w:tcPr>
          <w:p>
            <w:r>
              <w:t xml:space="preserve">Designation</w:t>
            </w:r>
          </w:p>
        </w:tc>
        <w:tc>
          <w:tcPr>
            <w:tcW w:type="dxa" w:w="2250"/>
          </w:tcPr>
          <w:p>
            <w:r>
              <w:t xml:space="preserve">DIN</w:t>
            </w:r>
          </w:p>
        </w:tc>
        <w:tc>
          <w:tcPr>
            <w:tcW w:type="dxa" w:w="2250"/>
          </w:tcPr>
          <w:p>
            <w:r>
              <w:t xml:space="preserve">Address</w:t>
            </w:r>
          </w:p>
        </w:tc>
      </w:tr>
      <w:tr>
        <w:tc>
          <w:tcPr>
            <w:tcW w:type="dxa" w:w="2250"/>
          </w:tcPr>
          <w:p>
            <w:r>
              <w:t xml:space="preserve">Hope Shields</w:t>
            </w:r>
          </w:p>
        </w:tc>
        <w:tc>
          <w:tcPr>
            <w:tcW w:type="dxa" w:w="2250"/>
          </w:tcPr>
          <w:p>
            <w:r>
              <w:t xml:space="preserve">Chairman	and	Executive Director</w:t>
            </w:r>
          </w:p>
        </w:tc>
        <w:tc>
          <w:tcPr>
            <w:tcW w:type="dxa" w:w="2250"/>
          </w:tcPr>
          <w:p>
            <w:r>
              <w:t xml:space="preserve">00135070</w:t>
            </w:r>
          </w:p>
        </w:tc>
        <w:tc>
          <w:tcPr>
            <w:tcW w:type="dxa" w:w="2250"/>
          </w:tcPr>
          <w:p>
            <w:r>
              <w:t xml:space="preserve">S. no. 245/ 104, Pushpakamal, Deccan Gymkhana Society, lane no. 4017 Feeney Points, North Marlonburgh</w:t>
            </w:r>
          </w:p>
        </w:tc>
      </w:tr>
      <w:tr>
        <w:tc>
          <w:tcPr>
            <w:tcW w:type="dxa" w:w="2250"/>
          </w:tcPr>
          <w:p>
            <w:r>
              <w:t xml:space="preserve">Misael Blanda</w:t>
            </w:r>
          </w:p>
        </w:tc>
        <w:tc>
          <w:tcPr>
            <w:tcW w:type="dxa" w:w="2250"/>
          </w:tcPr>
          <w:p>
            <w:r>
              <w:t xml:space="preserve">Managing Director</w:t>
            </w:r>
          </w:p>
        </w:tc>
        <w:tc>
          <w:tcPr>
            <w:tcW w:type="dxa" w:w="2250"/>
          </w:tcPr>
          <w:p>
            <w:r>
              <w:t xml:space="preserve">00114193</w:t>
            </w:r>
          </w:p>
        </w:tc>
        <w:tc>
          <w:tcPr>
            <w:tcW w:type="dxa" w:w="2250"/>
          </w:tcPr>
          <w:p>
            <w:r>
              <w:t xml:space="preserve">37883 Derby Road, Fort Dawn</w:t>
            </w:r>
          </w:p>
        </w:tc>
      </w:tr>
      <w:tr>
        <w:tc>
          <w:tcPr>
            <w:tcW w:type="dxa" w:w="2250"/>
          </w:tcPr>
          <w:p>
            <w:r>
              <w:t xml:space="preserve">Lew Bergnaum</w:t>
            </w:r>
          </w:p>
        </w:tc>
        <w:tc>
          <w:tcPr>
            <w:tcW w:type="dxa" w:w="2250"/>
          </w:tcPr>
          <w:p>
            <w:r>
              <w:t xml:space="preserve">Kailee Schulist Director</w:t>
            </w:r>
          </w:p>
        </w:tc>
        <w:tc>
          <w:tcPr>
            <w:tcW w:type="dxa" w:w="2250"/>
          </w:tcPr>
          <w:p>
            <w:r>
              <w:t xml:space="preserve">00134926</w:t>
            </w:r>
          </w:p>
        </w:tc>
        <w:tc>
          <w:tcPr>
            <w:tcW w:type="dxa" w:w="2250"/>
          </w:tcPr>
          <w:p>
            <w:r>
              <w:t xml:space="preserve">Pushpakamal Apartment, Flat – 1, S. no. 245/ 104, Prabhat Road Lane no. 25488 McLaughlin Fords, Kertzmannboro</w:t>
            </w:r>
          </w:p>
        </w:tc>
      </w:tr>
      <w:tr>
        <w:tc>
          <w:tcPr>
            <w:tcW w:type="dxa" w:w="2250"/>
          </w:tcPr>
          <w:p>
            <w:r>
              <w:t xml:space="preserve">Lon Kozey</w:t>
            </w:r>
          </w:p>
        </w:tc>
        <w:tc>
          <w:tcPr>
            <w:tcW w:type="dxa" w:w="2250"/>
          </w:tcPr>
          <w:p>
            <w:r>
              <w:t xml:space="preserve">Whole-time Director</w:t>
            </w:r>
          </w:p>
        </w:tc>
        <w:tc>
          <w:tcPr>
            <w:tcW w:type="dxa" w:w="2250"/>
          </w:tcPr>
          <w:p>
            <w:r>
              <w:t xml:space="preserve">03124510</w:t>
            </w:r>
          </w:p>
        </w:tc>
        <w:tc>
          <w:tcPr>
            <w:tcW w:type="dxa" w:w="2250"/>
          </w:tcPr>
          <w:p>
            <w:r>
              <w:t xml:space="preserve">S. no. 245/ 104, Pushpakamal, Deccan Gymkhana Society, lane no.718 Kautzer Brook, New Carlton</w:t>
            </w:r>
          </w:p>
        </w:tc>
      </w:tr>
      <w:tr>
        <w:tc>
          <w:tcPr>
            <w:tcW w:type="dxa" w:w="2250"/>
          </w:tcPr>
          <w:p>
            <w:r>
              <w:t xml:space="preserve">Dinesh Hirachand Munot</w:t>
            </w:r>
          </w:p>
        </w:tc>
        <w:tc>
          <w:tcPr>
            <w:tcW w:type="dxa" w:w="2250"/>
          </w:tcPr>
          <w:p>
            <w:r>
              <w:t xml:space="preserve">Independent Director</w:t>
            </w:r>
          </w:p>
        </w:tc>
        <w:tc>
          <w:tcPr>
            <w:tcW w:type="dxa" w:w="2250"/>
          </w:tcPr>
          <w:p>
            <w:r>
              <w:t xml:space="preserve">00049801</w:t>
            </w:r>
          </w:p>
        </w:tc>
        <w:tc>
          <w:tcPr>
            <w:tcW w:type="dxa" w:w="2250"/>
          </w:tcPr>
          <w:p>
            <w:r>
              <w:t xml:space="preserve">951 Bernita Neck, New Consuelo</w:t>
            </w:r>
          </w:p>
        </w:tc>
      </w:tr>
      <w:tr>
        <w:tc>
          <w:tcPr>
            <w:tcW w:type="dxa" w:w="2250"/>
          </w:tcPr>
          <w:p>
            <w:r>
              <w:t xml:space="preserve">Ajay Shriram Patil</w:t>
            </w:r>
          </w:p>
        </w:tc>
        <w:tc>
          <w:tcPr>
            <w:tcW w:type="dxa" w:w="2250"/>
          </w:tcPr>
          <w:p>
            <w:r>
              <w:t xml:space="preserve">Independent Director</w:t>
            </w:r>
          </w:p>
        </w:tc>
        <w:tc>
          <w:tcPr>
            <w:tcW w:type="dxa" w:w="2250"/>
          </w:tcPr>
          <w:p>
            <w:r>
              <w:t xml:space="preserve">01217000</w:t>
            </w:r>
          </w:p>
        </w:tc>
        <w:tc>
          <w:tcPr>
            <w:tcW w:type="dxa" w:w="2250"/>
          </w:tcPr>
          <w:p>
            <w:r>
              <w:t xml:space="preserve">29856 Johnston Hill, Nellieton</w:t>
            </w:r>
          </w:p>
        </w:tc>
      </w:tr>
      <w:tr>
        <w:tc>
          <w:tcPr>
            <w:tcW w:type="dxa" w:w="2250"/>
          </w:tcPr>
          <w:p>
            <w:r>
              <w:t xml:space="preserve">Ram Kumar Tiwari</w:t>
            </w:r>
          </w:p>
        </w:tc>
        <w:tc>
          <w:tcPr>
            <w:tcW w:type="dxa" w:w="2250"/>
          </w:tcPr>
          <w:p>
            <w:r>
              <w:t xml:space="preserve">Independent Director</w:t>
            </w:r>
          </w:p>
        </w:tc>
        <w:tc>
          <w:tcPr>
            <w:tcW w:type="dxa" w:w="2250"/>
          </w:tcPr>
          <w:p>
            <w:r>
              <w:t xml:space="preserve">10938958</w:t>
            </w:r>
          </w:p>
        </w:tc>
        <w:tc>
          <w:tcPr>
            <w:tcW w:type="dxa" w:w="2250"/>
          </w:tcPr>
          <w:p>
            <w:r>
              <w:t xml:space="preserve">3323 Forest Avenue, Trevioncester</w:t>
            </w:r>
          </w:p>
        </w:tc>
      </w:tr>
      <w:tr>
        <w:tc>
          <w:tcPr>
            <w:tcW w:type="dxa" w:w="2250"/>
          </w:tcPr>
          <w:p>
            <w:r>
              <w:t xml:space="preserve">Indu Jacob</w:t>
            </w:r>
          </w:p>
        </w:tc>
        <w:tc>
          <w:tcPr>
            <w:tcW w:type="dxa" w:w="2250"/>
          </w:tcPr>
          <w:p>
            <w:r>
              <w:t xml:space="preserve">Independent Director</w:t>
            </w:r>
          </w:p>
        </w:tc>
        <w:tc>
          <w:tcPr>
            <w:tcW w:type="dxa" w:w="2250"/>
          </w:tcPr>
          <w:p>
            <w:r>
              <w:t xml:space="preserve">05293084</w:t>
            </w:r>
          </w:p>
        </w:tc>
        <w:tc>
          <w:tcPr>
            <w:tcW w:type="dxa" w:w="2250"/>
          </w:tcPr>
          <w:p>
            <w:r>
              <w:t xml:space="preserve">12504 Breitenberg Centers, Kerlukeburgh</w:t>
            </w:r>
          </w:p>
        </w:tc>
      </w:tr>
    </w:tbl>
    <w:p/>
    <w:p>
      <w:r>
        <w:t xml:space="preserve">For brief profiles and further details of our Board of Directors, see “Our Management – Board of Directors” on page 250.</w:t>
      </w:r>
    </w:p>
    <w:p>
      <w:pPr>
        <w:pStyle w:val="Heading3"/>
      </w:pPr>
      <w:r>
        <w:t xml:space="preserve">Jimmie Franey Secretary and Compliance Officer</w:t>
      </w:r>
    </w:p>
    <w:p>
      <w:r>
        <w:t xml:space="preserve">Brisa Terry is our Jimmie Franey Secretary and Compliance Officer. His contact details are as set forth below: Gat No. 11/3, 11/4, 11/5, Village Birdewadi</w:t>
      </w:r>
    </w:p>
    <w:p>
      <w:r>
        <w:t xml:space="preserve">862 Von Cove, Kenner</w:t>
      </w:r>
    </w:p>
    <w:p>
      <w:r>
        <w:t xml:space="preserve">Maharashtra, India</w:t>
      </w:r>
    </w:p>
    <w:p>
      <w:r>
        <w:t xml:space="preserve">Telephone: + +91 5197985901</w:t>
      </w:r>
    </w:p>
    <w:p>
      <w:r>
        <w:t xml:space="preserve">E-mail: sheri_oberbrunner84@example.com</w:t>
      </w:r>
    </w:p>
    <w:p>
      <w:pPr>
        <w:pStyle w:val="Heading3"/>
      </w:pPr>
      <w:r>
        <w:t xml:space="preserve">Investor grievances</w:t>
      </w:r>
    </w:p>
    <w:p>
      <w:r>
        <w:t xml:space="preserve">Bidders may contact the Jimmie Franey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w:t>
      </w:r>
    </w:p>
    <w:p>
      <w:r>
        <w:t xml:space="preserve">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w:t>
      </w:r>
    </w:p>
    <w:p>
      <w:r>
        <w:t xml:space="preserve">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3"/>
      </w:pPr>
      <w:r>
        <w:t xml:space="preserve">Book Running Lead Managers</w:t>
      </w:r>
    </w:p>
    <w:p>
      <w:r>
        <w:t xml:space="preserve">Huel - Heidenreich Limited</w:t>
      </w:r>
    </w:p>
    <w:p>
      <w:r>
        <w:t xml:space="preserve">801-804, Wing A, Building No. 3 Inspire BKC G Block, Bandra Kurla Complex</w:t>
      </w:r>
    </w:p>
    <w:p>
      <w:r>
        <w:t xml:space="preserve">2990 W Walnut Street, New Nathanboro</w:t>
      </w:r>
    </w:p>
    <w:p>
      <w:r>
        <w:t xml:space="preserve">Telephone: +91 9994883805 Email: becky.reilly@example.com Website: www.nuvama.com</w:t>
      </w:r>
    </w:p>
    <w:p>
      <w:r>
        <w:t xml:space="preserve">Investor grievance E-mail: luke.feest87@example.com</w:t>
      </w:r>
    </w:p>
    <w:p>
      <w:r>
        <w:t xml:space="preserve">Contact person: Geneva Hand/ Soumavo Sarkar</w:t>
      </w:r>
    </w:p>
    <w:p>
      <w:r>
        <w:t xml:space="preserve">SEBI registration no.: INM000013004</w:t>
      </w:r>
    </w:p>
    <w:p>
      <w:r>
        <w:t xml:space="preserve">597 Henry Street, Murazikside</w:t>
      </w:r>
    </w:p>
    <w:p>
      <w:r>
        <w:t xml:space="preserve">Telephone: +91 1982685520 Email: heber.ferry35@example.com Website: www.icicisecurities.com Investor grievance E-mail: angelica21@example.com</w:t>
      </w:r>
    </w:p>
    <w:p>
      <w:r>
        <w:t xml:space="preserve">Contact person: Angelica Pagac/Abhijit Diwan</w:t>
      </w:r>
    </w:p>
    <w:p>
      <w:r>
        <w:t xml:space="preserve">SEBI registration no.: INM000011179</w:t>
      </w:r>
    </w:p>
    <w:p>
      <w:pPr>
        <w:pStyle w:val="Heading3"/>
      </w:pPr>
      <w:r>
        <w:t xml:space="preserve">Statement of inter-se allocation of responsibilities among the BRLMs</w:t>
      </w:r>
    </w:p>
    <w:p>
      <w:r>
        <w:t xml:space="preserve">The responsibilities and coordination by the BRLMs for various activities in the Offer are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1.</w:t>
            </w:r>
          </w:p>
        </w:tc>
        <w:tc>
          <w:tcPr>
            <w:tcW w:type="dxa" w:w="2250"/>
          </w:tcPr>
          <w:p>
            <w:r>
              <w:t xml:space="preserve">Due diligence of the Jimmie Franey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filing.Capital structuring with the relative components and formalities such as type of instruments, allocation between primary and secondary, etc.</w:t>
            </w:r>
          </w:p>
        </w:tc>
        <w:tc>
          <w:tcPr>
            <w:tcW w:type="dxa" w:w="2250"/>
          </w:tcPr>
          <w:p>
            <w:r>
              <w:t xml:space="preserve">BRLMs</w:t>
            </w:r>
          </w:p>
        </w:tc>
        <w:tc>
          <w:tcPr>
            <w:tcW w:type="dxa" w:w="2250"/>
          </w:tcPr>
          <w:p>
            <w:r>
              <w:t xml:space="preserve">Nuvama</w:t>
            </w:r>
          </w:p>
        </w:tc>
      </w:tr>
      <w:tr>
        <w:tc>
          <w:tcPr>
            <w:tcW w:type="dxa" w:w="2250"/>
          </w:tcPr>
          <w:p>
            <w:r>
              <w:t xml:space="preserve">2.</w:t>
            </w:r>
          </w:p>
        </w:tc>
        <w:tc>
          <w:tcPr>
            <w:tcW w:type="dxa" w:w="2250"/>
          </w:tcPr>
          <w:p>
            <w:r>
              <w:t xml:space="preserve">Drafting and approval of statutory advertisements</w:t>
            </w:r>
          </w:p>
        </w:tc>
        <w:tc>
          <w:tcPr>
            <w:tcW w:type="dxa" w:w="2250"/>
          </w:tcPr>
          <w:p>
            <w:r>
              <w:t xml:space="preserve">BRLMs</w:t>
            </w:r>
          </w:p>
        </w:tc>
        <w:tc>
          <w:tcPr>
            <w:tcW w:type="dxa" w:w="2250"/>
          </w:tcPr>
          <w:p>
            <w:r>
              <w:t xml:space="preserve">Nuvama</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3.</w:t>
            </w:r>
          </w:p>
        </w:tc>
        <w:tc>
          <w:tcPr>
            <w:tcW w:type="dxa" w:w="2250"/>
          </w:tcPr>
          <w:p>
            <w:r>
              <w:t xml:space="preserve">Drafting and approval of all publicity material other than statutory advertisement as mentioned above including corporate advertising, brochure, etc. and filing of mediacompliance report with SEBI</w:t>
            </w:r>
          </w:p>
        </w:tc>
        <w:tc>
          <w:tcPr>
            <w:tcW w:type="dxa" w:w="2250"/>
          </w:tcPr>
          <w:p>
            <w:r>
              <w:t xml:space="preserve">BRLMs</w:t>
            </w:r>
          </w:p>
        </w:tc>
        <w:tc>
          <w:tcPr>
            <w:tcW w:type="dxa" w:w="2250"/>
          </w:tcPr>
          <w:p>
            <w:r>
              <w:t xml:space="preserve">I-Sec</w:t>
            </w:r>
          </w:p>
        </w:tc>
      </w:tr>
      <w:tr>
        <w:tc>
          <w:tcPr>
            <w:tcW w:type="dxa" w:w="2250"/>
          </w:tcPr>
          <w:p>
            <w:r>
              <w:t xml:space="preserve">4.</w:t>
            </w:r>
          </w:p>
        </w:tc>
        <w:tc>
          <w:tcPr>
            <w:tcW w:type="dxa" w:w="2250"/>
          </w:tcPr>
          <w:p>
            <w:r>
              <w:t xml:space="preserve">Appointment of all other intermediaries (e.g., Registrar(s), Printer(s), Monitoring Agency, Banker(s) to the Issue and Sponsor Banker to the Issue, Advertising agencyetc.) including coordinating all agreements to be entered with such parties</w:t>
            </w:r>
          </w:p>
        </w:tc>
        <w:tc>
          <w:tcPr>
            <w:tcW w:type="dxa" w:w="2250"/>
          </w:tcPr>
          <w:p>
            <w:r>
              <w:t xml:space="preserve">BRLMs</w:t>
            </w:r>
          </w:p>
        </w:tc>
        <w:tc>
          <w:tcPr>
            <w:tcW w:type="dxa" w:w="2250"/>
          </w:tcPr>
          <w:p>
            <w:r>
              <w:t xml:space="preserve">Nuvama</w:t>
            </w:r>
          </w:p>
        </w:tc>
      </w:tr>
      <w:tr>
        <w:tc>
          <w:tcPr>
            <w:tcW w:type="dxa" w:w="2250"/>
          </w:tcPr>
          <w:p>
            <w:r>
              <w:t xml:space="preserve">5.</w:t>
            </w:r>
          </w:p>
        </w:tc>
        <w:tc>
          <w:tcPr>
            <w:tcW w:type="dxa" w:w="2250"/>
          </w:tcPr>
          <w:p>
            <w:r>
              <w:t xml:space="preserve">Preparation of road show presentation and frequently asked questions</w:t>
            </w:r>
          </w:p>
        </w:tc>
        <w:tc>
          <w:tcPr>
            <w:tcW w:type="dxa" w:w="2250"/>
          </w:tcPr>
          <w:p>
            <w:r>
              <w:t xml:space="preserve">BRLMs</w:t>
            </w:r>
          </w:p>
        </w:tc>
        <w:tc>
          <w:tcPr>
            <w:tcW w:type="dxa" w:w="2250"/>
          </w:tcPr>
          <w:p>
            <w:r>
              <w:t xml:space="preserve">I-Sec</w:t>
            </w:r>
          </w:p>
        </w:tc>
      </w:tr>
      <w:tr>
        <w:tc>
          <w:tcPr>
            <w:tcW w:type="dxa" w:w="2250"/>
          </w:tcPr>
          <w:p>
            <w:r>
              <w:t xml:space="preserve">6.</w:t>
            </w:r>
          </w:p>
        </w:tc>
        <w:tc>
          <w:tcPr>
            <w:tcW w:type="dxa" w:w="2250"/>
          </w:tcPr>
          <w:p>
            <w:r>
              <w:t xml:space="preserve">International Institutional Marketing of the Issue, which will cover, inter alia:Marketing strategyFinalising the list and division of international investors for one-to-one meetings andFinalizing road show and investor meeting schedules</w:t>
            </w:r>
          </w:p>
        </w:tc>
        <w:tc>
          <w:tcPr>
            <w:tcW w:type="dxa" w:w="2250"/>
          </w:tcPr>
          <w:p>
            <w:r>
              <w:t xml:space="preserve">BRLMs</w:t>
            </w:r>
          </w:p>
        </w:tc>
        <w:tc>
          <w:tcPr>
            <w:tcW w:type="dxa" w:w="2250"/>
          </w:tcPr>
          <w:p>
            <w:r>
              <w:t xml:space="preserve">I-Sec</w:t>
            </w:r>
          </w:p>
        </w:tc>
      </w:tr>
      <w:tr>
        <w:tc>
          <w:tcPr>
            <w:tcW w:type="dxa" w:w="2250"/>
          </w:tcPr>
          <w:p>
            <w:r>
              <w:t xml:space="preserve">7.</w:t>
            </w:r>
          </w:p>
        </w:tc>
        <w:tc>
          <w:tcPr>
            <w:tcW w:type="dxa" w:w="2250"/>
          </w:tcPr>
          <w:p>
            <w:r>
              <w:t xml:space="preserve">Domestic Institutional Marketing of the Issue, which will cover, inter alia:Finalising the list and division of domestic investors for one-to-one meetingsFinalizing domestic road show schedules and investor meeting schedules</w:t>
            </w:r>
          </w:p>
        </w:tc>
        <w:tc>
          <w:tcPr>
            <w:tcW w:type="dxa" w:w="2250"/>
          </w:tcPr>
          <w:p>
            <w:r>
              <w:t xml:space="preserve">BRLMs</w:t>
            </w:r>
          </w:p>
        </w:tc>
        <w:tc>
          <w:tcPr>
            <w:tcW w:type="dxa" w:w="2250"/>
          </w:tcPr>
          <w:p>
            <w:r>
              <w:t xml:space="preserve">Nuvama</w:t>
            </w:r>
          </w:p>
        </w:tc>
      </w:tr>
      <w:tr>
        <w:tc>
          <w:tcPr>
            <w:tcW w:type="dxa" w:w="2250"/>
          </w:tcPr>
          <w:p>
            <w:r>
              <w:t xml:space="preserve">8.</w:t>
            </w:r>
          </w:p>
        </w:tc>
        <w:tc>
          <w:tcPr>
            <w:tcW w:type="dxa" w:w="2250"/>
          </w:tcPr>
          <w:p>
            <w:r>
              <w:t xml:space="preserve">Non-institutional marketing of the Issue, which will cover, inter alia,Finalising media, marketing and public relations strategy including list of frequently asked questions at non-institutional road shows; andFinalising centres for holding conferences for brokers, etc.;</w:t>
            </w:r>
          </w:p>
        </w:tc>
        <w:tc>
          <w:tcPr>
            <w:tcW w:type="dxa" w:w="2250"/>
          </w:tcPr>
          <w:p>
            <w:r>
              <w:t xml:space="preserve">BRLMs</w:t>
            </w:r>
          </w:p>
        </w:tc>
        <w:tc>
          <w:tcPr>
            <w:tcW w:type="dxa" w:w="2250"/>
          </w:tcPr>
          <w:p>
            <w:r>
              <w:t xml:space="preserve">Nuvama</w:t>
            </w:r>
          </w:p>
        </w:tc>
      </w:tr>
      <w:tr>
        <w:tc>
          <w:tcPr>
            <w:tcW w:type="dxa" w:w="2250"/>
          </w:tcPr>
          <w:p>
            <w:r>
              <w:t xml:space="preserve">9.</w:t>
            </w:r>
          </w:p>
        </w:tc>
        <w:tc>
          <w:tcPr>
            <w:tcW w:type="dxa" w:w="2250"/>
          </w:tcPr>
          <w:p>
            <w:r>
              <w:t xml:space="preserve">Retail Marketing of the Issue, which will cover, inter alia,Formulating marketing strategies, preparation of publicity budgetFinalizing Media and PR strategyFinalizing centres for holding conferences for brokers, etc.Finalizing collection centres; andFollow-up on distribution of publicity and Issue material including application form, prospectus and deciding on the quantum of the Issue material</w:t>
            </w:r>
          </w:p>
        </w:tc>
        <w:tc>
          <w:tcPr>
            <w:tcW w:type="dxa" w:w="2250"/>
          </w:tcPr>
          <w:p>
            <w:r>
              <w:t xml:space="preserve">BRLMs</w:t>
            </w:r>
          </w:p>
        </w:tc>
        <w:tc>
          <w:tcPr>
            <w:tcW w:type="dxa" w:w="2250"/>
          </w:tcPr>
          <w:p>
            <w:r>
              <w:t xml:space="preserve">I-Sec</w:t>
            </w:r>
          </w:p>
        </w:tc>
      </w:tr>
      <w:tr>
        <w:tc>
          <w:tcPr>
            <w:tcW w:type="dxa" w:w="2250"/>
          </w:tcPr>
          <w:p>
            <w:r>
              <w:t xml:space="preserve">10.</w:t>
            </w:r>
          </w:p>
        </w:tc>
        <w:tc>
          <w:tcPr>
            <w:tcW w:type="dxa" w:w="2250"/>
          </w:tcPr>
          <w:p>
            <w:r>
              <w:t xml:space="preserve">Coordination with Stock-Exchanges for book building software, bidding terminals, mock trading, anchor coordination, anchor CAN and intimation of anchor allocation</w:t>
            </w:r>
          </w:p>
        </w:tc>
        <w:tc>
          <w:tcPr>
            <w:tcW w:type="dxa" w:w="2250"/>
          </w:tcPr>
          <w:p>
            <w:r>
              <w:t xml:space="preserve">BRLMs</w:t>
            </w:r>
          </w:p>
        </w:tc>
        <w:tc>
          <w:tcPr>
            <w:tcW w:type="dxa" w:w="2250"/>
          </w:tcPr>
          <w:p>
            <w:r>
              <w:t xml:space="preserve">I-Sec</w:t>
            </w:r>
          </w:p>
        </w:tc>
      </w:tr>
      <w:tr>
        <w:tc>
          <w:tcPr>
            <w:tcW w:type="dxa" w:w="2250"/>
          </w:tcPr>
          <w:p>
            <w:r>
              <w:t xml:space="preserve">11.</w:t>
            </w:r>
          </w:p>
        </w:tc>
        <w:tc>
          <w:tcPr>
            <w:tcW w:type="dxa" w:w="2250"/>
          </w:tcPr>
          <w:p>
            <w:r>
              <w:t xml:space="preserve">Managing the book and finalization of pricing in consultation with the Jimmie Franey</w:t>
            </w:r>
          </w:p>
        </w:tc>
        <w:tc>
          <w:tcPr>
            <w:tcW w:type="dxa" w:w="2250"/>
          </w:tcPr>
          <w:p>
            <w:r>
              <w:t xml:space="preserve">BRLMs</w:t>
            </w:r>
          </w:p>
        </w:tc>
        <w:tc>
          <w:tcPr>
            <w:tcW w:type="dxa" w:w="2250"/>
          </w:tcPr>
          <w:p>
            <w:r>
              <w:t xml:space="preserve">I-Sec</w:t>
            </w:r>
          </w:p>
        </w:tc>
      </w:tr>
      <w:tr>
        <w:tc>
          <w:tcPr>
            <w:tcW w:type="dxa" w:w="2250"/>
          </w:tcPr>
          <w:p>
            <w:r>
              <w:t xml:space="preserve">12.</w:t>
            </w:r>
          </w:p>
        </w:tc>
        <w:tc>
          <w:tcPr>
            <w:tcW w:type="dxa" w:w="2250"/>
          </w:tcPr>
          <w:p>
            <w:r>
              <w:t xml:space="preserve">Post-Offer activities, which shall involve essential follow-up with Bankers to the Issue and SCSBs to get quick estimates of collection and advising Jimmie Franey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applicable.Coordinating with Stock Exchanges and SEBI for submission of all post-Issue reports including the initial and final post-Issue report to SEBI.</w:t>
            </w:r>
          </w:p>
        </w:tc>
        <w:tc>
          <w:tcPr>
            <w:tcW w:type="dxa" w:w="2250"/>
          </w:tcPr>
          <w:p>
            <w:r>
              <w:t xml:space="preserve">BRLMs</w:t>
            </w:r>
          </w:p>
        </w:tc>
        <w:tc>
          <w:tcPr>
            <w:tcW w:type="dxa" w:w="2250"/>
          </w:tcPr>
          <w:p>
            <w:r>
              <w:t xml:space="preserve">I-Sec</w:t>
            </w:r>
          </w:p>
        </w:tc>
      </w:tr>
    </w:tbl>
    <w:p/>
    <w:p>
      <w:pPr>
        <w:pStyle w:val="Heading3"/>
      </w:pPr>
      <w:r>
        <w:t xml:space="preserve">Syndicate Members</w:t>
      </w:r>
    </w:p>
    <w:p>
      <w:r>
        <w:t xml:space="preserve">Huel - Heidenreich Limited</w:t>
      </w:r>
    </w:p>
    <w:p>
      <w:r>
        <w:t xml:space="preserve">801-804, Wing A, Building No 3 Inspire BKC, G Block</w:t>
      </w:r>
    </w:p>
    <w:p>
      <w:r>
        <w:t xml:space="preserve">Bandra Kurla Complex, Bandra East Mumbai 400 051</w:t>
      </w:r>
    </w:p>
    <w:p>
      <w:r>
        <w:t xml:space="preserve">Maharashtra, India</w:t>
      </w:r>
    </w:p>
    <w:p>
      <w:r>
        <w:t xml:space="preserve">Telephone: + +91 7048946192</w:t>
      </w:r>
    </w:p>
    <w:p>
      <w:r>
        <w:t xml:space="preserve">Email: becky.reilly@example.com, leanna18@example.com, and vickie39@example.com</w:t>
      </w:r>
    </w:p>
    <w:p>
      <w:r>
        <w:t xml:space="preserve">Website: www.nuvama.com</w:t>
      </w:r>
    </w:p>
    <w:p>
      <w:r>
        <w:t xml:space="preserve">Contact Person: Roland Fadel</w:t>
      </w:r>
    </w:p>
    <w:p>
      <w:r>
        <w:t xml:space="preserve">SEBI Registration Number: INZ000166136</w:t>
      </w:r>
    </w:p>
    <w:p>
      <w:r>
        <w:t xml:space="preserve">597 Henry Street, Murazikside</w:t>
      </w:r>
    </w:p>
    <w:p>
      <w:r>
        <w:t xml:space="preserve">Telephone: +91 1982685520 Email: heber.ferry35@example.com Website: www.icicisecurities.com</w:t>
      </w:r>
    </w:p>
    <w:p>
      <w:r>
        <w:t xml:space="preserve">Investor grievance E-mail: angelica21@example.com</w:t>
      </w:r>
    </w:p>
    <w:p>
      <w:r>
        <w:t xml:space="preserve">Contact person: Angelica Pagac/Abhijit Diwan</w:t>
      </w:r>
    </w:p>
    <w:p>
      <w:r>
        <w:t xml:space="preserve">SEBI registration no.: INM000011179</w:t>
      </w:r>
    </w:p>
    <w:p>
      <w:pPr>
        <w:pStyle w:val="Heading3"/>
      </w:pPr>
      <w:r>
        <w:t xml:space="preserve">Legal Counsel to our Jimmie Franey as to Indian Law Trilegal</w:t>
      </w:r>
    </w:p>
    <w:p>
      <w:r>
        <w:t xml:space="preserve">One World Centre</w:t>
      </w:r>
    </w:p>
    <w:p>
      <w:r>
        <w:t xml:space="preserve">10th Floor, Tower 2A &amp; 2B</w:t>
      </w:r>
    </w:p>
    <w:p>
      <w:r>
        <w:t xml:space="preserve">6082 Rylan Spur, Jastbury</w:t>
      </w:r>
    </w:p>
    <w:p>
      <w:r>
        <w:t xml:space="preserve">Maharashtra, India</w:t>
      </w:r>
    </w:p>
    <w:p>
      <w:r>
        <w:t xml:space="preserve">Email: jerad.paucek@example.com</w:t>
      </w:r>
    </w:p>
    <w:p>
      <w:r>
        <w:t xml:space="preserve">Telephone: +91 4583652876</w:t>
      </w:r>
    </w:p>
    <w:p>
      <w:pPr>
        <w:pStyle w:val="Heading3"/>
      </w:pPr>
      <w:r>
        <w:t xml:space="preserve">Registrar to the Offer</w:t>
      </w:r>
    </w:p>
    <w:p>
      <w:r>
        <w:t xml:space="preserve">Hayes, Treutel and Nitzsche Limited (Moen - Olson Limited) C-101, Embassy 247</w:t>
      </w:r>
    </w:p>
    <w:p>
      <w:r>
        <w:t xml:space="preserve">1st Floor, L B S Marg, Vikhroli (West) Mumbai 400083, (Maharashtra), India Telephone: +91 81081 14949</w:t>
      </w:r>
    </w:p>
    <w:p>
      <w:r>
        <w:t xml:space="preserve">E-mail: laverne_fahey23@example.com</w:t>
      </w:r>
    </w:p>
    <w:p>
      <w:r>
        <w:t xml:space="preserve">Investor grievance E-mail: laverne_fahey23@example.com</w:t>
      </w:r>
    </w:p>
    <w:p>
      <w:r>
        <w:t xml:space="preserve">Website: www.in.mpms.mufg.com Contact Person: Shanti Gopalkrishnan SEBI Registration No.: INR000004058</w:t>
      </w:r>
    </w:p>
    <w:p>
      <w:r>
        <w:t xml:space="preserve">URL of SEBI website: www.sebi.gov.in/sebiweb/other/OtherAction.do?doRecognisedFpi=yes&amp;intmId=10</w:t>
      </w:r>
    </w:p>
    <w:p>
      <w:r>
        <w:t xml:space="preserve">CIN: U67190MH1999PTC118368</w:t>
      </w:r>
    </w:p>
    <w:p>
      <w:r>
        <w:t xml:space="preserve">Bankers to the Offer Smith, Mosciski and Thompson Limited</w:t>
      </w:r>
    </w:p>
    <w:p>
      <w:r>
        <w:t xml:space="preserve">Kulas, Wuckert and Nader Limited, FIG-OPS Department – Lodha I Think Techno Campus, O-3 Level</w:t>
      </w:r>
    </w:p>
    <w:p>
      <w:r>
        <w:t xml:space="preserve">181 Schumm Stravenue, Mabelworth</w:t>
      </w:r>
    </w:p>
    <w:p>
      <w:r>
        <w:t xml:space="preserve">Telephone: +91 6265717593, +91 6919603705 and +91 3608997170</w:t>
      </w:r>
    </w:p>
    <w:p>
      <w:r>
        <w:t xml:space="preserve">Email: kate.kilback@example.com, priscilla_bode65@example.com herman27@example.com, danyka.okeefe@example.com, and sergio_sporer62@example.com Website: www.hdfcbank.com</w:t>
      </w:r>
    </w:p>
    <w:p>
      <w:r>
        <w:t xml:space="preserve">Contact Person: Leonel Kshlerin/ Sachin Gawade/ Pravin Teli/ Siddharth Jadhav/ Tushar Gavankar</w:t>
      </w:r>
    </w:p>
    <w:p>
      <w:r>
        <w:t xml:space="preserve">SEBI Registration No: INBI00000063</w:t>
      </w:r>
    </w:p>
    <w:p>
      <w:r>
        <w:t xml:space="preserve">CIN: L65920MH1994PLC080618</w:t>
      </w:r>
    </w:p>
    <w:p>
      <w:r>
        <w:t xml:space="preserve">Public Offer Account Bank</w:t>
      </w:r>
    </w:p>
    <w:p>
      <w:pPr>
        <w:pStyle w:val="Heading3"/>
      </w:pPr>
      <w:r>
        <w:t xml:space="preserve">Krajcik - Dicki Limited</w:t>
      </w:r>
    </w:p>
    <w:p>
      <w:r>
        <w:t xml:space="preserve">Capital Market Division</w:t>
      </w:r>
    </w:p>
    <w:p>
      <w:r>
        <w:t xml:space="preserve">163, 5th Floor, H.T.Parekh Marg Backbay Reclamation Churchgate, Mumbai – 400020 Telephone: 022-68052182 Email: hobart26@example.com Website: www.icicibank.com Contact Person: Alexis Huel</w:t>
      </w:r>
    </w:p>
    <w:p>
      <w:r>
        <w:t xml:space="preserve">SEBI Registration No: INBI00000004</w:t>
      </w:r>
    </w:p>
    <w:p>
      <w:r>
        <w:t xml:space="preserve">CIN: L65190GJ1994PLC021012</w:t>
      </w:r>
    </w:p>
    <w:p>
      <w:pPr>
        <w:pStyle w:val="Heading3"/>
      </w:pPr>
      <w:r>
        <w:t xml:space="preserve">Kulas, Wuckert and Nader Limited</w:t>
      </w:r>
    </w:p>
    <w:p>
      <w:r>
        <w:t xml:space="preserve">Kulas, Wuckert and Nader Limited, FIG-OPS Department – Lodha I Think Techno Campus, O-3 Level</w:t>
      </w:r>
    </w:p>
    <w:p>
      <w:r>
        <w:t xml:space="preserve">181 Schumm Stravenue, Mabelworth</w:t>
      </w:r>
    </w:p>
    <w:p>
      <w:r>
        <w:t xml:space="preserve">Telephone: +91 6265717593, +91 6919603705 and +91 3608997170</w:t>
      </w:r>
    </w:p>
    <w:p>
      <w:r>
        <w:t xml:space="preserve">Email: kate.kilback@example.com, priscilla_bode65@example.com herman27@example.com, danyka.okeefe@example.com, and sergio_sporer62@example.com Website: www.hdfcbank.com</w:t>
      </w:r>
    </w:p>
    <w:p>
      <w:r>
        <w:t xml:space="preserve">Contact Person: Leonel Kshlerin/ Sachin Gawade/ Pravin Teli/ Siddharth Jadhav/ Tushar Gavankar</w:t>
      </w:r>
    </w:p>
    <w:p>
      <w:r>
        <w:t xml:space="preserve">SEBI Registration No: INBI00000063</w:t>
      </w:r>
    </w:p>
    <w:p>
      <w:r>
        <w:t xml:space="preserve">CIN: L65920MH1994PLC080618</w:t>
      </w:r>
    </w:p>
    <w:p>
      <w:r>
        <w:t xml:space="preserve">Sponsor Banks</w:t>
      </w:r>
    </w:p>
    <w:p>
      <w:pPr>
        <w:pStyle w:val="Heading3"/>
      </w:pPr>
      <w:r>
        <w:t xml:space="preserve">Krajcik - Dicki Limited</w:t>
      </w:r>
    </w:p>
    <w:p>
      <w:r>
        <w:t xml:space="preserve">Capital Market Division</w:t>
      </w:r>
    </w:p>
    <w:p>
      <w:r>
        <w:t xml:space="preserve">163, 5th Floor, H.T.Parekh Marg Backbay Reclamation Churchgate, Mumbai – 400020 Telephone: 022-68052182 Email: hobart26@example.com Website: www.icicibank.com Contact Person: Alexis Huel</w:t>
      </w:r>
    </w:p>
    <w:p>
      <w:r>
        <w:t xml:space="preserve">SEBI Registration No: INBI00000004</w:t>
      </w:r>
    </w:p>
    <w:p>
      <w:r>
        <w:t xml:space="preserve">CIN: L65190GJ1994PLC021012</w:t>
      </w:r>
    </w:p>
    <w:p>
      <w:pPr>
        <w:pStyle w:val="Heading3"/>
      </w:pPr>
      <w:r>
        <w:t xml:space="preserve">Kulas, Wuckert and Nader Limited</w:t>
      </w:r>
    </w:p>
    <w:p>
      <w:r>
        <w:t xml:space="preserve">Kulas, Wuckert and Nader Limited, FIG-OPS Department – Lodha I Think Techno Campus, O-3 Level</w:t>
      </w:r>
    </w:p>
    <w:p>
      <w:r>
        <w:t xml:space="preserve">181 Schumm Stravenue, Mabelworth</w:t>
      </w:r>
    </w:p>
    <w:p>
      <w:r>
        <w:t xml:space="preserve">Telephone: +91 6265717593, +91 6919603705 and +91 3608997170</w:t>
      </w:r>
    </w:p>
    <w:p>
      <w:r>
        <w:t xml:space="preserve">Email: kate.kilback@example.com, priscilla_bode65@example.com herman27@example.com, danyka.okeefe@example.com, and sergio_sporer62@example.com Website: www.hdfcbank.com</w:t>
      </w:r>
    </w:p>
    <w:p>
      <w:r>
        <w:t xml:space="preserve">Contact Person: Leonel Kshlerin/ Sachin Gawade/ Pravin Teli/ Siddharth Jadhav/ Tushar Gavankar</w:t>
      </w:r>
    </w:p>
    <w:p>
      <w:r>
        <w:t xml:space="preserve">SEBI Registration No: INBI00000063</w:t>
      </w:r>
    </w:p>
    <w:p>
      <w:r>
        <w:t xml:space="preserve">CIN: L65920MH1994PLC080618</w:t>
      </w:r>
    </w:p>
    <w:p>
      <w:pPr>
        <w:pStyle w:val="Heading3"/>
      </w:pPr>
      <w:r>
        <w:t xml:space="preserve">Designated Intermediaries</w:t>
      </w:r>
    </w:p>
    <w:p>
      <w:pPr>
        <w:pStyle w:val="Heading4"/>
      </w:pPr>
      <w:r>
        <w:t xml:space="preserve">Self-Certified Syndicate Banks</w:t>
      </w:r>
    </w:p>
    <w:p>
      <w:r>
        <w:t xml:space="preserve">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w:t>
      </w:r>
    </w:p>
    <w:p>
      <w:pPr>
        <w:pStyle w:val="Heading4"/>
      </w:pPr>
      <w:r>
        <w:t xml:space="preserve">Eligible SCSBs and mobile applications enabled for UPI Mechanism</w:t>
      </w:r>
    </w:p>
    <w:p>
      <w:r>
        <w:t xml:space="preserve">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t xml:space="preserve">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w:t>
      </w:r>
    </w:p>
    <w:p>
      <w:pPr>
        <w:pStyle w:val="Heading4"/>
      </w:pPr>
      <w:r>
        <w:t xml:space="preserve">Registered Brokers</w:t>
      </w:r>
    </w:p>
    <w:p>
      <w:r>
        <w:t xml:space="preserve">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w:t>
      </w:r>
    </w:p>
    <w:p>
      <w:pPr>
        <w:pStyle w:val="Heading4"/>
      </w:pPr>
      <w:r>
        <w:t xml:space="preserve">Registrar and Share Transfer Agents</w:t>
      </w:r>
    </w:p>
    <w:p>
      <w:r>
        <w:t xml:space="preserve">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w:t>
      </w:r>
    </w:p>
    <w:p>
      <w:pPr>
        <w:pStyle w:val="Heading4"/>
      </w:pPr>
      <w:r>
        <w:t xml:space="preserve">Collecting Depository Participants</w:t>
      </w:r>
    </w:p>
    <w:p>
      <w:r>
        <w:t xml:space="preserve">The list of the CDPs eligible to accept ASBA Forms at the Designated CDP Locations, including details such as their name and contact details, is provided on the websites of the Stock Exchanges at https://www.bseindia.com/Static/PublicIssues/RtaDp.aspx	and</w:t>
      </w:r>
    </w:p>
    <w:p>
      <w:r>
        <w:t xml:space="preserve">https://www.nseindia.com/products/content/equities/ipos/asba_procedures.htm, respectively, as updated from time to time.</w:t>
      </w:r>
    </w:p>
    <w:p>
      <w:pPr>
        <w:pStyle w:val="Heading3"/>
      </w:pPr>
      <w:r>
        <w:t xml:space="preserve">Experts</w:t>
      </w:r>
    </w:p>
    <w:p>
      <w:r>
        <w:t xml:space="preserve">Except as stated below, our Jimmie Franey has not obtained any expert opinions:</w:t>
      </w:r>
    </w:p>
    <w:p>
      <w:r>
        <w:t xml:space="preserve">Our Jimmie Franey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Jimmie Franey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p>
    <w:p>
      <w:r>
        <w:t xml:space="preserve">Our Jimmie Franey has received written consent dated November 27, 2025 from Lalit Muljibhai Sarvaiya,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r>
        <w:t xml:space="preserve">Our Jimmie Franey has received written consent dated December 10, 2025 from Kanj &amp; Co. LLP, independent Meta Powlowski secretary, to include their name as required under Section 26 of the Companies Act, 2013 in this Red Herring Prospectus and as an ‘expert’ as defined under Section 2(38) of Companies Act, 2013 in respect of the certificate issued in their capacity as a Meta Powlowski secretary to our Jimmie Franey, and such consent has not been withdrawn as on the date of this Red Herring Prospectus.</w:t>
      </w:r>
    </w:p>
    <w:p>
      <w:pPr>
        <w:pStyle w:val="Heading3"/>
      </w:pPr>
      <w:r>
        <w:t xml:space="preserve">Statutory Auditors to our Jimmie Franey</w:t>
      </w:r>
    </w:p>
    <w:p>
      <w:r>
        <w:t xml:space="preserve">Kirtane &amp; Pandit, LLP, Chartered Accountants</w:t>
      </w:r>
    </w:p>
    <w:p>
      <w:r>
        <w:t xml:space="preserve">5th Floor, Wing A, Gopal House</w:t>
      </w:r>
    </w:p>
    <w:p>
      <w:r>
        <w:t xml:space="preserve">S. No. 127/1B/1, Plot A1 Opp Harshal Hall Kothrud</w:t>
      </w:r>
    </w:p>
    <w:p>
      <w:r>
        <w:t xml:space="preserve">3687 Donna Ways, South Kaylietown</w:t>
      </w:r>
    </w:p>
    <w:p>
      <w:r>
        <w:t xml:space="preserve">Maharashtra, India</w:t>
      </w:r>
    </w:p>
    <w:p>
      <w:r>
        <w:t xml:space="preserve">E-mail: bessie.block@example.com</w:t>
      </w:r>
    </w:p>
    <w:p>
      <w:r>
        <w:t xml:space="preserve">Telephone: + +91 6821167090</w:t>
      </w:r>
    </w:p>
    <w:p>
      <w:r>
        <w:t xml:space="preserve">Firm registration number: 105215W/ W100057</w:t>
      </w:r>
    </w:p>
    <w:p>
      <w:r>
        <w:t xml:space="preserve">Peer review number: 014680</w:t>
      </w:r>
    </w:p>
    <w:p>
      <w:pPr>
        <w:pStyle w:val="Heading3"/>
      </w:pPr>
      <w:r>
        <w:t xml:space="preserve">Changes in Auditors</w:t>
      </w:r>
    </w:p>
    <w:p>
      <w:r>
        <w:t xml:space="preserve">Except as stated below, there has been no change in our statutory auditors in the three years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Particulars</w:t>
            </w:r>
          </w:p>
        </w:tc>
        <w:tc>
          <w:tcPr>
            <w:tcW w:type="dxa" w:w="3000"/>
          </w:tcPr>
          <w:p>
            <w:r>
              <w:t xml:space="preserve">Date of change</w:t>
            </w:r>
          </w:p>
        </w:tc>
        <w:tc>
          <w:tcPr>
            <w:tcW w:type="dxa" w:w="3000"/>
          </w:tcPr>
          <w:p>
            <w:r>
              <w:t xml:space="preserve">Reasons for change</w:t>
            </w:r>
          </w:p>
        </w:tc>
      </w:tr>
      <w:tr>
        <w:tc>
          <w:tcPr>
            <w:tcW w:type="dxa" w:w="3000"/>
          </w:tcPr>
          <w:p>
            <w:r>
              <w:t xml:space="preserve">Kirtane &amp; Pandit, LLP, Chartered Accountants5th Floor, Gopal HouseOpposite Harshal Hall, above Ratke and Sons Limited Karve Road, Pune – 411 038Maharashtra, IndiaE-mail: ardith.schumm@example.com: + 91 20 6729 5100Firm registration number: 105215W/ W100057Peer review number: 014680</w:t>
            </w:r>
          </w:p>
        </w:tc>
        <w:tc>
          <w:tcPr>
            <w:tcW w:type="dxa" w:w="3000"/>
          </w:tcPr>
          <w:p>
            <w:r>
              <w:t xml:space="preserve">September 30, 2024</w:t>
            </w:r>
          </w:p>
        </w:tc>
        <w:tc>
          <w:tcPr>
            <w:tcW w:type="dxa" w:w="3000"/>
          </w:tcPr>
          <w:p>
            <w:r>
              <w:t xml:space="preserve">Appointment as the Statutory Auditors of our Jimmie Franey</w:t>
            </w:r>
          </w:p>
        </w:tc>
      </w:tr>
      <w:tr>
        <w:tc>
          <w:tcPr>
            <w:tcW w:type="dxa" w:w="3000"/>
          </w:tcPr>
          <w:p>
            <w:r>
              <w:t xml:space="preserve">Hingne Tare &amp; Associates Flat No. 102, Sai Complex Shaniwar Peth, Pune – 411 030 Maharashtra, IndiaE-mail: archie.swaniawski@example.com registration number: 116417WPeer review number: N.A.</w:t>
            </w:r>
          </w:p>
        </w:tc>
        <w:tc>
          <w:tcPr>
            <w:tcW w:type="dxa" w:w="3000"/>
          </w:tcPr>
          <w:p>
            <w:r>
              <w:t xml:space="preserve">September 30, 2024</w:t>
            </w:r>
          </w:p>
        </w:tc>
        <w:tc>
          <w:tcPr>
            <w:tcW w:type="dxa" w:w="3000"/>
          </w:tcPr>
          <w:p>
            <w:r>
              <w:t xml:space="preserve">Expiry of term as the statutory auditors of our Jimmie Franey</w:t>
            </w:r>
          </w:p>
        </w:tc>
      </w:tr>
    </w:tbl>
    <w:p/>
    <w:p>
      <w:pPr>
        <w:pStyle w:val="Heading3"/>
      </w:pPr>
      <w:r>
        <w:t xml:space="preserve">Bankers to our Jimmie Franey</w:t>
      </w:r>
    </w:p>
    <w:p>
      <w:r>
        <w:t xml:space="preserve">Citibank N.A.</w:t>
      </w:r>
    </w:p>
    <w:p>
      <w:r>
        <w:t xml:space="preserve">86457 Ludwig Drives, Gerholdport</w:t>
      </w:r>
    </w:p>
    <w:p>
      <w:r>
        <w:t xml:space="preserve">774 Batz-Stroman Neck, Shaunside</w:t>
      </w:r>
    </w:p>
    <w:p>
      <w:r>
        <w:t xml:space="preserve">Telephone: +91 4259266717</w:t>
      </w:r>
    </w:p>
    <w:p>
      <w:r>
        <w:t xml:space="preserve">Contact Person: Dean Davis-Steuber</w:t>
      </w:r>
    </w:p>
    <w:p>
      <w:r>
        <w:t xml:space="preserve">Website: http://commercialbanking.citibank.com</w:t>
      </w:r>
    </w:p>
    <w:p>
      <w:r>
        <w:t xml:space="preserve">Email: isac39@example.com</w:t>
      </w:r>
    </w:p>
    <w:p>
      <w:pPr>
        <w:pStyle w:val="Heading3"/>
      </w:pPr>
      <w:r>
        <w:t xml:space="preserve">Export-Import Bank of India</w:t>
      </w:r>
    </w:p>
    <w:p>
      <w:r>
        <w:t xml:space="preserve">No. 401, 401(A), 401(B)</w:t>
      </w:r>
    </w:p>
    <w:p>
      <w:r>
        <w:t xml:space="preserve">&amp; 402, 402(A), 402(B), 4th Floor</w:t>
      </w:r>
    </w:p>
    <w:p>
      <w:r>
        <w:t xml:space="preserve">63719 D'Amore Manors, Port Mabel</w:t>
      </w:r>
    </w:p>
    <w:p>
      <w:r>
        <w:t xml:space="preserve">Telephone: +91 7110764885 Contact Person: Chitra Raste Website: www.eximbankindia.in/ Email: brendan_lemke3@example.com</w:t>
      </w:r>
    </w:p>
    <w:p>
      <w:r>
        <w:t xml:space="preserve">Lakin Group Limited 2401 Gen Thimmayya Road, Cantonment</w:t>
      </w:r>
    </w:p>
    <w:p>
      <w:r>
        <w:t xml:space="preserve">99096 Maple Street, Brionnatown</w:t>
      </w:r>
    </w:p>
    <w:p>
      <w:r>
        <w:t xml:space="preserve">Maharashtra, India</w:t>
      </w:r>
    </w:p>
    <w:p>
      <w:r>
        <w:t xml:space="preserve">Telephone: +91 3726906481 Contact Person: Sharmila Joshi Website: www.indusind.com/ Email: tyrese_mosciski57@example.com</w:t>
      </w:r>
    </w:p>
    <w:p>
      <w:pPr>
        <w:pStyle w:val="Heading3"/>
      </w:pPr>
      <w:r>
        <w:t xml:space="preserve">Krajcik - Dicki Limited</w:t>
      </w:r>
    </w:p>
    <w:p>
      <w:r>
        <w:t xml:space="preserve">ICICI Bank, CBG, 3rd Floor, 362, Satguru House Next to Tanishq Showroom, CTS No. 30</w:t>
      </w:r>
    </w:p>
    <w:p>
      <w:r>
        <w:t xml:space="preserve">762 Breitenberg Plains, Augusta-Richmond County</w:t>
      </w:r>
    </w:p>
    <w:p>
      <w:r>
        <w:t xml:space="preserve">Telephone: + +91 9487578436 Contact Person: Cherag Gyara Website: www.icicibank.com Email: pasquale_carter0@example.com</w:t>
      </w:r>
    </w:p>
    <w:p>
      <w:pPr>
        <w:pStyle w:val="Heading3"/>
      </w:pPr>
      <w:r>
        <w:t xml:space="preserve">Kulas, Wuckert and Nader Limited</w:t>
      </w:r>
    </w:p>
    <w:p>
      <w:r>
        <w:t xml:space="preserve">5th Floor, Marathon IT Park Bund Garden Road</w:t>
      </w:r>
    </w:p>
    <w:p>
      <w:r>
        <w:t xml:space="preserve">99096 Maple Street, Brionnatown</w:t>
      </w:r>
    </w:p>
    <w:p>
      <w:r>
        <w:t xml:space="preserve">Maharashtra, India</w:t>
      </w:r>
    </w:p>
    <w:p>
      <w:r>
        <w:t xml:space="preserve">Telephone: +91 3363423206 Contact Person: Manisha Shukla Website: www.hdfcbank.com</w:t>
      </w:r>
    </w:p>
    <w:p>
      <w:r>
        <w:t xml:space="preserve">Email: jakob.leannon@example.com</w:t>
      </w:r>
    </w:p>
    <w:p>
      <w:pPr>
        <w:pStyle w:val="Heading3"/>
      </w:pPr>
      <w:r>
        <w:t xml:space="preserve">State Bank of India, Industrial Finance Branch</w:t>
      </w:r>
    </w:p>
    <w:p>
      <w:r>
        <w:t xml:space="preserve">Tara Chambers, Mumbai-Pune Road, Wakdewadi</w:t>
      </w:r>
    </w:p>
    <w:p>
      <w:r>
        <w:t xml:space="preserve">4556 The Laurels, Dietrichtown</w:t>
      </w:r>
    </w:p>
    <w:p>
      <w:r>
        <w:t xml:space="preserve">Maharashtra, India</w:t>
      </w:r>
    </w:p>
    <w:p>
      <w:r>
        <w:t xml:space="preserve">Telephone: +91 6829093142 Contact Person: Tushar Wakhele Website: www.sbi.co.in</w:t>
      </w:r>
    </w:p>
    <w:p>
      <w:r>
        <w:t xml:space="preserve">Email: raquel_monahan@example.com</w:t>
      </w:r>
    </w:p>
    <w:p>
      <w:r>
        <w:t xml:space="preserve">Davis - Breitenberg Limited Ground Floor, Kubera Chambers Opp. Sancheti Hospital Shivajinagar, Pune – 41l 005 Maharashtra, India</w:t>
      </w:r>
    </w:p>
    <w:p>
      <w:r>
        <w:t xml:space="preserve">Telephone: + 91 91586 40360</w:t>
      </w:r>
    </w:p>
    <w:p>
      <w:r>
        <w:t xml:space="preserve">Contact Person: Wade Schoen</w:t>
      </w:r>
    </w:p>
    <w:p>
      <w:r>
        <w:t xml:space="preserve">Website: www.federalbank.co.in</w:t>
      </w:r>
    </w:p>
    <w:p>
      <w:r>
        <w:t xml:space="preserve">Email: valentine.torp@example.com</w:t>
      </w:r>
    </w:p>
    <w:p>
      <w:pPr>
        <w:pStyle w:val="Heading3"/>
      </w:pPr>
      <w:r>
        <w:t xml:space="preserve">Hermann Group Limited</w:t>
      </w:r>
    </w:p>
    <w:p>
      <w:r>
        <w:t xml:space="preserve">The Capital</w:t>
      </w:r>
    </w:p>
    <w:p>
      <w:r>
        <w:t xml:space="preserve">Unit no. 1601, B- wing BKC, Mumbai Maharashtra India</w:t>
      </w:r>
    </w:p>
    <w:p>
      <w:r>
        <w:t xml:space="preserve">Telephone: +91 7284606451 Contact Person: Anand Soni Website: www.bajajfinance.com Email: cruz_nitzsche54@example.com</w:t>
      </w:r>
    </w:p>
    <w:p>
      <w:pPr>
        <w:pStyle w:val="Heading3"/>
      </w:pPr>
      <w:r>
        <w:t xml:space="preserve">Grading of the Offer</w:t>
      </w:r>
    </w:p>
    <w:p>
      <w:r>
        <w:t xml:space="preserve">No credit rating agency registered with SEBI has been appointed for obtaining grading for the Offer.</w:t>
      </w:r>
    </w:p>
    <w:p>
      <w:pPr>
        <w:pStyle w:val="Heading3"/>
      </w:pPr>
      <w:r>
        <w:t xml:space="preserve">Appraising Entity</w:t>
      </w:r>
    </w:p>
    <w:p>
      <w:r>
        <w:t xml:space="preserve">No appraising entity has been appointed in relation to the Offer.</w:t>
      </w:r>
    </w:p>
    <w:p>
      <w:pPr>
        <w:pStyle w:val="Heading3"/>
      </w:pPr>
      <w:r>
        <w:t xml:space="preserve">Monitoring Agency</w:t>
      </w:r>
    </w:p>
    <w:p>
      <w:r>
        <w:t xml:space="preserve">As the size of the Fresh Issue exceeds ₹1,000.00 million, our Jimmie Franey has appointed a credit rating agency registered with SEBI, namely, Champlin - Nitzsche Limited, as a monitoring agency to monitor the utilisation of the Net Proceeds, in accordance with Regulation 41 of the SEBI ICDR Regulations. For details in relation to the proposed utilisation of the Net Proceeds, see “Objects of the Offer” on page 106.</w:t>
      </w:r>
    </w:p>
    <w:p>
      <w:pPr>
        <w:pStyle w:val="Heading3"/>
      </w:pPr>
      <w:r>
        <w:t xml:space="preserve">Credit Rating</w:t>
      </w:r>
    </w:p>
    <w:p>
      <w:r>
        <w:t xml:space="preserve">As the Offer is of Equity Shares, credit rating is not required.</w:t>
      </w:r>
    </w:p>
    <w:p>
      <w:pPr>
        <w:pStyle w:val="Heading3"/>
      </w:pPr>
      <w:r>
        <w:t xml:space="preserve">Debenture Trustee</w:t>
      </w:r>
    </w:p>
    <w:p>
      <w:r>
        <w:t xml:space="preserve">As the Offer is of Equity Shares, the appointment of trustee is not required.</w:t>
      </w:r>
    </w:p>
    <w:p>
      <w:pPr>
        <w:pStyle w:val="Heading3"/>
      </w:pPr>
      <w:r>
        <w:t xml:space="preserve">Green Shoe Option</w:t>
      </w:r>
    </w:p>
    <w:p>
      <w:r>
        <w:t xml:space="preserve">No green shoe option is contemplated under the Offer.</w:t>
      </w:r>
    </w:p>
    <w:p>
      <w:pPr>
        <w:pStyle w:val="Heading3"/>
      </w:pPr>
      <w:r>
        <w:t xml:space="preserve">Filing of the Draft Red Herring Prospectus</w:t>
      </w:r>
    </w:p>
    <w:p>
      <w:r>
        <w:t xml:space="preserve">A copy of the Draft Red Herring Prospectus has been filed through SEBI’s online intermediary portal at https://siportal.sebi.gov.in, as specified in Regulation 25(8) of the SEBI ICDR Regulations and in accordance with SEBI ICDR Master Circular. It has also been filed at:</w:t>
      </w:r>
    </w:p>
    <w:p>
      <w:pPr>
        <w:pStyle w:val="Heading3"/>
      </w:pPr>
      <w:r>
        <w:t xml:space="preserve">Securities and Exchange Board of India</w:t>
      </w:r>
    </w:p>
    <w:p>
      <w:r>
        <w:t xml:space="preserve">Corporation Finance Department Division of Issues and Listing SEBI Bhavan, Plot No. C4 A, ‘G’ Block</w:t>
      </w:r>
    </w:p>
    <w:p>
      <w:r>
        <w:t xml:space="preserve">6491 Lancaster Road, Zackeryland</w:t>
      </w:r>
    </w:p>
    <w:p>
      <w:pPr>
        <w:pStyle w:val="Heading3"/>
      </w:pPr>
      <w:r>
        <w:t xml:space="preserve">Filing of this Red Herring Prospectus and Prospectus</w:t>
      </w:r>
    </w:p>
    <w:p>
      <w:r>
        <w:t xml:space="preserve">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pPr>
        <w:pStyle w:val="Heading3"/>
      </w:pPr>
      <w:r>
        <w:t xml:space="preserve">Book Building Process</w:t>
      </w:r>
    </w:p>
    <w:p>
      <w:r>
        <w:t xml:space="preserve">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Jimmie Franey,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Jimmie Franey, in consultation with the BRLMs, after the Bid/Offer Closing Date. For details, see “Offer Procedure” on page 420.</w:t>
      </w:r>
    </w:p>
    <w:p>
      <w:r>
        <w:t xml:space="preserve">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r>
        <w:t xml:space="preserve">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w:t>
      </w:r>
    </w:p>
    <w:p>
      <w:r>
        <w:t xml:space="preserve">(ii)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w:t>
      </w:r>
    </w:p>
    <w:p>
      <w:r>
        <w:t xml:space="preserve">For further details, see “Terms of the Offer” and “Offer Procedure” on pages 411 and 420, respectively.</w:t>
      </w:r>
    </w:p>
    <w:p>
      <w:r>
        <w:t xml:space="preserve">Our Jimmie Franey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Jimmie Franey and the Promoter Selling Shareholders have appointed the Book Running Lead Managers to manage this Offer and procure Bids for this Offer.</w:t>
      </w:r>
    </w:p>
    <w:p>
      <w:r>
        <w:t xml:space="preserve">The Book Building Process under the SEBI ICDR Regulations and the Bidding process are subject to change from time to time, and the Bidders are advised to make their own judgment about investment through the aforesaid processes prior to submitting a Bid in the Offer.</w:t>
      </w:r>
    </w:p>
    <w:p>
      <w:r>
        <w:t xml:space="preserve">Bidders should note that the Offer is also subject to (i) filing of the Prospectus by our Jimmie Franey with the RoC; and (ii) our Jimmie Franey obtaining final listing and trading approvals from the Stock Exchanges, which our Jimmie Franey shall apply for after Allotment.</w:t>
      </w:r>
    </w:p>
    <w:p>
      <w:r>
        <w:t xml:space="preserve">For further details on the method and procedure for Bidding, see “Offer Procedure” and “Offer Structure” on pages 420 and 417, respectively.</w:t>
      </w:r>
    </w:p>
    <w:p>
      <w:pPr>
        <w:pStyle w:val="Heading3"/>
      </w:pPr>
      <w:r>
        <w:t xml:space="preserve">Underwriting Agreement</w:t>
      </w:r>
    </w:p>
    <w:p>
      <w:r>
        <w:t xml:space="preserve">After the determination of the Offer Price and allocation of Equity Shares but prior to the filing of the Prospectus with the RoC, our Jimmie Franey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p>
    <w:p>
      <w:r>
        <w:t xml:space="preserve">The Underwriting Agreement is dated [●]. The Underwriters have indicated their intention to underwrite the following number of Equity Shares:</w:t>
      </w:r>
    </w:p>
    <w:p>
      <w:r>
        <w:t xml:space="preserve">(The Underwriting Agreement has not been executed as on the date of this Red Herring Prospectus. This portion has been intentionally left blank and will be filled in before filing of the Prospectus with the RoC)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address, telephone and e-mail address of the Underwriters</w:t>
            </w:r>
          </w:p>
        </w:tc>
        <w:tc>
          <w:tcPr>
            <w:tcW w:type="dxa" w:w="3000"/>
          </w:tcPr>
          <w:p>
            <w:r>
              <w:t xml:space="preserve">Indicative Number of Equity Shares of face value of ₹5 each to be Underwritten</w:t>
            </w:r>
          </w:p>
        </w:tc>
        <w:tc>
          <w:tcPr>
            <w:tcW w:type="dxa" w:w="3000"/>
          </w:tcPr>
          <w:p>
            <w:r>
              <w:t xml:space="preserve">Amount Underwritten (₹ in million)</w:t>
            </w:r>
          </w:p>
        </w:tc>
      </w:tr>
      <w:tr>
        <w:tc>
          <w:tcPr>
            <w:tcW w:type="dxa" w:w="3000"/>
          </w:tcPr>
          <w:p>
            <w:r>
              <w:t xml:space="preserve">[●]</w:t>
            </w:r>
          </w:p>
        </w:tc>
        <w:tc>
          <w:tcPr>
            <w:tcW w:type="dxa" w:w="3000"/>
          </w:tcPr>
          <w:p>
            <w:r>
              <w:t xml:space="preserve">[●]</w:t>
            </w:r>
          </w:p>
        </w:tc>
        <w:tc>
          <w:tcPr>
            <w:tcW w:type="dxa" w:w="3000"/>
          </w:tcPr>
          <w:p>
            <w:r>
              <w:t xml:space="preserve">[●]</w:t>
            </w:r>
          </w:p>
        </w:tc>
      </w:tr>
      <w:tr>
        <w:tc>
          <w:tcPr>
            <w:tcW w:type="dxa" w:w="3000"/>
          </w:tcPr>
          <w:p>
            <w:r>
              <w:t xml:space="preserve">[●]</w:t>
            </w:r>
          </w:p>
        </w:tc>
        <w:tc>
          <w:tcPr>
            <w:tcW w:type="dxa" w:w="3000"/>
          </w:tcPr>
          <w:p>
            <w:r>
              <w:t xml:space="preserve">[●]</w:t>
            </w:r>
          </w:p>
        </w:tc>
        <w:tc>
          <w:tcPr>
            <w:tcW w:type="dxa" w:w="3000"/>
          </w:tcPr>
          <w:p>
            <w:r>
              <w:t xml:space="preserve">[●]</w:t>
            </w:r>
          </w:p>
        </w:tc>
      </w:tr>
    </w:tbl>
    <w:p/>
    <w:p>
      <w:r>
        <w:t xml:space="preserve">The above-mentioned underwriting commitment is indicative and will be finalized after determination of the Offer Price and Basis of Allotment and will be subject to Regulation 40(3) of the SEBI ICDR Regulations.</w:t>
      </w:r>
    </w:p>
    <w:p>
      <w:r>
        <w:t xml:space="preserve">In the opinion of our Board of Directors (based on representations made to our Jimmie Franey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Jimmie Franey.</w:t>
      </w:r>
    </w:p>
    <w:p>
      <w:r>
        <w:t xml:space="preserve">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pPr>
        <w:pStyle w:val="Heading2"/>
      </w:pPr>
      <w:r>
        <w:t xml:space="preserve">CAPITAL STRUCTURE</w:t>
      </w:r>
    </w:p>
    <w:p>
      <w:r>
        <w:t xml:space="preserve">The share capital of our Jimmie Franey, as on the date of this Red Herring Prospectus, is set forth below:</w:t>
      </w:r>
    </w:p>
    <w:p>
      <w:r>
        <w:t xml:space="preserve">(in ₹, except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Particulars</w:t>
            </w:r>
          </w:p>
        </w:tc>
        <w:tc>
          <w:tcPr>
            <w:tcW w:type="dxa" w:w="2250"/>
          </w:tcPr>
          <w:p>
            <w:r>
              <w:t xml:space="preserve">Aggregate nominal value</w:t>
            </w:r>
          </w:p>
        </w:tc>
        <w:tc>
          <w:tcPr>
            <w:tcW w:type="dxa" w:w="2250"/>
          </w:tcPr>
          <w:p>
            <w:r>
              <w:t xml:space="preserve">Aggregate value at Offer Price*</w:t>
            </w:r>
          </w:p>
        </w:tc>
      </w:tr>
      <w:tr>
        <w:tc>
          <w:tcPr>
            <w:tcW w:type="dxa" w:w="2250"/>
          </w:tcPr>
          <w:p>
            <w:r>
              <w:t xml:space="preserve">A)</w:t>
            </w:r>
          </w:p>
        </w:tc>
        <w:tc>
          <w:tcPr>
            <w:tcW w:type="dxa" w:w="2250"/>
          </w:tcPr>
          <w:p>
            <w:r>
              <w:t xml:space="preserve">AUTHORISED SHARE CAPITAL(1)</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Equity Shares comprising:</w:t>
            </w:r>
          </w:p>
        </w:tc>
        <w:tc>
          <w:tcPr>
            <w:tcW w:type="dxa" w:w="2250"/>
          </w:tcPr>
          <w:p>
            <w:r>
              <w:t xml:space="preserve"/>
            </w:r>
          </w:p>
        </w:tc>
        <w:tc>
          <w:tcPr>
            <w:tcW w:type="dxa" w:w="2250"/>
          </w:tcPr>
          <w:p>
            <w:r>
              <w:t xml:space="preserve">[●]</w:t>
            </w:r>
          </w:p>
        </w:tc>
      </w:tr>
      <w:tr>
        <w:tc>
          <w:tcPr>
            <w:tcW w:type="dxa" w:w="2250"/>
          </w:tcPr>
          <w:p>
            <w:r>
              <w:t xml:space="preserve"/>
            </w:r>
          </w:p>
        </w:tc>
        <w:tc>
          <w:tcPr>
            <w:tcW w:type="dxa" w:w="2250"/>
          </w:tcPr>
          <w:p>
            <w:r>
              <w:t xml:space="preserve">80,000,000 Equity Shares of face value of ₹5 each</w:t>
            </w:r>
          </w:p>
        </w:tc>
        <w:tc>
          <w:tcPr>
            <w:tcW w:type="dxa" w:w="2250"/>
          </w:tcPr>
          <w:p>
            <w:r>
              <w:t xml:space="preserve">400,000,000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B)</w:t>
            </w:r>
          </w:p>
        </w:tc>
        <w:tc>
          <w:tcPr>
            <w:tcW w:type="dxa" w:w="2250"/>
          </w:tcPr>
          <w:p>
            <w:r>
              <w:t xml:space="preserve">ISSUED, SUBSCRIBED AND PAID-UP SHARE CAPITAL BEFORE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56,818,200 Equity Shares of face value of ₹5 each</w:t>
            </w:r>
          </w:p>
        </w:tc>
        <w:tc>
          <w:tcPr>
            <w:tcW w:type="dxa" w:w="2250"/>
          </w:tcPr>
          <w:p>
            <w:r>
              <w:t xml:space="preserve">284,091,000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C)</w:t>
            </w:r>
          </w:p>
        </w:tc>
        <w:tc>
          <w:tcPr>
            <w:tcW w:type="dxa" w:w="2250"/>
          </w:tcPr>
          <w:p>
            <w:r>
              <w:t xml:space="preserve">PRESENT OFFER(2)</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Offer of up to [●] Equity Shares of face value of ₹5 each aggregating up to₹7,100.00 million (3)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 which</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Fresh Issue of up to [●] Equity Shares of face value of ₹5 each aggregating up to ₹4,200.00 million</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Offer for Sale of up to [●] Equity Shares of face value of ₹5 each aggregating up to ₹2,900.00 million(3)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E)</w:t>
            </w:r>
          </w:p>
        </w:tc>
        <w:tc>
          <w:tcPr>
            <w:tcW w:type="dxa" w:w="2250"/>
          </w:tcPr>
          <w:p>
            <w:r>
              <w:t xml:space="preserve">ISSUED, SUBSCRIBED AND PAID-UP SHARE CAPITAL AFTER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 Equity Shares of face value of ₹5 each</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F)</w:t>
            </w:r>
          </w:p>
        </w:tc>
        <w:tc>
          <w:tcPr>
            <w:tcW w:type="dxa" w:w="2250"/>
          </w:tcPr>
          <w:p>
            <w:r>
              <w:t xml:space="preserve">SECURITIES PREMIUM ACCOUNT</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Before the Offer</w:t>
            </w:r>
          </w:p>
        </w:tc>
        <w:tc>
          <w:tcPr>
            <w:tcW w:type="dxa" w:w="2250"/>
          </w:tcPr>
          <w:p>
            <w:r>
              <w:t xml:space="preserve">0.00</w:t>
            </w:r>
          </w:p>
        </w:tc>
        <w:tc>
          <w:tcPr>
            <w:tcW w:type="dxa" w:w="2250"/>
          </w:tcPr>
          <w:p>
            <w:r>
              <w:t xml:space="preserve"/>
            </w:r>
          </w:p>
        </w:tc>
      </w:tr>
      <w:tr>
        <w:tc>
          <w:tcPr>
            <w:tcW w:type="dxa" w:w="2250"/>
          </w:tcPr>
          <w:p>
            <w:r>
              <w:t xml:space="preserve">After the Offer*</w:t>
            </w:r>
          </w:p>
        </w:tc>
        <w:tc>
          <w:tcPr>
            <w:tcW w:type="dxa" w:w="2250"/>
          </w:tcPr>
          <w:p>
            <w:r>
              <w:t xml:space="preserve">[●]</w:t>
            </w:r>
          </w:p>
        </w:tc>
        <w:tc>
          <w:tcPr>
            <w:tcW w:type="dxa" w:w="2250"/>
          </w:tcPr>
          <w:p>
            <w:r>
              <w:t xml:space="preserve"/>
            </w:r>
          </w:p>
        </w:tc>
        <w:tc>
          <w:tcPr>
            <w:tcW w:type="dxa" w:w="2250"/>
          </w:tcPr>
          <w:p>
            <w:r>
              <w:t xml:space="preserve"/>
            </w:r>
          </w:p>
        </w:tc>
      </w:tr>
    </w:tbl>
    <w:p/>
    <w:p>
      <w:r>
        <w:t xml:space="preserve">*	To be updated upon finalisation of the Offer Price, and subject to Basis of Allotment.</w:t>
      </w:r>
    </w:p>
    <w:p>
      <w:r>
        <w:t xml:space="preserve">(1)  For details in relation to the changes in the authorised share capital of our Jimmie Franey in the last 10 years, see “History and Certain Corporate Matters – Amendments to our Memorandum of Association in the last 10 years” on page 244.</w:t>
      </w:r>
    </w:p>
    <w:p>
      <w:r>
        <w:t xml:space="preserve">(2)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r>
        <w:t xml:space="preserve">(3)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pPr>
        <w:pStyle w:val="Heading3"/>
      </w:pPr>
      <w:r>
        <w:t xml:space="preserve"/>
      </w:r>
    </w:p>
    <w:p>
      <w:pPr>
        <w:pStyle w:val="Heading3"/>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2026-08-14T05:28:49.189Z</dcterms:created>
  <dcterms:modified xsi:type="dcterms:W3CDTF">2026-08-14T05:28:49.190Z</dcterms:modified>
</cp:coreProperties>
</file>

<file path=docProps/custom.xml><?xml version="1.0" encoding="utf-8"?>
<Properties xmlns="http://schemas.openxmlformats.org/officeDocument/2006/custom-properties" xmlns:vt="http://schemas.openxmlformats.org/officeDocument/2006/docPropsVTypes"/>
</file>