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0"/>
          <w:szCs w:val="30"/>
        </w:rPr>
        <w:t xml:space="preserve">Project Design Phase</w:t>
      </w:r>
    </w:p>
    <w:p>
      <w:pPr>
        <w:spacing w:after="300"/>
        <w:jc w:val="center"/>
      </w:pPr>
      <w:r>
        <w:rPr>
          <w:b/>
          <w:bCs/>
          <w:sz w:val="26"/>
          <w:szCs w:val="26"/>
        </w:rPr>
        <w:t xml:space="preserve">Proposed Solution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D9E2F3" w:color="auto" w:val="clear"/>
            <w:tcMar>
              <w:top w:type="dxa" w:w="100"/>
              <w:left w:type="dxa" w:w="120"/>
              <w:bottom w:type="dxa" w:w="100"/>
              <w:right w:type="dxa" w:w="120"/>
            </w:tcMar>
          </w:tcPr>
          <w:p>
            <w:r>
              <w:rPr>
                <w:b/>
                <w:bCs/>
                <w:sz w:val="21"/>
                <w:szCs w:val="21"/>
              </w:rPr>
              <w:t xml:space="preserve">Date</w:t>
            </w:r>
          </w:p>
        </w:tc>
        <w:tc>
          <w:tcPr>
            <w:tcW w:type="dxa" w:w="7680"/>
            <w:tcMar>
              <w:top w:type="dxa" w:w="100"/>
              <w:left w:type="dxa" w:w="120"/>
              <w:bottom w:type="dxa" w:w="100"/>
              <w:right w:type="dxa" w:w="120"/>
            </w:tcMar>
          </w:tcPr>
          <w:p>
            <w:r>
              <w:rPr>
                <w:sz w:val="21"/>
                <w:szCs w:val="21"/>
              </w:rPr>
              <w:t xml:space="preserve">July 2026</w:t>
            </w:r>
          </w:p>
        </w:tc>
      </w:tr>
      <w:tr>
        <w:tc>
          <w:tcPr>
            <w:tcW w:type="dxa" w:w="2400"/>
            <w:shd w:fill="D9E2F3" w:color="auto" w:val="clear"/>
            <w:tcMar>
              <w:top w:type="dxa" w:w="100"/>
              <w:left w:type="dxa" w:w="120"/>
              <w:bottom w:type="dxa" w:w="100"/>
              <w:right w:type="dxa" w:w="120"/>
            </w:tcMar>
          </w:tcPr>
          <w:p>
            <w:r>
              <w:rPr>
                <w:b/>
                <w:bCs/>
                <w:sz w:val="21"/>
                <w:szCs w:val="21"/>
              </w:rPr>
              <w:t xml:space="preserve">Team ID</w:t>
            </w:r>
          </w:p>
        </w:tc>
        <w:tc>
          <w:tcPr>
            <w:tcW w:type="dxa" w:w="7680"/>
            <w:tcMar>
              <w:top w:type="dxa" w:w="100"/>
              <w:left w:type="dxa" w:w="120"/>
              <w:bottom w:type="dxa" w:w="100"/>
              <w:right w:type="dxa" w:w="120"/>
            </w:tcMar>
          </w:tcPr>
          <w:p>
            <w:r>
              <w:rPr>
                <w:sz w:val="21"/>
                <w:szCs w:val="21"/>
              </w:rPr>
              <w:t xml:space="preserve"> </w:t>
            </w:r>
          </w:p>
        </w:tc>
      </w:tr>
      <w:tr>
        <w:tc>
          <w:tcPr>
            <w:tcW w:type="dxa" w:w="2400"/>
            <w:shd w:fill="D9E2F3" w:color="auto" w:val="clear"/>
            <w:tcMar>
              <w:top w:type="dxa" w:w="100"/>
              <w:left w:type="dxa" w:w="120"/>
              <w:bottom w:type="dxa" w:w="100"/>
              <w:right w:type="dxa" w:w="120"/>
            </w:tcMar>
          </w:tcPr>
          <w:p>
            <w:r>
              <w:rPr>
                <w:b/>
                <w:bCs/>
                <w:sz w:val="21"/>
                <w:szCs w:val="21"/>
              </w:rPr>
              <w:t xml:space="preserve">Project Name</w:t>
            </w:r>
          </w:p>
        </w:tc>
        <w:tc>
          <w:tcPr>
            <w:tcW w:type="dxa" w:w="7680"/>
            <w:tcMar>
              <w:top w:type="dxa" w:w="100"/>
              <w:left w:type="dxa" w:w="120"/>
              <w:bottom w:type="dxa" w:w="100"/>
              <w:right w:type="dxa" w:w="120"/>
            </w:tcMar>
          </w:tcPr>
          <w:p>
            <w:r>
              <w:rPr>
                <w:sz w:val="21"/>
                <w:szCs w:val="21"/>
              </w:rPr>
              <w:t xml:space="preserve">Sports Hall Booking System</w:t>
            </w:r>
          </w:p>
        </w:tc>
      </w:tr>
      <w:tr>
        <w:tc>
          <w:tcPr>
            <w:tcW w:type="dxa" w:w="2400"/>
            <w:shd w:fill="D9E2F3" w:color="auto" w:val="clear"/>
            <w:tcMar>
              <w:top w:type="dxa" w:w="100"/>
              <w:left w:type="dxa" w:w="120"/>
              <w:bottom w:type="dxa" w:w="100"/>
              <w:right w:type="dxa" w:w="120"/>
            </w:tcMar>
          </w:tcPr>
          <w:p>
            <w:r>
              <w:rPr>
                <w:b/>
                <w:bCs/>
                <w:sz w:val="21"/>
                <w:szCs w:val="21"/>
              </w:rPr>
              <w:t xml:space="preserve">Project ID</w:t>
            </w:r>
          </w:p>
        </w:tc>
        <w:tc>
          <w:tcPr>
            <w:tcW w:type="dxa" w:w="7680"/>
            <w:tcMar>
              <w:top w:type="dxa" w:w="100"/>
              <w:left w:type="dxa" w:w="120"/>
              <w:bottom w:type="dxa" w:w="100"/>
              <w:right w:type="dxa" w:w="120"/>
            </w:tcMar>
          </w:tcPr>
          <w:p>
            <w:r>
              <w:rPr>
                <w:sz w:val="21"/>
                <w:szCs w:val="21"/>
              </w:rPr>
              <w:t xml:space="preserve"> </w:t>
            </w:r>
          </w:p>
        </w:tc>
      </w:tr>
    </w:tbl>
    <w:p>
      <w:pPr>
        <w:spacing w:after="150" w:before="300"/>
      </w:pPr>
      <w:r>
        <w:rPr>
          <w:i/>
          <w:iCs/>
          <w:sz w:val="20"/>
          <w:szCs w:val="20"/>
        </w:rPr>
        <w:t xml:space="preserve">Project team shall fill the following information in the proposed solution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580"/>
      </w:tblGrid>
      <w:tr>
        <w:trPr>
          <w:tblHeader/>
        </w:trPr>
        <w:tc>
          <w:tcPr>
            <w:tcW w:type="dxa" w:w="900"/>
            <w:shd w:fill="1F3864" w:color="auto" w:val="clear"/>
            <w:tcMar>
              <w:top w:type="dxa" w:w="100"/>
              <w:left w:type="dxa" w:w="120"/>
              <w:bottom w:type="dxa" w:w="100"/>
              <w:right w:type="dxa" w:w="120"/>
            </w:tcMar>
            <w:vAlign w:val="center"/>
          </w:tcPr>
          <w:p>
            <w:r>
              <w:rPr>
                <w:b/>
                <w:bCs/>
                <w:color w:val="FFFFFF"/>
                <w:sz w:val="21"/>
                <w:szCs w:val="21"/>
              </w:rPr>
              <w:t xml:space="preserve">S.No.</w:t>
            </w:r>
          </w:p>
        </w:tc>
        <w:tc>
          <w:tcPr>
            <w:tcW w:type="dxa" w:w="2600"/>
            <w:shd w:fill="1F3864" w:color="auto" w:val="clear"/>
            <w:tcMar>
              <w:top w:type="dxa" w:w="100"/>
              <w:left w:type="dxa" w:w="120"/>
              <w:bottom w:type="dxa" w:w="100"/>
              <w:right w:type="dxa" w:w="120"/>
            </w:tcMar>
            <w:vAlign w:val="center"/>
          </w:tcPr>
          <w:p>
            <w:r>
              <w:rPr>
                <w:b/>
                <w:bCs/>
                <w:color w:val="FFFFFF"/>
                <w:sz w:val="21"/>
                <w:szCs w:val="21"/>
              </w:rPr>
              <w:t xml:space="preserve">Parameter</w:t>
            </w:r>
          </w:p>
        </w:tc>
        <w:tc>
          <w:tcPr>
            <w:tcW w:type="dxa" w:w="6580"/>
            <w:shd w:fill="1F3864" w:color="auto" w:val="clear"/>
            <w:tcMar>
              <w:top w:type="dxa" w:w="100"/>
              <w:left w:type="dxa" w:w="120"/>
              <w:bottom w:type="dxa" w:w="100"/>
              <w:right w:type="dxa" w:w="120"/>
            </w:tcMar>
            <w:vAlign w:val="center"/>
          </w:tcPr>
          <w:p>
            <w:r>
              <w:rPr>
                <w:b/>
                <w:bCs/>
                <w:color w:val="FFFFFF"/>
                <w:sz w:val="21"/>
                <w:szCs w:val="21"/>
              </w:rPr>
              <w:t xml:space="preserve">Description</w:t>
            </w:r>
          </w:p>
        </w:tc>
      </w:tr>
      <w:tr>
        <w:tc>
          <w:tcPr>
            <w:tcW w:type="dxa" w:w="900"/>
            <w:tcMar>
              <w:top w:type="dxa" w:w="120"/>
              <w:left w:type="dxa" w:w="120"/>
              <w:bottom w:type="dxa" w:w="120"/>
              <w:right w:type="dxa" w:w="120"/>
            </w:tcMar>
            <w:vAlign w:val="center"/>
          </w:tcPr>
          <w:p>
            <w:pPr>
              <w:jc w:val="center"/>
            </w:pPr>
            <w:r>
              <w:rPr>
                <w:b/>
                <w:bCs/>
                <w:sz w:val="21"/>
                <w:szCs w:val="21"/>
              </w:rPr>
              <w:t xml:space="preserve">1.</w:t>
            </w:r>
          </w:p>
        </w:tc>
        <w:tc>
          <w:tcPr>
            <w:tcW w:type="dxa" w:w="2600"/>
            <w:tcMar>
              <w:top w:type="dxa" w:w="120"/>
              <w:left w:type="dxa" w:w="120"/>
              <w:bottom w:type="dxa" w:w="120"/>
              <w:right w:type="dxa" w:w="120"/>
            </w:tcMar>
            <w:vAlign w:val="center"/>
          </w:tcPr>
          <w:p>
            <w:pPr>
              <w:jc w:val="left"/>
            </w:pPr>
            <w:r>
              <w:rPr>
                <w:b/>
                <w:bCs/>
                <w:sz w:val="21"/>
                <w:szCs w:val="21"/>
              </w:rPr>
              <w:t xml:space="preserve">Problem Statement</w:t>
            </w:r>
          </w:p>
          <w:p>
            <w:pPr>
              <w:jc w:val="left"/>
            </w:pPr>
            <w:r>
              <w:rPr>
                <w:b/>
                <w:bCs/>
                <w:sz w:val="21"/>
                <w:szCs w:val="21"/>
              </w:rPr>
              <w:t xml:space="preserve">(Problem to be solved)</w:t>
            </w:r>
          </w:p>
        </w:tc>
        <w:tc>
          <w:tcPr>
            <w:tcW w:type="dxa" w:w="6580"/>
            <w:tcMar>
              <w:top w:type="dxa" w:w="120"/>
              <w:left w:type="dxa" w:w="120"/>
              <w:bottom w:type="dxa" w:w="120"/>
              <w:right w:type="dxa" w:w="120"/>
            </w:tcMar>
            <w:vAlign w:val="center"/>
          </w:tcPr>
          <w:p>
            <w:pPr>
              <w:jc w:val="left"/>
            </w:pPr>
            <w:r>
              <w:rPr>
                <w:b w:val="false"/>
                <w:bCs w:val="false"/>
                <w:sz w:val="21"/>
                <w:szCs w:val="21"/>
              </w:rPr>
              <w:t xml:space="preserve">Booking of sports halls and facilities is largely handled manually through phone calls, registers, or informal requests. This leads to double bookings, lack of real-time visibility into slot availability, delayed approvals, and no centralized way to track booking status, resulting in inefficient use of sports infrastructure and a poor experience for users and administrators alike.</w:t>
            </w:r>
          </w:p>
        </w:tc>
      </w:tr>
      <w:tr>
        <w:tc>
          <w:tcPr>
            <w:tcW w:type="dxa" w:w="900"/>
            <w:tcMar>
              <w:top w:type="dxa" w:w="120"/>
              <w:left w:type="dxa" w:w="120"/>
              <w:bottom w:type="dxa" w:w="120"/>
              <w:right w:type="dxa" w:w="120"/>
            </w:tcMar>
            <w:vAlign w:val="center"/>
          </w:tcPr>
          <w:p>
            <w:pPr>
              <w:jc w:val="center"/>
            </w:pPr>
            <w:r>
              <w:rPr>
                <w:b/>
                <w:bCs/>
                <w:sz w:val="21"/>
                <w:szCs w:val="21"/>
              </w:rPr>
              <w:t xml:space="preserve">2.</w:t>
            </w:r>
          </w:p>
        </w:tc>
        <w:tc>
          <w:tcPr>
            <w:tcW w:type="dxa" w:w="2600"/>
            <w:tcMar>
              <w:top w:type="dxa" w:w="120"/>
              <w:left w:type="dxa" w:w="120"/>
              <w:bottom w:type="dxa" w:w="120"/>
              <w:right w:type="dxa" w:w="120"/>
            </w:tcMar>
            <w:vAlign w:val="center"/>
          </w:tcPr>
          <w:p>
            <w:pPr>
              <w:jc w:val="left"/>
            </w:pPr>
            <w:r>
              <w:rPr>
                <w:b/>
                <w:bCs/>
                <w:sz w:val="21"/>
                <w:szCs w:val="21"/>
              </w:rPr>
              <w:t xml:space="preserve">Idea / Solution Description</w:t>
            </w:r>
          </w:p>
        </w:tc>
        <w:tc>
          <w:tcPr>
            <w:tcW w:type="dxa" w:w="6580"/>
            <w:tcMar>
              <w:top w:type="dxa" w:w="120"/>
              <w:left w:type="dxa" w:w="120"/>
              <w:bottom w:type="dxa" w:w="120"/>
              <w:right w:type="dxa" w:w="120"/>
            </w:tcMar>
            <w:vAlign w:val="center"/>
          </w:tcPr>
          <w:p>
            <w:pPr>
              <w:jc w:val="left"/>
            </w:pPr>
            <w:r>
              <w:rPr>
                <w:b w:val="false"/>
                <w:bCs w:val="false"/>
                <w:sz w:val="21"/>
                <w:szCs w:val="21"/>
              </w:rPr>
              <w:t xml:space="preserve">A custom-built ServiceNow solution developed using the Service Portal to simplify and automate sports facility reservations. The portal allows users to view real-time slot availability, submit booking requests, and track approval status through an intuitive interface. Flow Designer and scheduled jobs automate the approval workflow, notifications, and status updates, providing a secure, efficient, and scalable end-to-end booking experience.</w:t>
            </w:r>
          </w:p>
        </w:tc>
      </w:tr>
      <w:tr>
        <w:tc>
          <w:tcPr>
            <w:tcW w:type="dxa" w:w="900"/>
            <w:tcMar>
              <w:top w:type="dxa" w:w="120"/>
              <w:left w:type="dxa" w:w="120"/>
              <w:bottom w:type="dxa" w:w="120"/>
              <w:right w:type="dxa" w:w="120"/>
            </w:tcMar>
            <w:vAlign w:val="center"/>
          </w:tcPr>
          <w:p>
            <w:pPr>
              <w:jc w:val="center"/>
            </w:pPr>
            <w:r>
              <w:rPr>
                <w:b/>
                <w:bCs/>
                <w:sz w:val="21"/>
                <w:szCs w:val="21"/>
              </w:rPr>
              <w:t xml:space="preserve">3.</w:t>
            </w:r>
          </w:p>
        </w:tc>
        <w:tc>
          <w:tcPr>
            <w:tcW w:type="dxa" w:w="2600"/>
            <w:tcMar>
              <w:top w:type="dxa" w:w="120"/>
              <w:left w:type="dxa" w:w="120"/>
              <w:bottom w:type="dxa" w:w="120"/>
              <w:right w:type="dxa" w:w="120"/>
            </w:tcMar>
            <w:vAlign w:val="center"/>
          </w:tcPr>
          <w:p>
            <w:pPr>
              <w:jc w:val="left"/>
            </w:pPr>
            <w:r>
              <w:rPr>
                <w:b/>
                <w:bCs/>
                <w:sz w:val="21"/>
                <w:szCs w:val="21"/>
              </w:rPr>
              <w:t xml:space="preserve">Novelty / Uniqueness</w:t>
            </w:r>
          </w:p>
        </w:tc>
        <w:tc>
          <w:tcPr>
            <w:tcW w:type="dxa" w:w="6580"/>
            <w:tcMar>
              <w:top w:type="dxa" w:w="120"/>
              <w:left w:type="dxa" w:w="120"/>
              <w:bottom w:type="dxa" w:w="120"/>
              <w:right w:type="dxa" w:w="120"/>
            </w:tcMar>
            <w:vAlign w:val="center"/>
          </w:tcPr>
          <w:p>
            <w:pPr>
              <w:jc w:val="left"/>
            </w:pPr>
            <w:r>
              <w:rPr>
                <w:b w:val="false"/>
                <w:bCs w:val="false"/>
                <w:sz w:val="21"/>
                <w:szCs w:val="21"/>
              </w:rPr>
              <w:t xml:space="preserve">Built entirely on a ServiceNow Developer instance using Service Portal widgets, combining custom HTML, CSS, Client Scripts, and Server Scripts to create a purpose-built booking experience rather than relying on a generic form. Real-time availability checks, automated approval routing, and notification triggers are handled natively within the ServiceNow platform using Flow Designer, removing the need for manual coordination or external booking tools.</w:t>
            </w:r>
          </w:p>
        </w:tc>
      </w:tr>
      <w:tr>
        <w:tc>
          <w:tcPr>
            <w:tcW w:type="dxa" w:w="900"/>
            <w:tcMar>
              <w:top w:type="dxa" w:w="120"/>
              <w:left w:type="dxa" w:w="120"/>
              <w:bottom w:type="dxa" w:w="120"/>
              <w:right w:type="dxa" w:w="120"/>
            </w:tcMar>
            <w:vAlign w:val="center"/>
          </w:tcPr>
          <w:p>
            <w:pPr>
              <w:jc w:val="center"/>
            </w:pPr>
            <w:r>
              <w:rPr>
                <w:b/>
                <w:bCs/>
                <w:sz w:val="21"/>
                <w:szCs w:val="21"/>
              </w:rPr>
              <w:t xml:space="preserve">4.</w:t>
            </w:r>
          </w:p>
        </w:tc>
        <w:tc>
          <w:tcPr>
            <w:tcW w:type="dxa" w:w="2600"/>
            <w:tcMar>
              <w:top w:type="dxa" w:w="120"/>
              <w:left w:type="dxa" w:w="120"/>
              <w:bottom w:type="dxa" w:w="120"/>
              <w:right w:type="dxa" w:w="120"/>
            </w:tcMar>
            <w:vAlign w:val="center"/>
          </w:tcPr>
          <w:p>
            <w:pPr>
              <w:jc w:val="left"/>
            </w:pPr>
            <w:r>
              <w:rPr>
                <w:b/>
                <w:bCs/>
                <w:sz w:val="21"/>
                <w:szCs w:val="21"/>
              </w:rPr>
              <w:t xml:space="preserve">Social Impact / Customer Satisfaction</w:t>
            </w:r>
          </w:p>
        </w:tc>
        <w:tc>
          <w:tcPr>
            <w:tcW w:type="dxa" w:w="6580"/>
            <w:tcMar>
              <w:top w:type="dxa" w:w="120"/>
              <w:left w:type="dxa" w:w="120"/>
              <w:bottom w:type="dxa" w:w="120"/>
              <w:right w:type="dxa" w:w="120"/>
            </w:tcMar>
            <w:vAlign w:val="center"/>
          </w:tcPr>
          <w:p>
            <w:pPr>
              <w:jc w:val="left"/>
            </w:pPr>
            <w:r>
              <w:rPr>
                <w:b w:val="false"/>
                <w:bCs w:val="false"/>
                <w:sz w:val="21"/>
                <w:szCs w:val="21"/>
              </w:rPr>
              <w:t xml:space="preserve">Improves transparency and fairness in allocating shared sports facilities, reduces scheduling conflicts and double bookings, and saves time for both users and administrators. Faculty, staff, and students can view availability and receive timely notifications, leading to higher satisfaction and better utilization of sports resources within the institution.</w:t>
            </w:r>
          </w:p>
        </w:tc>
      </w:tr>
      <w:tr>
        <w:tc>
          <w:tcPr>
            <w:tcW w:type="dxa" w:w="900"/>
            <w:tcMar>
              <w:top w:type="dxa" w:w="120"/>
              <w:left w:type="dxa" w:w="120"/>
              <w:bottom w:type="dxa" w:w="120"/>
              <w:right w:type="dxa" w:w="120"/>
            </w:tcMar>
            <w:vAlign w:val="center"/>
          </w:tcPr>
          <w:p>
            <w:pPr>
              <w:jc w:val="center"/>
            </w:pPr>
            <w:r>
              <w:rPr>
                <w:b/>
                <w:bCs/>
                <w:sz w:val="21"/>
                <w:szCs w:val="21"/>
              </w:rPr>
              <w:t xml:space="preserve">5.</w:t>
            </w:r>
          </w:p>
        </w:tc>
        <w:tc>
          <w:tcPr>
            <w:tcW w:type="dxa" w:w="2600"/>
            <w:tcMar>
              <w:top w:type="dxa" w:w="120"/>
              <w:left w:type="dxa" w:w="120"/>
              <w:bottom w:type="dxa" w:w="120"/>
              <w:right w:type="dxa" w:w="120"/>
            </w:tcMar>
            <w:vAlign w:val="center"/>
          </w:tcPr>
          <w:p>
            <w:pPr>
              <w:jc w:val="left"/>
            </w:pPr>
            <w:r>
              <w:rPr>
                <w:b/>
                <w:bCs/>
                <w:sz w:val="21"/>
                <w:szCs w:val="21"/>
              </w:rPr>
              <w:t xml:space="preserve">Business Model</w:t>
            </w:r>
          </w:p>
          <w:p>
            <w:pPr>
              <w:jc w:val="left"/>
            </w:pPr>
            <w:r>
              <w:rPr>
                <w:b/>
                <w:bCs/>
                <w:sz w:val="21"/>
                <w:szCs w:val="21"/>
              </w:rPr>
              <w:t xml:space="preserve">(Revenue Model)</w:t>
            </w:r>
          </w:p>
        </w:tc>
        <w:tc>
          <w:tcPr>
            <w:tcW w:type="dxa" w:w="6580"/>
            <w:tcMar>
              <w:top w:type="dxa" w:w="120"/>
              <w:left w:type="dxa" w:w="120"/>
              <w:bottom w:type="dxa" w:w="120"/>
              <w:right w:type="dxa" w:w="120"/>
            </w:tcMar>
            <w:vAlign w:val="center"/>
          </w:tcPr>
          <w:p>
            <w:pPr>
              <w:jc w:val="left"/>
            </w:pPr>
            <w:r>
              <w:rPr>
                <w:b w:val="false"/>
                <w:bCs w:val="false"/>
                <w:sz w:val="21"/>
                <w:szCs w:val="21"/>
              </w:rPr>
              <w:t xml:space="preserve">Designed as an internal efficiency solution for institutions, reducing administrative overhead and manual effort involved in facility booking. The solution can be offered as a licensable ServiceNow application/template to educational institutions, corporate campuses, or sports complexes seeking to digitize facility booking, generating value through cost savings and, optionally, a subscription or one-time licensing model.</w:t>
            </w:r>
          </w:p>
        </w:tc>
      </w:tr>
      <w:tr>
        <w:tc>
          <w:tcPr>
            <w:tcW w:type="dxa" w:w="900"/>
            <w:tcMar>
              <w:top w:type="dxa" w:w="120"/>
              <w:left w:type="dxa" w:w="120"/>
              <w:bottom w:type="dxa" w:w="120"/>
              <w:right w:type="dxa" w:w="120"/>
            </w:tcMar>
            <w:vAlign w:val="center"/>
          </w:tcPr>
          <w:p>
            <w:pPr>
              <w:jc w:val="center"/>
            </w:pPr>
            <w:r>
              <w:rPr>
                <w:b/>
                <w:bCs/>
                <w:sz w:val="21"/>
                <w:szCs w:val="21"/>
              </w:rPr>
              <w:t xml:space="preserve">6.</w:t>
            </w:r>
          </w:p>
        </w:tc>
        <w:tc>
          <w:tcPr>
            <w:tcW w:type="dxa" w:w="2600"/>
            <w:tcMar>
              <w:top w:type="dxa" w:w="120"/>
              <w:left w:type="dxa" w:w="120"/>
              <w:bottom w:type="dxa" w:w="120"/>
              <w:right w:type="dxa" w:w="120"/>
            </w:tcMar>
            <w:vAlign w:val="center"/>
          </w:tcPr>
          <w:p>
            <w:pPr>
              <w:jc w:val="left"/>
            </w:pPr>
            <w:r>
              <w:rPr>
                <w:b/>
                <w:bCs/>
                <w:sz w:val="21"/>
                <w:szCs w:val="21"/>
              </w:rPr>
              <w:t xml:space="preserve">Scalability of the Solution</w:t>
            </w:r>
          </w:p>
        </w:tc>
        <w:tc>
          <w:tcPr>
            <w:tcW w:type="dxa" w:w="6580"/>
            <w:tcMar>
              <w:top w:type="dxa" w:w="120"/>
              <w:left w:type="dxa" w:w="120"/>
              <w:bottom w:type="dxa" w:w="120"/>
              <w:right w:type="dxa" w:w="120"/>
            </w:tcMar>
            <w:vAlign w:val="center"/>
          </w:tcPr>
          <w:p>
            <w:pPr>
              <w:jc w:val="left"/>
            </w:pPr>
            <w:r>
              <w:rPr>
                <w:b w:val="false"/>
                <w:bCs w:val="false"/>
                <w:sz w:val="21"/>
                <w:szCs w:val="21"/>
              </w:rPr>
              <w:t xml:space="preserve">The solution can be extended beyond sports halls to other bookable resources such as meeting rooms, labs, or equipment. It can scale across multiple locations or campuses by adding new facility records, integrate with other ServiceNow modules (such as Notifications, Reporting, or Mobile), and support additional features like calendar integration, waitlists, and analytics dashboards as usage grows.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2026-07-14T16:22:27.222Z</dcterms:created>
  <dcterms:modified xsi:type="dcterms:W3CDTF">2026-07-14T16:22:27.234Z</dcterms:modified>
</cp:coreProperties>
</file>

<file path=docProps/custom.xml><?xml version="1.0" encoding="utf-8"?>
<Properties xmlns="http://schemas.openxmlformats.org/officeDocument/2006/custom-properties" xmlns:vt="http://schemas.openxmlformats.org/officeDocument/2006/docPropsVTypes"/>
</file>