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47D2C" w14:textId="77777777" w:rsidR="0084083D" w:rsidRPr="00F238A6" w:rsidRDefault="00000000">
      <w:pPr>
        <w:spacing w:after="100"/>
        <w:rPr>
          <w:sz w:val="22"/>
          <w:szCs w:val="22"/>
        </w:rPr>
      </w:pPr>
      <w:r w:rsidRPr="00F238A6">
        <w:rPr>
          <w:b/>
          <w:bCs/>
          <w:sz w:val="44"/>
          <w:szCs w:val="44"/>
        </w:rPr>
        <w:t>Part 2 – Test Case Design</w:t>
      </w:r>
    </w:p>
    <w:p w14:paraId="1832BDD4" w14:textId="77777777" w:rsidR="0084083D" w:rsidRPr="00F238A6" w:rsidRDefault="00000000">
      <w:pPr>
        <w:spacing w:after="300"/>
        <w:rPr>
          <w:sz w:val="22"/>
          <w:szCs w:val="22"/>
        </w:rPr>
      </w:pPr>
      <w:r w:rsidRPr="00F238A6">
        <w:rPr>
          <w:i/>
          <w:iCs/>
          <w:color w:val="555555"/>
          <w:sz w:val="28"/>
          <w:szCs w:val="28"/>
        </w:rPr>
        <w:t>Online Event Registration Platform — QA Assignment</w:t>
      </w:r>
    </w:p>
    <w:p w14:paraId="6DA9345F" w14:textId="77777777" w:rsidR="0084083D" w:rsidRPr="00F238A6" w:rsidRDefault="00000000">
      <w:pPr>
        <w:pStyle w:val="Heading1"/>
        <w:spacing w:before="300" w:after="150"/>
        <w:rPr>
          <w:sz w:val="36"/>
          <w:szCs w:val="36"/>
        </w:rPr>
      </w:pPr>
      <w:r w:rsidRPr="00F238A6">
        <w:rPr>
          <w:sz w:val="36"/>
          <w:szCs w:val="36"/>
        </w:rPr>
        <w:t>Overview</w:t>
      </w:r>
    </w:p>
    <w:p w14:paraId="0F4B0FDC" w14:textId="77777777" w:rsidR="0084083D" w:rsidRPr="00F238A6" w:rsidRDefault="00000000">
      <w:pPr>
        <w:spacing w:after="150"/>
        <w:rPr>
          <w:sz w:val="22"/>
          <w:szCs w:val="22"/>
        </w:rPr>
      </w:pPr>
      <w:r w:rsidRPr="00F238A6">
        <w:rPr>
          <w:sz w:val="22"/>
          <w:szCs w:val="22"/>
        </w:rPr>
        <w:t>This document accompanies the file Part2_Test_Cases.xlsx, which contains the full set of 15 structured test cases covering User Registration, Login, Event Registration, Payment, and Confirmation Email, along with the prioritization exercise. This document summarizes the approach, assumptions, and reasoning behind the test design and prioritization decisions.</w:t>
      </w:r>
    </w:p>
    <w:p w14:paraId="4DAC1B66" w14:textId="77777777" w:rsidR="0084083D" w:rsidRPr="00F238A6" w:rsidRDefault="00000000">
      <w:pPr>
        <w:pStyle w:val="Heading1"/>
        <w:spacing w:before="300" w:after="150"/>
        <w:rPr>
          <w:sz w:val="36"/>
          <w:szCs w:val="36"/>
        </w:rPr>
      </w:pPr>
      <w:r w:rsidRPr="00F238A6">
        <w:rPr>
          <w:sz w:val="36"/>
          <w:szCs w:val="36"/>
        </w:rPr>
        <w:t>Scope of Test Cases</w:t>
      </w:r>
    </w:p>
    <w:p w14:paraId="5EA405E6" w14:textId="77777777" w:rsidR="0084083D" w:rsidRPr="00F238A6" w:rsidRDefault="00000000">
      <w:pPr>
        <w:spacing w:after="150"/>
        <w:rPr>
          <w:sz w:val="22"/>
          <w:szCs w:val="22"/>
        </w:rPr>
      </w:pPr>
      <w:r w:rsidRPr="00F238A6">
        <w:rPr>
          <w:sz w:val="22"/>
          <w:szCs w:val="22"/>
        </w:rPr>
        <w:t>The 15 test cases are distributed across the five core modules of the platform:</w:t>
      </w:r>
    </w:p>
    <w:p w14:paraId="55832D55" w14:textId="77777777" w:rsidR="0084083D" w:rsidRPr="00F238A6" w:rsidRDefault="00000000">
      <w:pPr>
        <w:pStyle w:val="ListParagraph"/>
        <w:numPr>
          <w:ilvl w:val="0"/>
          <w:numId w:val="2"/>
        </w:numPr>
        <w:spacing w:after="80"/>
        <w:rPr>
          <w:sz w:val="22"/>
          <w:szCs w:val="22"/>
        </w:rPr>
      </w:pPr>
      <w:r w:rsidRPr="00F238A6">
        <w:rPr>
          <w:sz w:val="22"/>
          <w:szCs w:val="22"/>
        </w:rPr>
        <w:t>User Registration — 4 test cases (TC-01 to TC-04)</w:t>
      </w:r>
    </w:p>
    <w:p w14:paraId="246EFB7C" w14:textId="77777777" w:rsidR="0084083D" w:rsidRPr="00F238A6" w:rsidRDefault="00000000">
      <w:pPr>
        <w:pStyle w:val="ListParagraph"/>
        <w:numPr>
          <w:ilvl w:val="0"/>
          <w:numId w:val="2"/>
        </w:numPr>
        <w:spacing w:after="80"/>
        <w:rPr>
          <w:sz w:val="22"/>
          <w:szCs w:val="22"/>
        </w:rPr>
      </w:pPr>
      <w:r w:rsidRPr="00F238A6">
        <w:rPr>
          <w:sz w:val="22"/>
          <w:szCs w:val="22"/>
        </w:rPr>
        <w:t>Login — 4 test cases (TC-05 to TC-08)</w:t>
      </w:r>
    </w:p>
    <w:p w14:paraId="50B28336" w14:textId="77777777" w:rsidR="0084083D" w:rsidRPr="00F238A6" w:rsidRDefault="00000000">
      <w:pPr>
        <w:pStyle w:val="ListParagraph"/>
        <w:numPr>
          <w:ilvl w:val="0"/>
          <w:numId w:val="2"/>
        </w:numPr>
        <w:spacing w:after="80"/>
        <w:rPr>
          <w:sz w:val="22"/>
          <w:szCs w:val="22"/>
        </w:rPr>
      </w:pPr>
      <w:r w:rsidRPr="00F238A6">
        <w:rPr>
          <w:sz w:val="22"/>
          <w:szCs w:val="22"/>
        </w:rPr>
        <w:t>Event Registration — 4 test cases (TC-09 to TC-12)</w:t>
      </w:r>
    </w:p>
    <w:p w14:paraId="6B608D2D" w14:textId="77777777" w:rsidR="0084083D" w:rsidRPr="00F238A6" w:rsidRDefault="00000000">
      <w:pPr>
        <w:pStyle w:val="ListParagraph"/>
        <w:numPr>
          <w:ilvl w:val="0"/>
          <w:numId w:val="2"/>
        </w:numPr>
        <w:spacing w:after="80"/>
        <w:rPr>
          <w:sz w:val="22"/>
          <w:szCs w:val="22"/>
        </w:rPr>
      </w:pPr>
      <w:r w:rsidRPr="00F238A6">
        <w:rPr>
          <w:sz w:val="22"/>
          <w:szCs w:val="22"/>
        </w:rPr>
        <w:t>Payment — 2 test cases (TC-13, TC-14)</w:t>
      </w:r>
    </w:p>
    <w:p w14:paraId="7214DA07" w14:textId="77777777" w:rsidR="0084083D" w:rsidRPr="00F238A6" w:rsidRDefault="00000000">
      <w:pPr>
        <w:pStyle w:val="ListParagraph"/>
        <w:numPr>
          <w:ilvl w:val="0"/>
          <w:numId w:val="2"/>
        </w:numPr>
        <w:spacing w:after="80"/>
        <w:rPr>
          <w:sz w:val="22"/>
          <w:szCs w:val="22"/>
        </w:rPr>
      </w:pPr>
      <w:r w:rsidRPr="00F238A6">
        <w:rPr>
          <w:sz w:val="22"/>
          <w:szCs w:val="22"/>
        </w:rPr>
        <w:t>Confirmation Email — 1 test case (TC-15)</w:t>
      </w:r>
    </w:p>
    <w:p w14:paraId="24FD20ED" w14:textId="77777777" w:rsidR="0084083D" w:rsidRPr="00F238A6" w:rsidRDefault="00000000">
      <w:pPr>
        <w:spacing w:after="150"/>
        <w:rPr>
          <w:sz w:val="22"/>
          <w:szCs w:val="22"/>
        </w:rPr>
      </w:pPr>
      <w:r w:rsidRPr="00F238A6">
        <w:rPr>
          <w:sz w:val="22"/>
          <w:szCs w:val="22"/>
        </w:rPr>
        <w:t>Each test case in the spreadsheet includes a Test ID, Module, Test Scenario, Preconditions, Test Steps, Expected Result, and Priority (High / Medium), covering both positive and negative paths for each module.</w:t>
      </w:r>
    </w:p>
    <w:p w14:paraId="1DE4EA9C" w14:textId="77777777" w:rsidR="0084083D" w:rsidRPr="00F238A6" w:rsidRDefault="00000000">
      <w:pPr>
        <w:pStyle w:val="Heading1"/>
        <w:spacing w:before="300" w:after="150"/>
        <w:rPr>
          <w:sz w:val="36"/>
          <w:szCs w:val="36"/>
        </w:rPr>
      </w:pPr>
      <w:r w:rsidRPr="00F238A6">
        <w:rPr>
          <w:sz w:val="36"/>
          <w:szCs w:val="36"/>
        </w:rPr>
        <w:t>Assumptions</w:t>
      </w:r>
    </w:p>
    <w:p w14:paraId="72091339" w14:textId="77777777" w:rsidR="0084083D" w:rsidRPr="00F238A6" w:rsidRDefault="00000000">
      <w:pPr>
        <w:spacing w:after="150"/>
        <w:rPr>
          <w:sz w:val="22"/>
          <w:szCs w:val="22"/>
        </w:rPr>
      </w:pPr>
      <w:r w:rsidRPr="00F238A6">
        <w:rPr>
          <w:sz w:val="22"/>
          <w:szCs w:val="22"/>
        </w:rPr>
        <w:t>The following assumptions were made while designing the test cases, since exact product specifications were not provided:</w:t>
      </w:r>
    </w:p>
    <w:p w14:paraId="61336685" w14:textId="77777777" w:rsidR="0084083D" w:rsidRPr="00F238A6" w:rsidRDefault="00000000">
      <w:pPr>
        <w:pStyle w:val="ListParagraph"/>
        <w:numPr>
          <w:ilvl w:val="0"/>
          <w:numId w:val="2"/>
        </w:numPr>
        <w:spacing w:after="80"/>
        <w:rPr>
          <w:sz w:val="22"/>
          <w:szCs w:val="22"/>
        </w:rPr>
      </w:pPr>
      <w:r w:rsidRPr="00F238A6">
        <w:rPr>
          <w:sz w:val="22"/>
          <w:szCs w:val="22"/>
        </w:rPr>
        <w:t>The application uses standard email/password authentication (no SSO or social login unless otherwise specified).</w:t>
      </w:r>
    </w:p>
    <w:p w14:paraId="0BF0DD0D" w14:textId="77777777" w:rsidR="0084083D" w:rsidRPr="00F238A6" w:rsidRDefault="00000000">
      <w:pPr>
        <w:pStyle w:val="ListParagraph"/>
        <w:numPr>
          <w:ilvl w:val="0"/>
          <w:numId w:val="2"/>
        </w:numPr>
        <w:spacing w:after="80"/>
        <w:rPr>
          <w:sz w:val="22"/>
          <w:szCs w:val="22"/>
        </w:rPr>
      </w:pPr>
      <w:r w:rsidRPr="00F238A6">
        <w:rPr>
          <w:sz w:val="22"/>
          <w:szCs w:val="22"/>
        </w:rPr>
        <w:t>"Payment" is a simulated flow, per the assignment background, but is assumed to support both a success path and a designated failure/decline path for testing purposes.</w:t>
      </w:r>
    </w:p>
    <w:p w14:paraId="325D024E" w14:textId="77777777" w:rsidR="0084083D" w:rsidRPr="00F238A6" w:rsidRDefault="00000000">
      <w:pPr>
        <w:pStyle w:val="ListParagraph"/>
        <w:numPr>
          <w:ilvl w:val="0"/>
          <w:numId w:val="2"/>
        </w:numPr>
        <w:spacing w:after="80"/>
        <w:rPr>
          <w:sz w:val="22"/>
          <w:szCs w:val="22"/>
        </w:rPr>
      </w:pPr>
      <w:r w:rsidRPr="00F238A6">
        <w:rPr>
          <w:sz w:val="22"/>
          <w:szCs w:val="22"/>
        </w:rPr>
        <w:t>Confirmation emails are sent asynchronously after a successful payment and registration are confirmed.</w:t>
      </w:r>
    </w:p>
    <w:p w14:paraId="352E4839" w14:textId="77777777" w:rsidR="0084083D" w:rsidRPr="00F238A6" w:rsidRDefault="00000000">
      <w:pPr>
        <w:pStyle w:val="ListParagraph"/>
        <w:numPr>
          <w:ilvl w:val="0"/>
          <w:numId w:val="2"/>
        </w:numPr>
        <w:spacing w:after="80"/>
        <w:rPr>
          <w:sz w:val="22"/>
          <w:szCs w:val="22"/>
        </w:rPr>
      </w:pPr>
      <w:r w:rsidRPr="00F238A6">
        <w:rPr>
          <w:sz w:val="22"/>
          <w:szCs w:val="22"/>
        </w:rPr>
        <w:t>The system prevents a user from registering twice for the same event, and prevents registration once an event is fully booked — both treated as required business rules rather than explicitly stated ones.</w:t>
      </w:r>
    </w:p>
    <w:p w14:paraId="4B957D09" w14:textId="77777777" w:rsidR="0084083D" w:rsidRPr="00F238A6" w:rsidRDefault="00000000">
      <w:pPr>
        <w:pStyle w:val="ListParagraph"/>
        <w:numPr>
          <w:ilvl w:val="0"/>
          <w:numId w:val="2"/>
        </w:numPr>
        <w:spacing w:after="80"/>
        <w:rPr>
          <w:sz w:val="22"/>
          <w:szCs w:val="22"/>
        </w:rPr>
      </w:pPr>
      <w:r w:rsidRPr="00F238A6">
        <w:rPr>
          <w:sz w:val="22"/>
          <w:szCs w:val="22"/>
        </w:rPr>
        <w:t>Session/token-based authentication is used for all actions requiring a logged-in user.</w:t>
      </w:r>
    </w:p>
    <w:p w14:paraId="7421E3E9" w14:textId="77777777" w:rsidR="00F238A6" w:rsidRDefault="00F238A6">
      <w:pPr>
        <w:pStyle w:val="Heading1"/>
        <w:spacing w:before="300" w:after="150"/>
        <w:rPr>
          <w:sz w:val="36"/>
          <w:szCs w:val="36"/>
        </w:rPr>
      </w:pPr>
    </w:p>
    <w:p w14:paraId="25C07365" w14:textId="77777777" w:rsidR="00F238A6" w:rsidRDefault="00F238A6">
      <w:pPr>
        <w:pStyle w:val="Heading1"/>
        <w:spacing w:before="300" w:after="150"/>
        <w:rPr>
          <w:sz w:val="36"/>
          <w:szCs w:val="36"/>
        </w:rPr>
      </w:pPr>
    </w:p>
    <w:p w14:paraId="40EAA34D" w14:textId="53314F6A" w:rsidR="0084083D" w:rsidRPr="00F238A6" w:rsidRDefault="00000000">
      <w:pPr>
        <w:pStyle w:val="Heading1"/>
        <w:spacing w:before="300" w:after="150"/>
        <w:rPr>
          <w:sz w:val="36"/>
          <w:szCs w:val="36"/>
        </w:rPr>
      </w:pPr>
      <w:r w:rsidRPr="00F238A6">
        <w:rPr>
          <w:sz w:val="36"/>
          <w:szCs w:val="36"/>
        </w:rPr>
        <w:lastRenderedPageBreak/>
        <w:t>Prioritization Exercise</w:t>
      </w:r>
    </w:p>
    <w:p w14:paraId="0487A36F" w14:textId="77777777" w:rsidR="0084083D" w:rsidRPr="00F238A6" w:rsidRDefault="00000000">
      <w:pPr>
        <w:spacing w:after="150"/>
        <w:rPr>
          <w:sz w:val="22"/>
          <w:szCs w:val="22"/>
        </w:rPr>
      </w:pPr>
      <w:r w:rsidRPr="00F238A6">
        <w:rPr>
          <w:sz w:val="22"/>
          <w:szCs w:val="22"/>
        </w:rPr>
        <w:t>Scenario: The application is scheduled to go live tomorrow, and only five test cases can be executed before release. The following five were selected, in priority order:</w:t>
      </w:r>
    </w:p>
    <w:p w14:paraId="6295805C" w14:textId="77777777" w:rsidR="0084083D" w:rsidRPr="00F238A6" w:rsidRDefault="00000000">
      <w:pPr>
        <w:spacing w:before="200" w:after="100"/>
        <w:rPr>
          <w:sz w:val="22"/>
          <w:szCs w:val="22"/>
        </w:rPr>
      </w:pPr>
      <w:r w:rsidRPr="00F238A6">
        <w:rPr>
          <w:b/>
          <w:bCs/>
          <w:sz w:val="28"/>
          <w:szCs w:val="28"/>
        </w:rPr>
        <w:t>1. TC-05 — Login with valid credentials</w:t>
      </w:r>
    </w:p>
    <w:p w14:paraId="1C6A3B9D" w14:textId="77777777" w:rsidR="0084083D" w:rsidRPr="00F238A6" w:rsidRDefault="00000000">
      <w:pPr>
        <w:spacing w:after="150"/>
        <w:rPr>
          <w:sz w:val="22"/>
          <w:szCs w:val="22"/>
        </w:rPr>
      </w:pPr>
      <w:r w:rsidRPr="00F238A6">
        <w:rPr>
          <w:sz w:val="22"/>
          <w:szCs w:val="22"/>
        </w:rPr>
        <w:t>Nothing else in the product is reachable if authentication is broken. This is the single biggest gate to all downstream functionality.</w:t>
      </w:r>
    </w:p>
    <w:p w14:paraId="327DC8FB" w14:textId="77777777" w:rsidR="0084083D" w:rsidRPr="00F238A6" w:rsidRDefault="00000000">
      <w:pPr>
        <w:spacing w:before="200" w:after="100"/>
        <w:rPr>
          <w:sz w:val="22"/>
          <w:szCs w:val="22"/>
        </w:rPr>
      </w:pPr>
      <w:r w:rsidRPr="00F238A6">
        <w:rPr>
          <w:b/>
          <w:bCs/>
          <w:sz w:val="28"/>
          <w:szCs w:val="28"/>
        </w:rPr>
        <w:t>2. TC-10 — Successful event registration</w:t>
      </w:r>
    </w:p>
    <w:p w14:paraId="1E9421F2" w14:textId="77777777" w:rsidR="0084083D" w:rsidRPr="00F238A6" w:rsidRDefault="00000000">
      <w:pPr>
        <w:spacing w:after="150"/>
        <w:rPr>
          <w:sz w:val="22"/>
          <w:szCs w:val="22"/>
        </w:rPr>
      </w:pPr>
      <w:r w:rsidRPr="00F238A6">
        <w:rPr>
          <w:sz w:val="22"/>
          <w:szCs w:val="22"/>
        </w:rPr>
        <w:t>This is the platform's core value proposition — a user's ability to register for an event. If this fails, the product has no purpose.</w:t>
      </w:r>
    </w:p>
    <w:p w14:paraId="33E715CF" w14:textId="77777777" w:rsidR="0084083D" w:rsidRPr="00F238A6" w:rsidRDefault="00000000">
      <w:pPr>
        <w:spacing w:before="200" w:after="100"/>
        <w:rPr>
          <w:sz w:val="22"/>
          <w:szCs w:val="22"/>
        </w:rPr>
      </w:pPr>
      <w:r w:rsidRPr="00F238A6">
        <w:rPr>
          <w:b/>
          <w:bCs/>
          <w:sz w:val="28"/>
          <w:szCs w:val="28"/>
        </w:rPr>
        <w:t>3. TC-13 — Successful simulated payment</w:t>
      </w:r>
    </w:p>
    <w:p w14:paraId="433C7852" w14:textId="77777777" w:rsidR="0084083D" w:rsidRPr="00F238A6" w:rsidRDefault="00000000">
      <w:pPr>
        <w:spacing w:after="150"/>
        <w:rPr>
          <w:sz w:val="22"/>
          <w:szCs w:val="22"/>
        </w:rPr>
      </w:pPr>
      <w:r w:rsidRPr="00F238A6">
        <w:rPr>
          <w:sz w:val="22"/>
          <w:szCs w:val="22"/>
        </w:rPr>
        <w:t>Payment is the revenue-critical path and the most complex integration point (registration + payment + email trigger). A silent failure here has direct business and customer-trust impact.</w:t>
      </w:r>
    </w:p>
    <w:p w14:paraId="01E0BEA1" w14:textId="77777777" w:rsidR="0084083D" w:rsidRPr="00F238A6" w:rsidRDefault="00000000">
      <w:pPr>
        <w:spacing w:before="200" w:after="100"/>
        <w:rPr>
          <w:sz w:val="22"/>
          <w:szCs w:val="22"/>
        </w:rPr>
      </w:pPr>
      <w:r w:rsidRPr="00F238A6">
        <w:rPr>
          <w:b/>
          <w:bCs/>
          <w:sz w:val="28"/>
          <w:szCs w:val="28"/>
        </w:rPr>
        <w:t>4. TC-11 — Duplicate event registration prevention</w:t>
      </w:r>
    </w:p>
    <w:p w14:paraId="25FDDBFD" w14:textId="77777777" w:rsidR="0084083D" w:rsidRPr="00F238A6" w:rsidRDefault="00000000">
      <w:pPr>
        <w:spacing w:after="150"/>
        <w:rPr>
          <w:sz w:val="22"/>
          <w:szCs w:val="22"/>
        </w:rPr>
      </w:pPr>
      <w:r w:rsidRPr="00F238A6">
        <w:rPr>
          <w:sz w:val="22"/>
          <w:szCs w:val="22"/>
        </w:rPr>
        <w:t xml:space="preserve">Protects data integrity and prevents double-charging or seat-count corruption, which would be difficult to clean up after go-live and could cause </w:t>
      </w:r>
      <w:proofErr w:type="gramStart"/>
      <w:r w:rsidRPr="00F238A6">
        <w:rPr>
          <w:sz w:val="22"/>
          <w:szCs w:val="22"/>
        </w:rPr>
        <w:t>real</w:t>
      </w:r>
      <w:proofErr w:type="gramEnd"/>
      <w:r w:rsidRPr="00F238A6">
        <w:rPr>
          <w:sz w:val="22"/>
          <w:szCs w:val="22"/>
        </w:rPr>
        <w:t xml:space="preserve"> financial or reputational harm.</w:t>
      </w:r>
    </w:p>
    <w:p w14:paraId="16ED46EA" w14:textId="77777777" w:rsidR="0084083D" w:rsidRPr="00F238A6" w:rsidRDefault="00000000">
      <w:pPr>
        <w:spacing w:before="200" w:after="100"/>
        <w:rPr>
          <w:sz w:val="22"/>
          <w:szCs w:val="22"/>
        </w:rPr>
      </w:pPr>
      <w:r w:rsidRPr="00F238A6">
        <w:rPr>
          <w:b/>
          <w:bCs/>
          <w:sz w:val="28"/>
          <w:szCs w:val="28"/>
        </w:rPr>
        <w:t>5. TC-15 — Confirmation email delivery</w:t>
      </w:r>
    </w:p>
    <w:p w14:paraId="27C64CDC" w14:textId="77777777" w:rsidR="0084083D" w:rsidRPr="00F238A6" w:rsidRDefault="00000000">
      <w:pPr>
        <w:spacing w:after="150"/>
        <w:rPr>
          <w:sz w:val="22"/>
          <w:szCs w:val="22"/>
        </w:rPr>
      </w:pPr>
      <w:r w:rsidRPr="00F238A6">
        <w:rPr>
          <w:sz w:val="22"/>
          <w:szCs w:val="22"/>
        </w:rPr>
        <w:t>Confirms the full end-to-end flow actually closes the loop for the user. It is also the easiest full-flow signal that registration, payment, and notification are wired together correctly in production.</w:t>
      </w:r>
    </w:p>
    <w:p w14:paraId="7D7F6331" w14:textId="77777777" w:rsidR="0084083D" w:rsidRPr="00F238A6" w:rsidRDefault="00000000">
      <w:pPr>
        <w:pStyle w:val="Heading1"/>
        <w:spacing w:before="300" w:after="150"/>
        <w:rPr>
          <w:sz w:val="36"/>
          <w:szCs w:val="36"/>
        </w:rPr>
      </w:pPr>
      <w:r w:rsidRPr="00F238A6">
        <w:rPr>
          <w:sz w:val="36"/>
          <w:szCs w:val="36"/>
        </w:rPr>
        <w:t>Why These Five</w:t>
      </w:r>
    </w:p>
    <w:p w14:paraId="1B0D55C0" w14:textId="77777777" w:rsidR="0084083D" w:rsidRPr="00F238A6" w:rsidRDefault="00000000">
      <w:pPr>
        <w:spacing w:after="150"/>
        <w:rPr>
          <w:sz w:val="22"/>
          <w:szCs w:val="22"/>
        </w:rPr>
      </w:pPr>
      <w:r w:rsidRPr="00F238A6">
        <w:rPr>
          <w:sz w:val="22"/>
          <w:szCs w:val="22"/>
        </w:rPr>
        <w:t>Together, these five test cases form a single connected critical path — log in, register, pay, get confirmed, receive proof — covering the highest-traffic, highest-business-impact flow, rather than five isolated features. A failure anywhere in this chain blocks a real transaction on day one. Edge cases such as invalid input formats, account lockouts, and sold-out events are valuable but were deliberately deferred, since they affect a smaller slice of users and are lower cost to catch after launch through monitoring and bug reports.</w:t>
      </w:r>
    </w:p>
    <w:p w14:paraId="699F5F78" w14:textId="77777777" w:rsidR="0084083D" w:rsidRPr="00F238A6" w:rsidRDefault="00000000">
      <w:pPr>
        <w:pStyle w:val="Heading1"/>
        <w:spacing w:before="300" w:after="150"/>
        <w:rPr>
          <w:sz w:val="36"/>
          <w:szCs w:val="36"/>
        </w:rPr>
      </w:pPr>
      <w:r w:rsidRPr="00F238A6">
        <w:rPr>
          <w:sz w:val="36"/>
          <w:szCs w:val="36"/>
        </w:rPr>
        <w:t>Reference</w:t>
      </w:r>
    </w:p>
    <w:p w14:paraId="221E6BB1" w14:textId="6D9723F5" w:rsidR="0084083D" w:rsidRPr="00F238A6" w:rsidRDefault="00000000">
      <w:pPr>
        <w:spacing w:after="150"/>
        <w:rPr>
          <w:sz w:val="22"/>
          <w:szCs w:val="22"/>
        </w:rPr>
      </w:pPr>
      <w:r w:rsidRPr="00F238A6">
        <w:rPr>
          <w:sz w:val="22"/>
          <w:szCs w:val="22"/>
        </w:rPr>
        <w:t>Full test case details: see Test_Cases.xlsx (Sheet 1: "Test Cases", Sheet 2: "Prioritization (Top 5)").</w:t>
      </w:r>
    </w:p>
    <w:sectPr w:rsidR="0084083D" w:rsidRPr="00F238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04EC0"/>
    <w:multiLevelType w:val="hybridMultilevel"/>
    <w:tmpl w:val="D154116C"/>
    <w:lvl w:ilvl="0" w:tplc="D9DC662C">
      <w:start w:val="1"/>
      <w:numFmt w:val="bullet"/>
      <w:lvlText w:val="•"/>
      <w:lvlJc w:val="left"/>
      <w:pPr>
        <w:ind w:left="720" w:hanging="360"/>
      </w:pPr>
    </w:lvl>
    <w:lvl w:ilvl="1" w:tplc="3D8A2558">
      <w:numFmt w:val="decimal"/>
      <w:lvlText w:val=""/>
      <w:lvlJc w:val="left"/>
    </w:lvl>
    <w:lvl w:ilvl="2" w:tplc="24289BA6">
      <w:numFmt w:val="decimal"/>
      <w:lvlText w:val=""/>
      <w:lvlJc w:val="left"/>
    </w:lvl>
    <w:lvl w:ilvl="3" w:tplc="B9C0B084">
      <w:numFmt w:val="decimal"/>
      <w:lvlText w:val=""/>
      <w:lvlJc w:val="left"/>
    </w:lvl>
    <w:lvl w:ilvl="4" w:tplc="591CFDB8">
      <w:numFmt w:val="decimal"/>
      <w:lvlText w:val=""/>
      <w:lvlJc w:val="left"/>
    </w:lvl>
    <w:lvl w:ilvl="5" w:tplc="06462328">
      <w:numFmt w:val="decimal"/>
      <w:lvlText w:val=""/>
      <w:lvlJc w:val="left"/>
    </w:lvl>
    <w:lvl w:ilvl="6" w:tplc="24AAE7DA">
      <w:numFmt w:val="decimal"/>
      <w:lvlText w:val=""/>
      <w:lvlJc w:val="left"/>
    </w:lvl>
    <w:lvl w:ilvl="7" w:tplc="2C5C2EA6">
      <w:numFmt w:val="decimal"/>
      <w:lvlText w:val=""/>
      <w:lvlJc w:val="left"/>
    </w:lvl>
    <w:lvl w:ilvl="8" w:tplc="FC5261EE">
      <w:numFmt w:val="decimal"/>
      <w:lvlText w:val=""/>
      <w:lvlJc w:val="left"/>
    </w:lvl>
  </w:abstractNum>
  <w:abstractNum w:abstractNumId="1" w15:restartNumberingAfterBreak="0">
    <w:nsid w:val="381704FF"/>
    <w:multiLevelType w:val="hybridMultilevel"/>
    <w:tmpl w:val="CEBA5CB8"/>
    <w:lvl w:ilvl="0" w:tplc="52CCE1EA">
      <w:start w:val="1"/>
      <w:numFmt w:val="bullet"/>
      <w:lvlText w:val="●"/>
      <w:lvlJc w:val="left"/>
      <w:pPr>
        <w:ind w:left="720" w:hanging="360"/>
      </w:pPr>
    </w:lvl>
    <w:lvl w:ilvl="1" w:tplc="83F84E10">
      <w:start w:val="1"/>
      <w:numFmt w:val="bullet"/>
      <w:lvlText w:val="○"/>
      <w:lvlJc w:val="left"/>
      <w:pPr>
        <w:ind w:left="1440" w:hanging="360"/>
      </w:pPr>
    </w:lvl>
    <w:lvl w:ilvl="2" w:tplc="23641BE6">
      <w:start w:val="1"/>
      <w:numFmt w:val="bullet"/>
      <w:lvlText w:val="■"/>
      <w:lvlJc w:val="left"/>
      <w:pPr>
        <w:ind w:left="2160" w:hanging="360"/>
      </w:pPr>
    </w:lvl>
    <w:lvl w:ilvl="3" w:tplc="BFB64C82">
      <w:start w:val="1"/>
      <w:numFmt w:val="bullet"/>
      <w:lvlText w:val="●"/>
      <w:lvlJc w:val="left"/>
      <w:pPr>
        <w:ind w:left="2880" w:hanging="360"/>
      </w:pPr>
    </w:lvl>
    <w:lvl w:ilvl="4" w:tplc="8B9443D6">
      <w:start w:val="1"/>
      <w:numFmt w:val="bullet"/>
      <w:lvlText w:val="○"/>
      <w:lvlJc w:val="left"/>
      <w:pPr>
        <w:ind w:left="3600" w:hanging="360"/>
      </w:pPr>
    </w:lvl>
    <w:lvl w:ilvl="5" w:tplc="B7D6FC20">
      <w:start w:val="1"/>
      <w:numFmt w:val="bullet"/>
      <w:lvlText w:val="■"/>
      <w:lvlJc w:val="left"/>
      <w:pPr>
        <w:ind w:left="4320" w:hanging="360"/>
      </w:pPr>
    </w:lvl>
    <w:lvl w:ilvl="6" w:tplc="ECDE818A">
      <w:start w:val="1"/>
      <w:numFmt w:val="bullet"/>
      <w:lvlText w:val="●"/>
      <w:lvlJc w:val="left"/>
      <w:pPr>
        <w:ind w:left="5040" w:hanging="360"/>
      </w:pPr>
    </w:lvl>
    <w:lvl w:ilvl="7" w:tplc="052229A0">
      <w:start w:val="1"/>
      <w:numFmt w:val="bullet"/>
      <w:lvlText w:val="●"/>
      <w:lvlJc w:val="left"/>
      <w:pPr>
        <w:ind w:left="5760" w:hanging="360"/>
      </w:pPr>
    </w:lvl>
    <w:lvl w:ilvl="8" w:tplc="29121DDA">
      <w:start w:val="1"/>
      <w:numFmt w:val="bullet"/>
      <w:lvlText w:val="●"/>
      <w:lvlJc w:val="left"/>
      <w:pPr>
        <w:ind w:left="6480" w:hanging="360"/>
      </w:pPr>
    </w:lvl>
  </w:abstractNum>
  <w:num w:numId="1" w16cid:durableId="1746995036">
    <w:abstractNumId w:val="1"/>
    <w:lvlOverride w:ilvl="0">
      <w:startOverride w:val="1"/>
    </w:lvlOverride>
  </w:num>
  <w:num w:numId="2" w16cid:durableId="818692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83D"/>
    <w:rsid w:val="0084083D"/>
    <w:rsid w:val="00F238A6"/>
    <w:rsid w:val="00F86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6028"/>
  <w15:docId w15:val="{267E0740-A2A8-44F1-9292-2319A1CF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Verma</cp:lastModifiedBy>
  <cp:revision>2</cp:revision>
  <dcterms:created xsi:type="dcterms:W3CDTF">2026-07-08T07:43:00Z</dcterms:created>
  <dcterms:modified xsi:type="dcterms:W3CDTF">2026-07-08T07:43:00Z</dcterms:modified>
</cp:coreProperties>
</file>