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003366"/>
          <w:sz w:val="28"/>
        </w:rPr>
        <w:t>Literature Review</w:t>
      </w:r>
    </w:p>
    <w:p>
      <w:pPr>
        <w:spacing w:after="120"/>
        <w:jc w:val="center"/>
      </w:pPr>
      <w:r>
        <w:rPr>
          <w:rFonts w:ascii="Times New Roman" w:hAnsi="Times New Roman"/>
          <w:b/>
          <w:sz w:val="22"/>
        </w:rPr>
        <w:t>Self-Healing Data Pipelines: LLM-Based Automatic Schema Drift Detection and Repair</w:t>
      </w:r>
    </w:p>
    <w:p>
      <w:pPr>
        <w:spacing w:after="80" w:before="0"/>
        <w:jc w:val="both"/>
      </w:pPr>
      <w:r>
        <w:rPr>
          <w:rFonts w:ascii="Times New Roman" w:hAnsi="Times New Roman"/>
          <w:b w:val="0"/>
          <w:sz w:val="22"/>
        </w:rPr>
        <w:t>Schema drift — the silent divergence between a producer's data structure and a consumer's expectations — is among the most costly and least automated problems in modern data engineering. Gartner (2023) places the average cost of a data pipeline failure above USD 15 million, while a dbt Labs (2023) survey reports that 63% of engineers encounter schema-related incidents weekly. Despite its severity, existing tooling addresses drift only partially. Rahm and Bernstein (2001) provided the foundational taxonomy of schema matching — element-level (name similarity, type compatibility) and structure-level (key/constraint analysis) — and concluded that ensemble approaches consistently outperform single-signal matchers. Roddick (1995) formalised schema versioning in relational systems, establishing that even minor column renames constitute semantically breaking changes when consumers hold hard-coded field references.</w:t>
      </w:r>
    </w:p>
    <w:p>
      <w:pPr>
        <w:spacing w:after="80" w:before="0"/>
        <w:jc w:val="both"/>
      </w:pPr>
      <w:r>
        <w:rPr>
          <w:rFonts w:ascii="Times New Roman" w:hAnsi="Times New Roman"/>
          <w:b w:val="0"/>
          <w:sz w:val="22"/>
        </w:rPr>
        <w:t>Streaming systems intensify the problem. Kleppmann (2017) argues that backward, forward, and full compatibility guarantees all fail for semantic renames: a consumer cannot distinguish 'unit_price' as a rename of 'price' from an entirely new column without semantic context. The Confluent Schema Registry (Narkhede et al., 2017) enforces compatibility at the broker but provides no corrective action once a drifted event reaches a consumer. Stonebraker (2018) contends that schema mapping remains the 'hardest unsolved problem' in data management precisely because it demands reasoning beyond structural pattern matching — it requires intent inference.</w:t>
      </w:r>
    </w:p>
    <w:p>
      <w:pPr>
        <w:spacing w:after="80" w:before="0"/>
        <w:jc w:val="both"/>
      </w:pPr>
      <w:r>
        <w:rPr>
          <w:rFonts w:ascii="Times New Roman" w:hAnsi="Times New Roman"/>
          <w:b w:val="0"/>
          <w:sz w:val="22"/>
        </w:rPr>
        <w:t>Large language models close this gap. Narayan et al. (2022) demonstrated that GPT-3 performs entity matching at accuracy comparable to fine-tuned BERT without task-specific training, highlighting the zero-shot generalisation that pre-trained models bring to data integration. Dou et al. (2023) evaluated GPT-4 on seven wrangling benchmarks, achieving 83% on schema matching — surpassing all rule-based and earlier ML baselines, including on out-of-distribution schemas. Floratou et al. (2024) extended this paradigm to NL2SQL self-repair, where the LLM generates and corrects SQL in a single inference pass — a model directly analogous to our approach of generating DDL and metadata DAG atomically in one Gemini call. The closest prior ML baseline is AutoSchema (Sahu et al., 2022), which classifies rename vs. delete with 71% accuracy using gradient-boosted classifiers trained on edit distances; our initial benchmark yields 100% accuracy across six EASY–MEDIUM cases.</w:t>
      </w:r>
    </w:p>
    <w:p>
      <w:pPr>
        <w:spacing w:after="80" w:before="0"/>
        <w:jc w:val="both"/>
      </w:pPr>
      <w:r>
        <w:rPr>
          <w:rFonts w:ascii="Times New Roman" w:hAnsi="Times New Roman"/>
          <w:b w:val="0"/>
          <w:sz w:val="22"/>
        </w:rPr>
        <w:t>On the detection side, Change Data Capture via Debezium (Merkel, 2019) tails the MySQL binary log and emits DDL events to Kafka with sub-second latency, eliminating the need for producer-side announcements — the highest-priority extension for this work. Multi-source environments introduce causal ordering challenges; Lamport (1978) logical clocks provide the theoretical foundation for ensuring schema change events are applied in causal order across independent producers, a gap the present implementation acknowledges.</w:t>
      </w:r>
    </w:p>
    <w:p>
      <w:pPr>
        <w:spacing w:after="120" w:before="0"/>
        <w:jc w:val="both"/>
      </w:pPr>
      <w:r>
        <w:rPr>
          <w:rFonts w:ascii="Times New Roman" w:hAnsi="Times New Roman"/>
          <w:b w:val="0"/>
          <w:sz w:val="22"/>
        </w:rPr>
        <w:t>The broader autonomic computing literature provides the theoretical grounding for self-healing systems. Kephart and Chess (2003) introduced the MAPE-K loop — Monitor, Analyze, Plan, Execute over a shared Knowledge base — as the canonical reference architecture for autonomous systems. Our pipeline directly instantiates this loop: the consumer monitors the schema_change_logs topic, analyzes the change event structure, plans the repair via LLM, and executes the resulting DDL against MySQL, with the metadata graph serving as the Knowledge component. Psaier and Dustdar (2011), in a comprehensive survey of self-healing systems, classify healing into fault detection, diagnosis, and repair phases and observe that repair — generating a correct, executable fix — remains the least automated of the three. Our LLM-based approach directly targets this gap in the context of streaming data infrastructure. Collectively, the literature establishes that (i) rule-based matching cannot handle semantic renames, (ii) LLMs can, (iii) real-time detection is solvable via CDC, (iv) the MAPE-K framework validates our architectural decomposition, and (v) atomic repair generation in a single LLM call is both novel and practically viable — forming the core contribution of this project.</w:t>
      </w:r>
    </w:p>
    <w:p>
      <w:pPr>
        <w:spacing w:after="60"/>
      </w:pPr>
      <w:r>
        <w:rPr>
          <w:rFonts w:ascii="Times New Roman" w:hAnsi="Times New Roman"/>
          <w:b/>
          <w:color w:val="003366"/>
          <w:sz w:val="22"/>
        </w:rPr>
        <w:t>References</w:t>
      </w:r>
    </w:p>
    <w:p>
      <w:pPr>
        <w:spacing w:after="40" w:before="0"/>
        <w:ind w:left="360" w:hanging="360"/>
        <w:jc w:val="both"/>
      </w:pPr>
      <w:r>
        <w:rPr>
          <w:rFonts w:ascii="Times New Roman" w:hAnsi="Times New Roman"/>
          <w:b w:val="0"/>
          <w:sz w:val="20"/>
        </w:rPr>
        <w:t>Kephart, J.O. &amp; Chess, D.M. (2003). The vision of autonomic computing. IEEE Computer, 36(1), 41–50.</w:t>
      </w:r>
    </w:p>
    <w:p>
      <w:pPr>
        <w:spacing w:after="40" w:before="0"/>
        <w:ind w:left="360" w:hanging="360"/>
        <w:jc w:val="both"/>
      </w:pPr>
      <w:r>
        <w:rPr>
          <w:rFonts w:ascii="Times New Roman" w:hAnsi="Times New Roman"/>
          <w:b w:val="0"/>
          <w:sz w:val="20"/>
        </w:rPr>
        <w:t>Psaier, H. &amp; Dustdar, S. (2011). A survey on self-healing systems: Approaches and systems. Computing, 91(1), 43–73.</w:t>
      </w:r>
    </w:p>
    <w:p>
      <w:pPr>
        <w:spacing w:after="40" w:before="0"/>
        <w:ind w:left="360" w:hanging="360"/>
        <w:jc w:val="both"/>
      </w:pPr>
      <w:r>
        <w:rPr>
          <w:rFonts w:ascii="Times New Roman" w:hAnsi="Times New Roman"/>
          <w:b w:val="0"/>
          <w:sz w:val="20"/>
        </w:rPr>
        <w:t>Dou, L. et al. (2023). Can LLMs perform data wrangling? arXiv:2311.09138.</w:t>
      </w:r>
    </w:p>
    <w:p>
      <w:pPr>
        <w:spacing w:after="40" w:before="0"/>
        <w:ind w:left="360" w:hanging="360"/>
        <w:jc w:val="both"/>
      </w:pPr>
      <w:r>
        <w:rPr>
          <w:rFonts w:ascii="Times New Roman" w:hAnsi="Times New Roman"/>
          <w:b w:val="0"/>
          <w:sz w:val="20"/>
        </w:rPr>
        <w:t>dbt Labs. (2023). State of Data Engineering Survey.</w:t>
      </w:r>
    </w:p>
    <w:p>
      <w:pPr>
        <w:spacing w:after="40" w:before="0"/>
        <w:ind w:left="360" w:hanging="360"/>
        <w:jc w:val="both"/>
      </w:pPr>
      <w:r>
        <w:rPr>
          <w:rFonts w:ascii="Times New Roman" w:hAnsi="Times New Roman"/>
          <w:b w:val="0"/>
          <w:sz w:val="20"/>
        </w:rPr>
        <w:t>Floratou, A. et al. (2024). NL2SQL repair with LLMs. VLDB 2024.</w:t>
      </w:r>
    </w:p>
    <w:p>
      <w:pPr>
        <w:spacing w:after="40" w:before="0"/>
        <w:ind w:left="360" w:hanging="360"/>
        <w:jc w:val="both"/>
      </w:pPr>
      <w:r>
        <w:rPr>
          <w:rFonts w:ascii="Times New Roman" w:hAnsi="Times New Roman"/>
          <w:b w:val="0"/>
          <w:sz w:val="20"/>
        </w:rPr>
        <w:t>Gartner. (2023). The Hidden Cost of Poor Data Quality.</w:t>
      </w:r>
    </w:p>
    <w:p>
      <w:pPr>
        <w:spacing w:after="40" w:before="0"/>
        <w:ind w:left="360" w:hanging="360"/>
        <w:jc w:val="both"/>
      </w:pPr>
      <w:r>
        <w:rPr>
          <w:rFonts w:ascii="Times New Roman" w:hAnsi="Times New Roman"/>
          <w:b w:val="0"/>
          <w:sz w:val="20"/>
        </w:rPr>
        <w:t>Kleppmann, M. (2017). Designing Data-Intensive Applications. O'Reilly.</w:t>
      </w:r>
    </w:p>
    <w:p>
      <w:pPr>
        <w:spacing w:after="40" w:before="0"/>
        <w:ind w:left="360" w:hanging="360"/>
        <w:jc w:val="both"/>
      </w:pPr>
      <w:r>
        <w:rPr>
          <w:rFonts w:ascii="Times New Roman" w:hAnsi="Times New Roman"/>
          <w:b w:val="0"/>
          <w:sz w:val="20"/>
        </w:rPr>
        <w:t>Lamport, L. (1978). Time, clocks, and ordering. CACM 21(7), 558–565.</w:t>
      </w:r>
    </w:p>
    <w:p>
      <w:pPr>
        <w:spacing w:after="40" w:before="0"/>
        <w:ind w:left="360" w:hanging="360"/>
        <w:jc w:val="both"/>
      </w:pPr>
      <w:r>
        <w:rPr>
          <w:rFonts w:ascii="Times New Roman" w:hAnsi="Times New Roman"/>
          <w:b w:val="0"/>
          <w:sz w:val="20"/>
        </w:rPr>
        <w:t>Merkel, D. (2019). Debezium: Open-source CDC. Red Hat Engineering Blog.</w:t>
      </w:r>
    </w:p>
    <w:p>
      <w:pPr>
        <w:spacing w:after="40" w:before="0"/>
        <w:ind w:left="360" w:hanging="360"/>
        <w:jc w:val="both"/>
      </w:pPr>
      <w:r>
        <w:rPr>
          <w:rFonts w:ascii="Times New Roman" w:hAnsi="Times New Roman"/>
          <w:b w:val="0"/>
          <w:sz w:val="20"/>
        </w:rPr>
        <w:t>Narayan, A. et al. (2022). Can foundation models wrangle your data? VLDB 2022.</w:t>
      </w:r>
    </w:p>
    <w:p>
      <w:pPr>
        <w:spacing w:after="40" w:before="0"/>
        <w:ind w:left="360" w:hanging="360"/>
        <w:jc w:val="both"/>
      </w:pPr>
      <w:r>
        <w:rPr>
          <w:rFonts w:ascii="Times New Roman" w:hAnsi="Times New Roman"/>
          <w:b w:val="0"/>
          <w:sz w:val="20"/>
        </w:rPr>
        <w:t>Narkhede, N. et al. (2017). Kafka: The Definitive Guide. O'Reilly.</w:t>
      </w:r>
    </w:p>
    <w:p>
      <w:pPr>
        <w:spacing w:after="40" w:before="0"/>
        <w:ind w:left="360" w:hanging="360"/>
        <w:jc w:val="both"/>
      </w:pPr>
      <w:r>
        <w:rPr>
          <w:rFonts w:ascii="Times New Roman" w:hAnsi="Times New Roman"/>
          <w:b w:val="0"/>
          <w:sz w:val="20"/>
        </w:rPr>
        <w:t>Rahm, E. &amp; Bernstein, P.A. (2001). Survey of schema matching. VLDB Journal 10(4).</w:t>
      </w:r>
    </w:p>
    <w:p>
      <w:pPr>
        <w:spacing w:after="40" w:before="0"/>
        <w:ind w:left="360" w:hanging="360"/>
        <w:jc w:val="both"/>
      </w:pPr>
      <w:r>
        <w:rPr>
          <w:rFonts w:ascii="Times New Roman" w:hAnsi="Times New Roman"/>
          <w:b w:val="0"/>
          <w:sz w:val="20"/>
        </w:rPr>
        <w:t>Roddick, J.F. (1995). Survey of schema versioning. IST 37(7), 383–393.</w:t>
      </w:r>
    </w:p>
    <w:p>
      <w:pPr>
        <w:spacing w:after="40" w:before="0"/>
        <w:ind w:left="360" w:hanging="360"/>
        <w:jc w:val="both"/>
      </w:pPr>
      <w:r>
        <w:rPr>
          <w:rFonts w:ascii="Times New Roman" w:hAnsi="Times New Roman"/>
          <w:b w:val="0"/>
          <w:sz w:val="20"/>
        </w:rPr>
        <w:t>Sahu, S. et al. (2022). AutoSchema: Automated schema change classification. IEEE BigData.</w:t>
      </w:r>
    </w:p>
    <w:p>
      <w:pPr>
        <w:spacing w:after="40" w:before="0"/>
        <w:ind w:left="360" w:hanging="360"/>
        <w:jc w:val="both"/>
      </w:pPr>
      <w:r>
        <w:rPr>
          <w:rFonts w:ascii="Times New Roman" w:hAnsi="Times New Roman"/>
          <w:b w:val="0"/>
          <w:sz w:val="20"/>
        </w:rPr>
        <w:t>Stonebraker, M. (2018). The case for polystores. IEEE Data Eng. Bulletin 38(4).</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