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BEE 4850/5850 (Environmental Data Analysis and Simulation) Syllabus</w:t>
      </w:r>
    </w:p>
    <w:p>
      <w:pPr>
        <w:pStyle w:val="Subtitle"/>
      </w:pPr>
      <w:r>
        <w:t xml:space="preserve">Spring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viveks@cornell.edu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Gabriela Ackermann Logan</w:t>
      </w:r>
    </w:p>
    <w:p>
      <w:pPr>
        <w:pStyle w:val="Compact"/>
        <w:numPr>
          <w:ilvl w:val="0"/>
          <w:numId w:val="1002"/>
        </w:numPr>
      </w:pPr>
      <w:r>
        <w:t xml:space="preserve"> </w:t>
      </w:r>
      <w:hyperlink r:id="rId23">
        <w:r>
          <w:rPr>
            <w:rStyle w:val="Hyperlink"/>
          </w:rPr>
          <w:t xml:space="preserve">ga345@cornell.edu</w:t>
        </w:r>
      </w:hyperlink>
    </w:p>
    <w:p>
      <w:pPr>
        <w:pStyle w:val="Compact"/>
        <w:numPr>
          <w:ilvl w:val="0"/>
          <w:numId w:val="1002"/>
        </w:numPr>
      </w:pPr>
      <w:r>
        <w:t xml:space="preserve"> </w:t>
      </w:r>
      <w:r>
        <w:t xml:space="preserve">319 Riley-Robb Hall</w:t>
      </w:r>
    </w:p>
    <w:bookmarkEnd w:id="24"/>
    <w:bookmarkStart w:id="25"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11:40-12:55pm</w:t>
      </w:r>
    </w:p>
    <w:p>
      <w:pPr>
        <w:pStyle w:val="Compact"/>
        <w:numPr>
          <w:ilvl w:val="0"/>
          <w:numId w:val="1003"/>
        </w:numPr>
      </w:pPr>
      <w:r>
        <w:t xml:space="preserve"> </w:t>
      </w:r>
      <w:r>
        <w:t xml:space="preserve">160 Riley-Robb Hall</w:t>
      </w:r>
    </w:p>
    <w:bookmarkEnd w:id="25"/>
    <w:bookmarkStart w:id="26" w:name="course-description"/>
    <w:p>
      <w:pPr>
        <w:pStyle w:val="Heading3"/>
      </w:pPr>
      <w:r>
        <w:t xml:space="preserve">Course Description</w:t>
      </w:r>
    </w:p>
    <w:p>
      <w:pPr>
        <w:pStyle w:val="FirstParagraph"/>
      </w:pPr>
      <w:r>
        <w:t xml:space="preserve">Simulations from numerical and statistical models are a key tool used to quantify and represent our understanding of many different environmental systems, including but not limited to the climate, sea levels, air pollution, and the electric power system. Data analysis of environmental observations and model simulations is an integral part of developing and evaluating models used to 1) test our assumptions about environmental system dynamics; 2) develop new insights into environmental processes; and 3) project future environmental conditions and outcomes. This course will provide an overview of the use of generative probability models to understand data and examine hypotheses about data-generating processes. The goal is to provide students with a framework and an initial toolkit of methods for data analysis and simulation. Students will actively analyze and use real data from a variety of environmental systems. 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create, interpret, and critique data visualizations;</w:t>
      </w:r>
    </w:p>
    <w:p>
      <w:pPr>
        <w:pStyle w:val="Compact"/>
        <w:numPr>
          <w:ilvl w:val="0"/>
          <w:numId w:val="1005"/>
        </w:numPr>
      </w:pPr>
      <w:r>
        <w:t xml:space="preserve">calibrate environmental models to observations, possibly including censored and missing data;</w:t>
      </w:r>
    </w:p>
    <w:p>
      <w:pPr>
        <w:pStyle w:val="Compact"/>
        <w:numPr>
          <w:ilvl w:val="0"/>
          <w:numId w:val="1005"/>
        </w:numPr>
      </w:pPr>
      <w:r>
        <w:t xml:space="preserve">simulate alternative datasets from models using statistical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apply and contextualize model selection criteria;</w:t>
      </w:r>
    </w:p>
    <w:p>
      <w:pPr>
        <w:pStyle w:val="Compact"/>
        <w:numPr>
          <w:ilvl w:val="0"/>
          <w:numId w:val="1005"/>
        </w:numPr>
      </w:pPr>
      <w:r>
        <w:t xml:space="preserve">evaluate evidence for and against hypotheses about environmental systems using model simulations;</w:t>
      </w:r>
    </w:p>
    <w:p>
      <w:pPr>
        <w:pStyle w:val="Compact"/>
        <w:numPr>
          <w:ilvl w:val="0"/>
          <w:numId w:val="1005"/>
        </w:numPr>
      </w:pPr>
      <w:r>
        <w:t xml:space="preserve">emulate computationally-complex models with simpler representations.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Review of probability and statistics;</w:t>
      </w:r>
    </w:p>
    <w:p>
      <w:pPr>
        <w:pStyle w:val="Compact"/>
        <w:numPr>
          <w:ilvl w:val="0"/>
          <w:numId w:val="1007"/>
        </w:numPr>
      </w:pPr>
      <w:r>
        <w:t xml:space="preserve">Bayesian decision theory;</w:t>
      </w:r>
    </w:p>
    <w:p>
      <w:pPr>
        <w:pStyle w:val="Compact"/>
        <w:numPr>
          <w:ilvl w:val="0"/>
          <w:numId w:val="1007"/>
        </w:numPr>
      </w:pPr>
      <w:r>
        <w:t xml:space="preserve">Principles of data visualization;</w:t>
      </w:r>
    </w:p>
    <w:p>
      <w:pPr>
        <w:pStyle w:val="Compact"/>
        <w:numPr>
          <w:ilvl w:val="0"/>
          <w:numId w:val="1007"/>
        </w:numPr>
      </w:pPr>
      <w:r>
        <w:t xml:space="preserve">Model residuals and discrepancies;</w:t>
      </w:r>
    </w:p>
    <w:p>
      <w:pPr>
        <w:pStyle w:val="Compact"/>
        <w:numPr>
          <w:ilvl w:val="0"/>
          <w:numId w:val="1007"/>
        </w:numPr>
      </w:pPr>
      <w:r>
        <w:t xml:space="preserve">Censored, truncated, and missing data;</w:t>
      </w:r>
    </w:p>
    <w:p>
      <w:pPr>
        <w:pStyle w:val="Compact"/>
        <w:numPr>
          <w:ilvl w:val="0"/>
          <w:numId w:val="1007"/>
        </w:numPr>
      </w:pPr>
      <w:r>
        <w:t xml:space="preserve">Statistical methods for calibration;</w:t>
      </w:r>
    </w:p>
    <w:p>
      <w:pPr>
        <w:pStyle w:val="Compact"/>
        <w:numPr>
          <w:ilvl w:val="0"/>
          <w:numId w:val="1007"/>
        </w:numPr>
      </w:pPr>
      <w:r>
        <w:t xml:space="preserve">Predictive model assessment;</w:t>
      </w:r>
    </w:p>
    <w:p>
      <w:pPr>
        <w:pStyle w:val="Compact"/>
        <w:numPr>
          <w:ilvl w:val="0"/>
          <w:numId w:val="1007"/>
        </w:numPr>
      </w:pPr>
      <w:r>
        <w:t xml:space="preserve">Emulation with surrogate models</w:t>
      </w:r>
    </w:p>
    <w:bookmarkEnd w:id="33"/>
    <w:bookmarkStart w:id="34" w:name="course-meetings"/>
    <w:p>
      <w:pPr>
        <w:pStyle w:val="Heading2"/>
      </w:pPr>
      <w:r>
        <w:t xml:space="preserve">Course Meetings</w:t>
      </w:r>
    </w:p>
    <w:p>
      <w:pPr>
        <w:pStyle w:val="FirstParagraph"/>
      </w:pPr>
      <w:r>
        <w:t xml:space="preserve">This course meets MW from 11:40–12:55 in 160 Riley-Robb Hall.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7"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how data are generated, collected, and analyzed.</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44"/>
    <w:bookmarkStart w:id="48"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need more immediate accomodations, but do not yet have a letter, please let me know and then follow up with SDS.</w:t>
            </w:r>
          </w:p>
        </w:tc>
      </w:tr>
    </w:tbl>
    <w:bookmarkEnd w:id="48"/>
    <w:bookmarkStart w:id="52" w:name="course-communications"/>
    <w:p>
      <w:pPr>
        <w:pStyle w:val="Heading3"/>
      </w:pPr>
      <w:r>
        <w:t xml:space="preserve">Course Communications</w:t>
      </w:r>
    </w:p>
    <w:p>
      <w:pPr>
        <w:pStyle w:val="FirstParagraph"/>
      </w:pPr>
      <w:r>
        <w:t xml:space="preserve">Most course communications will occur via</w:t>
      </w:r>
      <w:r>
        <w:t xml:space="preserve"> </w:t>
      </w:r>
      <w:hyperlink r:id="rId49">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But if you see unanswered questions and you have some insight, please answer! This class will work best when we all work together as a community.</w:t>
            </w:r>
          </w:p>
        </w:tc>
      </w:tr>
    </w:tbl>
    <w:bookmarkEnd w:id="52"/>
    <w:bookmarkStart w:id="56"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3">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56"/>
    <w:bookmarkEnd w:id="57"/>
    <w:bookmarkStart w:id="79" w:name="course-policies"/>
    <w:p>
      <w:pPr>
        <w:pStyle w:val="Heading2"/>
      </w:pPr>
      <w:r>
        <w:t xml:space="preserve">Course Policies</w:t>
      </w:r>
    </w:p>
    <w:bookmarkStart w:id="60"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60"/>
    <w:bookmarkStart w:id="61" w:name="office-hours"/>
    <w:p>
      <w:pPr>
        <w:pStyle w:val="Heading3"/>
      </w:pPr>
      <w:r>
        <w:t xml:space="preserve">Office Hours</w:t>
      </w:r>
    </w:p>
    <w:p>
      <w:pPr>
        <w:pStyle w:val="FirstParagraph"/>
      </w:pPr>
      <w:r>
        <w:t xml:space="preserve">Office hours will be held in 318 Riley-Robb after class (1-2pm) on MW. If these times do not work for you, or you need some additional time outside of office hours, please reach out to Prof. Srikrishnan about scheduling a meeting. Depending on schedules, these requests may not be accepted on short notice (</w:t>
      </w:r>
      <w:r>
        <w:rPr>
          <w:i/>
          <w:iCs/>
        </w:rPr>
        <w:t xml:space="preserve">e.g.</w:t>
      </w:r>
      <w:r>
        <w:t xml:space="preserve"> </w:t>
      </w:r>
      <w:r>
        <w:t xml:space="preserve">homework is due on Friday and you reach out late on Thursday), but with several days notice we should be able to find a time that will work.</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will have the lowest priority (but please do ask about how to verify or debug your own solutions!).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End w:id="61"/>
    <w:bookmarkStart w:id="62"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62"/>
    <w:bookmarkStart w:id="67"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5">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6">
        <w:r>
          <w:rPr>
            <w:rStyle w:val="Hyperlink"/>
          </w:rPr>
          <w:t xml:space="preserve">American Society for Civil Engineers’ Code of Ethics</w:t>
        </w:r>
      </w:hyperlink>
      <w:r>
        <w:t xml:space="preserve">).</w:t>
      </w:r>
    </w:p>
    <w:bookmarkEnd w:id="67"/>
    <w:bookmarkStart w:id="68"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8"/>
    <w:bookmarkStart w:id="69" w:name="generative-aiml-policy"/>
    <w:p>
      <w:pPr>
        <w:pStyle w:val="Heading3"/>
      </w:pPr>
      <w:r>
        <w:t xml:space="preserve">Generative AI/ML Policy</w:t>
      </w:r>
    </w:p>
    <w:p>
      <w:pPr>
        <w:pStyle w:val="FirstParagraph"/>
      </w:pPr>
      <w:r>
        <w:t xml:space="preserve">As noted, all work submitted for a grade in this course must reflect your own understanding. The goal of this course is to build critical data-analytic and statistical skills, including evaluations of the output of statistical models. While generative AI/ML models, such as ChatGPT, NotebookLM, or similar, can be used to summarize text and enhance coding efficiency, appropriate usage of these tools requires similar levels of scrutiny, which cannot be obtained without a general understanding of the underlying material. Relying on these tools as a primary means of engaging with the course content and material without independent effort is therefore discouraged. Further, blind reliance on generative AI can result in the submission of so-called</w:t>
      </w:r>
      <w:r>
        <w:t xml:space="preserve"> </w:t>
      </w:r>
      <w:r>
        <w:t xml:space="preserve">“hallucinations”</w:t>
      </w:r>
      <w:r>
        <w:t xml:space="preserve"> </w:t>
      </w:r>
      <w:r>
        <w:t xml:space="preserve">due to the predictive nature of the AI output.</w:t>
      </w:r>
    </w:p>
    <w:p>
      <w:pPr>
        <w:pStyle w:val="BodyText"/>
      </w:pPr>
      <w:r>
        <w:t xml:space="preserve">However, the appropriate and thoughtful use of these tools is a legitimate professional skill and reflects an understanding of the content in this course. As a result, the use and consulation of AI/ML tools, such as ChatGPT or similar, is not prohibited, but must be clearly referenced. In addition to citing the use of the tool, you must:</w:t>
      </w:r>
    </w:p>
    <w:p>
      <w:pPr>
        <w:pStyle w:val="Compact"/>
        <w:numPr>
          <w:ilvl w:val="0"/>
          <w:numId w:val="1013"/>
        </w:numPr>
      </w:pPr>
      <w:r>
        <w:t xml:space="preserve">reference the URL of the service you are using, including the specific date you accessed it;</w:t>
      </w:r>
    </w:p>
    <w:p>
      <w:pPr>
        <w:pStyle w:val="Compact"/>
        <w:numPr>
          <w:ilvl w:val="0"/>
          <w:numId w:val="1013"/>
        </w:numPr>
      </w:pPr>
      <w:r>
        <w:t xml:space="preserve">provide the exact prompt(s) used to interact with the tool; and</w:t>
      </w:r>
    </w:p>
    <w:p>
      <w:pPr>
        <w:pStyle w:val="Compact"/>
        <w:numPr>
          <w:ilvl w:val="0"/>
          <w:numId w:val="1013"/>
        </w:numPr>
      </w:pPr>
      <w:r>
        <w:t xml:space="preserve">describe how you (directly or indirectly) integrated the response into your submission.</w:t>
      </w:r>
    </w:p>
    <w:p>
      <w:pPr>
        <w:pStyle w:val="FirstParagraph"/>
      </w:pPr>
      <w:r>
        <w:rPr>
          <w:b/>
          <w:bCs/>
        </w:rPr>
        <w:t xml:space="preserve">Failure to fully reference the interaction, as described above, will be treated as plagiarism and referred to the University accordingly.</w:t>
      </w:r>
    </w:p>
    <w:bookmarkEnd w:id="69"/>
    <w:bookmarkStart w:id="70" w:name="late-work-policy"/>
    <w:p>
      <w:pPr>
        <w:pStyle w:val="Heading3"/>
      </w:pPr>
      <w:r>
        <w:t xml:space="preserve">Late Work Policy</w:t>
      </w:r>
    </w:p>
    <w:p>
      <w:pPr>
        <w:pStyle w:val="FirstParagraph"/>
      </w:pPr>
      <w:r>
        <w:t xml:space="preserve">In general, late work can be submitted up to 24 hours after the due date at a 50% penalty. However, sometimes things come up in life. Please reach out</w:t>
      </w:r>
      <w:r>
        <w:t xml:space="preserve"> </w:t>
      </w:r>
      <w:r>
        <w:rPr>
          <w:i/>
          <w:iCs/>
        </w:rPr>
        <w:t xml:space="preserve">ahead of time</w:t>
      </w:r>
      <w:r>
        <w:t xml:space="preserve"> </w:t>
      </w:r>
      <w:r>
        <w:t xml:space="preserve">if you have extenuating circumstances (including University-approved absences or illnesses) which would make it difficult for you to submit your work on time. Note that</w:t>
      </w:r>
      <w:r>
        <w:t xml:space="preserve"> </w:t>
      </w:r>
      <w:r>
        <w:rPr>
          <w:i/>
          <w:iCs/>
        </w:rPr>
        <w:t xml:space="preserve">e.g.</w:t>
      </w:r>
      <w:r>
        <w:t xml:space="preserve"> </w:t>
      </w:r>
      <w:r>
        <w:t xml:space="preserve">job interviews or a busy schedule outside of this course are not valid reasons for extensions. If an extension is granted, any late penalties will be waived up to the extension date. In extreme circumstances, assignments can be forgiven, and your grade will be computed as though those did not occur, giving your other assignments more weight.</w:t>
      </w:r>
    </w:p>
    <w:bookmarkEnd w:id="70"/>
    <w:bookmarkStart w:id="78"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important.png" id="7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explanation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warning.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8"/>
    <w:bookmarkEnd w:id="79"/>
    <w:bookmarkStart w:id="88" w:name="assessments"/>
    <w:p>
      <w:pPr>
        <w:pStyle w:val="Heading2"/>
      </w:pPr>
      <w:r>
        <w:t xml:space="preserve">Assessments</w:t>
      </w:r>
    </w:p>
    <w:bookmarkStart w:id="80" w:name="technologies"/>
    <w:p>
      <w:pPr>
        <w:pStyle w:val="Heading3"/>
      </w:pPr>
      <w:r>
        <w:t xml:space="preserve">Technologies</w:t>
      </w:r>
    </w:p>
    <w:p>
      <w:pPr>
        <w:pStyle w:val="FirstParagraph"/>
      </w:pPr>
      <w:r>
        <w:t xml:space="preserve">We will use Canvas as a gradebook, and to distribute PDFs of readings (which also be made available through the website,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80"/>
    <w:bookmarkStart w:id="81"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Participation</w:t>
            </w:r>
          </w:p>
        </w:tc>
        <w:tc>
          <w:tcPr/>
          <w:p>
            <w:pPr>
              <w:pStyle w:val="Compact"/>
              <w:jc w:val="right"/>
            </w:pPr>
            <w:r>
              <w:t xml:space="preserve">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Quizzes</w:t>
            </w:r>
          </w:p>
        </w:tc>
        <w:tc>
          <w:tcPr/>
          <w:p>
            <w:pPr>
              <w:pStyle w:val="Compact"/>
              <w:jc w:val="right"/>
            </w:pPr>
            <w:r>
              <w:t xml:space="preserve">10%</w:t>
            </w:r>
          </w:p>
        </w:tc>
      </w:tr>
      <w:tr>
        <w:tc>
          <w:tcPr/>
          <w:p>
            <w:pPr>
              <w:pStyle w:val="Compact"/>
              <w:jc w:val="left"/>
            </w:pPr>
            <w:r>
              <w:t xml:space="preserve">Literature Critique</w:t>
            </w:r>
          </w:p>
        </w:tc>
        <w:tc>
          <w:tcPr/>
          <w:p>
            <w:pPr>
              <w:pStyle w:val="Compact"/>
              <w:jc w:val="right"/>
            </w:pPr>
            <w:r>
              <w:t xml:space="preserve">15%</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81"/>
    <w:bookmarkStart w:id="82" w:name="participation"/>
    <w:p>
      <w:pPr>
        <w:pStyle w:val="Heading3"/>
      </w:pPr>
      <w:r>
        <w:t xml:space="preserve">Participation</w:t>
      </w:r>
    </w:p>
    <w:p>
      <w:pPr>
        <w:pStyle w:val="FirstParagraph"/>
      </w:pPr>
      <w:r>
        <w:t xml:space="preserve">Students will be assessed based on their participation across class activities, including lectures and discussions (in-person and online). Routine lack of attendance or engagement will result in the loss of participation points.</w:t>
      </w:r>
    </w:p>
    <w:bookmarkEnd w:id="82"/>
    <w:bookmarkStart w:id="83" w:name="readings"/>
    <w:p>
      <w:pPr>
        <w:pStyle w:val="Heading3"/>
      </w:pPr>
      <w:r>
        <w:t xml:space="preserve">Readings</w:t>
      </w:r>
    </w:p>
    <w:p>
      <w:pPr>
        <w:pStyle w:val="FirstParagraph"/>
      </w:pPr>
      <w:r>
        <w:t xml:space="preserve">Readings will be assigned for discussion throughout the semester. We will discuss the readings in class the subsequent week after they are assigned. One student will be asked to briefly summarize the reading before the broader discussion. Collaborative annotation assignments will be set up in Canvas to facilitate reading ahead of the discussion. Students in BEE 5850 should also submit a (maximum) one-page summary of the reading, highlighting its key point(s) and their assessment of the effectiveness of the argument, to Gradescope before the Monday after the reading is assigned. Students will be evaluated on both the extent to which their annotations and summaries reflect engagement with the reading and their participation in the class discussion.</w:t>
      </w:r>
    </w:p>
    <w:bookmarkEnd w:id="83"/>
    <w:bookmarkStart w:id="84" w:name="quizzes"/>
    <w:p>
      <w:pPr>
        <w:pStyle w:val="Heading3"/>
      </w:pPr>
      <w:r>
        <w:t xml:space="preserve">Quizzes</w:t>
      </w:r>
    </w:p>
    <w:p>
      <w:pPr>
        <w:pStyle w:val="FirstParagraph"/>
      </w:pPr>
      <w:r>
        <w:t xml:space="preserve">Quizzes will be assigned in Gradescope most weeks based on recently discussed content. These will be relatively short and are intended to consolidate material recently discussed in class. The quizzes will be released after Wednesday’s class and will be due prior to next Monday’s. Quizzes can be retaken as many times as are desired prior to the submission deadline. They may consist of multiple choice questions or questions involving small mathematical, computational, or open-ended problems.</w:t>
      </w:r>
    </w:p>
    <w:bookmarkEnd w:id="84"/>
    <w:bookmarkStart w:id="85" w:name="literature-critique"/>
    <w:p>
      <w:pPr>
        <w:pStyle w:val="Heading3"/>
      </w:pPr>
      <w:r>
        <w:t xml:space="preserve">Literature Critique</w:t>
      </w:r>
    </w:p>
    <w:p>
      <w:pPr>
        <w:pStyle w:val="FirstParagraph"/>
      </w:pPr>
      <w:r>
        <w:t xml:space="preserve">Students will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5"/>
    <w:bookmarkStart w:id="86" w:name="homework-assignments"/>
    <w:p>
      <w:pPr>
        <w:pStyle w:val="Heading3"/>
      </w:pPr>
      <w:r>
        <w:t xml:space="preserve">Homework Assignments</w:t>
      </w:r>
    </w:p>
    <w:p>
      <w:pPr>
        <w:pStyle w:val="FirstParagraph"/>
      </w:pPr>
      <w:r>
        <w:t xml:space="preserve">Approximately 6 homework assignments will be assigned throughout the semester (roughly one per course module). Homework problems will generally involve more substantial mathematical or computational work than the quiz problems. You will typically have 2 weeks to work on each assignment, though this depends on the module length. Students are encouraged to collaborate and learn from each other on homework assignments, but each student must submit their own solutions reflecting their understanding of the material. 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Homeworks are due by 9:00pm Eastern Time on the designed due date. Your assignment notebook (which include your writeup and codes) should be submitted to Gradescope as a PDF with the answers to each question tagged (a failure to do this will result in deductions).</w:t>
      </w:r>
    </w:p>
    <w:p>
      <w:pPr>
        <w:pStyle w:val="Compact"/>
        <w:numPr>
          <w:ilvl w:val="0"/>
          <w:numId w:val="1015"/>
        </w:numPr>
      </w:pPr>
      <w:r>
        <w:t xml:space="preserve">A standard rubric is available.</w:t>
      </w:r>
    </w:p>
    <w:p>
      <w:pPr>
        <w:pStyle w:val="Compact"/>
        <w:numPr>
          <w:ilvl w:val="0"/>
          <w:numId w:val="1015"/>
        </w:numPr>
      </w:pPr>
      <w:r>
        <w:t xml:space="preserve">Students in 5850 will be asked to complete additional homework problems which go more deeply into the underlying concepts or apply more advanced techniques.</w:t>
      </w:r>
    </w:p>
    <w:p>
      <w:pPr>
        <w:pStyle w:val="Compact"/>
        <w:numPr>
          <w:ilvl w:val="0"/>
          <w:numId w:val="1015"/>
        </w:numPr>
      </w:pPr>
      <w:r>
        <w:t xml:space="preserve">Regrade requests for specific problems must be made within a week of the grading of that assignment.</w:t>
      </w:r>
    </w:p>
    <w:bookmarkEnd w:id="86"/>
    <w:bookmarkStart w:id="87"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 deliverables are:</w:t>
      </w:r>
    </w:p>
    <w:p>
      <w:pPr>
        <w:pStyle w:val="Compact"/>
        <w:numPr>
          <w:ilvl w:val="0"/>
          <w:numId w:val="1016"/>
        </w:numPr>
      </w:pPr>
      <w:r>
        <w:t xml:space="preserve">A proposal describing the research question and hypotheses, the data set, and the numerical or statistical models the student would like to use to test the hypotheses;</w:t>
      </w:r>
    </w:p>
    <w:p>
      <w:pPr>
        <w:pStyle w:val="Compact"/>
        <w:numPr>
          <w:ilvl w:val="0"/>
          <w:numId w:val="1016"/>
        </w:numPr>
      </w:pPr>
      <w:r>
        <w:t xml:space="preserve">A final presentation and report. The report should be no more than 5 pages (11 point font, 1 inch margins), not including references and figures. The presentation should be no more than 10 minutes and will be delivered in-class; presentations may be spread across multiple class periods if the number of projects requires it. More details and rubrics will be provided later in the semester.</w:t>
      </w:r>
    </w:p>
    <w:bookmarkEnd w:id="87"/>
    <w:bookmarkEnd w:id="88"/>
    <w:bookmarkStart w:id="89" w:name="tentative-schedule"/>
    <w:p>
      <w:pPr>
        <w:pStyle w:val="Heading2"/>
      </w:pPr>
      <w:r>
        <w:t xml:space="preserve">Tentative Schedule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r>
      <w:tr>
        <w:tc>
          <w:tcPr/>
          <w:p>
            <w:pPr>
              <w:pStyle w:val="Compact"/>
            </w:pPr>
          </w:p>
        </w:tc>
        <w:tc>
          <w:tcPr/>
          <w:p>
            <w:pPr>
              <w:pStyle w:val="Compact"/>
            </w:pPr>
          </w:p>
        </w:tc>
        <w:tc>
          <w:tcPr/>
          <w:p>
            <w:pPr>
              <w:pStyle w:val="Compact"/>
              <w:jc w:val="left"/>
            </w:pPr>
            <w:r>
              <w:rPr>
                <w:b/>
                <w:bCs/>
                <w:i/>
                <w:iCs/>
              </w:rPr>
              <w:t xml:space="preserve">Introduction</w:t>
            </w:r>
          </w:p>
        </w:tc>
      </w:tr>
      <w:tr>
        <w:tc>
          <w:tcPr/>
          <w:p>
            <w:pPr>
              <w:pStyle w:val="Compact"/>
              <w:jc w:val="left"/>
            </w:pPr>
            <w:r>
              <w:t xml:space="preserve">01-22</w:t>
            </w:r>
          </w:p>
        </w:tc>
        <w:tc>
          <w:tcPr/>
          <w:p>
            <w:pPr>
              <w:pStyle w:val="Compact"/>
              <w:jc w:val="left"/>
            </w:pPr>
            <w:r>
              <w:t xml:space="preserve">Wed</w:t>
            </w:r>
          </w:p>
        </w:tc>
        <w:tc>
          <w:tcPr/>
          <w:p>
            <w:pPr>
              <w:pStyle w:val="Compact"/>
              <w:jc w:val="left"/>
            </w:pPr>
            <w:r>
              <w:t xml:space="preserve">Course Overview and Introduction</w:t>
            </w:r>
          </w:p>
        </w:tc>
      </w:tr>
      <w:tr>
        <w:tc>
          <w:tcPr/>
          <w:p>
            <w:pPr>
              <w:pStyle w:val="Compact"/>
              <w:jc w:val="left"/>
            </w:pPr>
            <w:r>
              <w:t xml:space="preserve">01-27</w:t>
            </w:r>
          </w:p>
        </w:tc>
        <w:tc>
          <w:tcPr/>
          <w:p>
            <w:pPr>
              <w:pStyle w:val="Compact"/>
              <w:jc w:val="left"/>
            </w:pPr>
            <w:r>
              <w:t xml:space="preserve">Mon</w:t>
            </w:r>
          </w:p>
        </w:tc>
        <w:tc>
          <w:tcPr/>
          <w:p>
            <w:pPr>
              <w:pStyle w:val="Compact"/>
              <w:jc w:val="left"/>
            </w:pPr>
            <w:r>
              <w:t xml:space="preserve">Hypothesis Testing and Data Analysis</w:t>
            </w:r>
          </w:p>
        </w:tc>
      </w:tr>
      <w:tr>
        <w:tc>
          <w:tcPr/>
          <w:p>
            <w:pPr>
              <w:pStyle w:val="Compact"/>
              <w:jc w:val="left"/>
            </w:pPr>
            <w:r>
              <w:t xml:space="preserve">01-29</w:t>
            </w:r>
          </w:p>
        </w:tc>
        <w:tc>
          <w:tcPr/>
          <w:p>
            <w:pPr>
              <w:pStyle w:val="Compact"/>
              <w:jc w:val="left"/>
            </w:pPr>
            <w:r>
              <w:t xml:space="preserve">Wed</w:t>
            </w:r>
          </w:p>
        </w:tc>
        <w:tc>
          <w:tcPr/>
          <w:p>
            <w:pPr>
              <w:pStyle w:val="Compact"/>
              <w:jc w:val="left"/>
            </w:pPr>
            <w:r>
              <w:t xml:space="preserve">Generative Probability Models</w:t>
            </w:r>
          </w:p>
        </w:tc>
      </w:tr>
      <w:tr>
        <w:tc>
          <w:tcPr/>
          <w:p>
            <w:pPr>
              <w:pStyle w:val="Compact"/>
            </w:pPr>
          </w:p>
        </w:tc>
        <w:tc>
          <w:tcPr/>
          <w:p>
            <w:pPr>
              <w:pStyle w:val="Compact"/>
            </w:pPr>
          </w:p>
        </w:tc>
        <w:tc>
          <w:tcPr/>
          <w:p>
            <w:pPr>
              <w:pStyle w:val="Compact"/>
              <w:jc w:val="left"/>
            </w:pPr>
            <w:r>
              <w:rPr>
                <w:b/>
                <w:bCs/>
                <w:i/>
                <w:iCs/>
              </w:rPr>
              <w:t xml:space="preserve">Probability Fundamentals</w:t>
            </w:r>
          </w:p>
        </w:tc>
      </w:tr>
      <w:tr>
        <w:tc>
          <w:tcPr/>
          <w:p>
            <w:pPr>
              <w:pStyle w:val="Compact"/>
              <w:jc w:val="left"/>
            </w:pPr>
            <w:r>
              <w:t xml:space="preserve">02-03</w:t>
            </w:r>
          </w:p>
        </w:tc>
        <w:tc>
          <w:tcPr/>
          <w:p>
            <w:pPr>
              <w:pStyle w:val="Compact"/>
              <w:jc w:val="left"/>
            </w:pPr>
            <w:r>
              <w:t xml:space="preserve">Mon</w:t>
            </w:r>
          </w:p>
        </w:tc>
        <w:tc>
          <w:tcPr/>
          <w:p>
            <w:pPr>
              <w:pStyle w:val="Compact"/>
              <w:jc w:val="left"/>
            </w:pPr>
            <w:r>
              <w:rPr>
                <w:b/>
                <w:bCs/>
                <w:i/>
                <w:iCs/>
              </w:rPr>
              <w:t xml:space="preserve">Probability Fundamentals</w:t>
            </w:r>
          </w:p>
        </w:tc>
      </w:tr>
      <w:tr>
        <w:tc>
          <w:tcPr/>
          <w:p>
            <w:pPr>
              <w:pStyle w:val="Compact"/>
              <w:jc w:val="left"/>
            </w:pPr>
            <w:r>
              <w:t xml:space="preserve">02-05</w:t>
            </w:r>
          </w:p>
        </w:tc>
        <w:tc>
          <w:tcPr/>
          <w:p>
            <w:pPr>
              <w:pStyle w:val="Compact"/>
              <w:jc w:val="left"/>
            </w:pPr>
            <w:r>
              <w:t xml:space="preserve">Wed</w:t>
            </w:r>
          </w:p>
        </w:tc>
        <w:tc>
          <w:tcPr/>
          <w:p>
            <w:pPr>
              <w:pStyle w:val="Compact"/>
              <w:jc w:val="left"/>
            </w:pPr>
            <w:r>
              <w:t xml:space="preserve">Fitting Models to Data</w:t>
            </w:r>
          </w:p>
        </w:tc>
      </w:tr>
      <w:tr>
        <w:tc>
          <w:tcPr/>
          <w:p>
            <w:pPr>
              <w:pStyle w:val="Compact"/>
              <w:jc w:val="left"/>
            </w:pPr>
            <w:r>
              <w:t xml:space="preserve">02-10</w:t>
            </w:r>
          </w:p>
        </w:tc>
        <w:tc>
          <w:tcPr/>
          <w:p>
            <w:pPr>
              <w:pStyle w:val="Compact"/>
              <w:jc w:val="left"/>
            </w:pPr>
            <w:r>
              <w:t xml:space="preserve">Mon</w:t>
            </w:r>
          </w:p>
        </w:tc>
        <w:tc>
          <w:tcPr/>
          <w:p>
            <w:pPr>
              <w:pStyle w:val="Compact"/>
              <w:jc w:val="left"/>
            </w:pPr>
            <w:r>
              <w:t xml:space="preserve">Bayesian Statistics</w:t>
            </w:r>
          </w:p>
        </w:tc>
      </w:tr>
      <w:tr>
        <w:tc>
          <w:tcPr/>
          <w:p>
            <w:pPr>
              <w:pStyle w:val="Compact"/>
              <w:jc w:val="left"/>
            </w:pPr>
            <w:r>
              <w:t xml:space="preserve">02-12</w:t>
            </w:r>
          </w:p>
        </w:tc>
        <w:tc>
          <w:tcPr/>
          <w:p>
            <w:pPr>
              <w:pStyle w:val="Compact"/>
              <w:jc w:val="left"/>
            </w:pPr>
            <w:r>
              <w:t xml:space="preserve">Wed</w:t>
            </w:r>
          </w:p>
        </w:tc>
        <w:tc>
          <w:tcPr/>
          <w:p>
            <w:pPr>
              <w:pStyle w:val="Compact"/>
              <w:jc w:val="left"/>
            </w:pPr>
            <w:r>
              <w:t xml:space="preserve">Autocorrelation and Time Series</w:t>
            </w:r>
          </w:p>
        </w:tc>
      </w:tr>
      <w:tr>
        <w:tc>
          <w:tcPr/>
          <w:p>
            <w:pPr>
              <w:pStyle w:val="Compact"/>
              <w:jc w:val="left"/>
            </w:pPr>
            <w:r>
              <w:t xml:space="preserve">02-17</w:t>
            </w:r>
          </w:p>
        </w:tc>
        <w:tc>
          <w:tcPr/>
          <w:p>
            <w:pPr>
              <w:pStyle w:val="Compact"/>
              <w:jc w:val="left"/>
            </w:pPr>
            <w:r>
              <w:t xml:space="preserve">Mon</w:t>
            </w:r>
          </w:p>
        </w:tc>
        <w:tc>
          <w:tcPr/>
          <w:p>
            <w:pPr>
              <w:pStyle w:val="Compact"/>
              <w:jc w:val="left"/>
            </w:pPr>
            <w:r>
              <w:rPr>
                <w:i/>
                <w:iCs/>
              </w:rPr>
              <w:t xml:space="preserve">February Break</w:t>
            </w:r>
          </w:p>
        </w:tc>
      </w:tr>
      <w:tr>
        <w:tc>
          <w:tcPr/>
          <w:p>
            <w:pPr>
              <w:pStyle w:val="Compact"/>
            </w:pPr>
          </w:p>
        </w:tc>
        <w:tc>
          <w:tcPr/>
          <w:p>
            <w:pPr>
              <w:pStyle w:val="Compact"/>
            </w:pPr>
          </w:p>
        </w:tc>
        <w:tc>
          <w:tcPr/>
          <w:p>
            <w:pPr>
              <w:pStyle w:val="Compact"/>
              <w:jc w:val="left"/>
            </w:pPr>
            <w:r>
              <w:rPr>
                <w:b/>
                <w:bCs/>
                <w:i/>
                <w:iCs/>
              </w:rPr>
              <w:t xml:space="preserve">Simulation Methods</w:t>
            </w:r>
          </w:p>
        </w:tc>
      </w:tr>
      <w:tr>
        <w:tc>
          <w:tcPr/>
          <w:p>
            <w:pPr>
              <w:pStyle w:val="Compact"/>
              <w:jc w:val="left"/>
            </w:pPr>
            <w:r>
              <w:t xml:space="preserve">02-19</w:t>
            </w:r>
          </w:p>
        </w:tc>
        <w:tc>
          <w:tcPr/>
          <w:p>
            <w:pPr>
              <w:pStyle w:val="Compact"/>
              <w:jc w:val="left"/>
            </w:pPr>
            <w:r>
              <w:t xml:space="preserve">Wed</w:t>
            </w:r>
          </w:p>
        </w:tc>
        <w:tc>
          <w:tcPr/>
          <w:p>
            <w:pPr>
              <w:pStyle w:val="Compact"/>
              <w:jc w:val="left"/>
            </w:pPr>
            <w:r>
              <w:t xml:space="preserve">Monte Carlo Simulation</w:t>
            </w:r>
          </w:p>
        </w:tc>
      </w:tr>
      <w:tr>
        <w:tc>
          <w:tcPr/>
          <w:p>
            <w:pPr>
              <w:pStyle w:val="Compact"/>
              <w:jc w:val="left"/>
            </w:pPr>
            <w:r>
              <w:t xml:space="preserve">02-24</w:t>
            </w:r>
          </w:p>
        </w:tc>
        <w:tc>
          <w:tcPr/>
          <w:p>
            <w:pPr>
              <w:pStyle w:val="Compact"/>
              <w:jc w:val="left"/>
            </w:pPr>
            <w:r>
              <w:t xml:space="preserve">Mon</w:t>
            </w:r>
          </w:p>
        </w:tc>
        <w:tc>
          <w:tcPr/>
          <w:p>
            <w:pPr>
              <w:pStyle w:val="Compact"/>
              <w:jc w:val="left"/>
            </w:pPr>
            <w:r>
              <w:t xml:space="preserve">Monte Carlo Simulation II</w:t>
            </w:r>
          </w:p>
        </w:tc>
      </w:tr>
      <w:tr>
        <w:tc>
          <w:tcPr/>
          <w:p>
            <w:pPr>
              <w:pStyle w:val="Compact"/>
              <w:jc w:val="left"/>
            </w:pPr>
            <w:r>
              <w:t xml:space="preserve">02-26</w:t>
            </w:r>
          </w:p>
        </w:tc>
        <w:tc>
          <w:tcPr/>
          <w:p>
            <w:pPr>
              <w:pStyle w:val="Compact"/>
              <w:jc w:val="left"/>
            </w:pPr>
            <w:r>
              <w:t xml:space="preserve">Wed</w:t>
            </w:r>
          </w:p>
        </w:tc>
        <w:tc>
          <w:tcPr/>
          <w:p>
            <w:pPr>
              <w:pStyle w:val="Compact"/>
              <w:jc w:val="left"/>
            </w:pPr>
            <w:r>
              <w:t xml:space="preserve">The Bootstrap</w:t>
            </w:r>
          </w:p>
        </w:tc>
      </w:tr>
      <w:tr>
        <w:tc>
          <w:tcPr/>
          <w:p>
            <w:pPr>
              <w:pStyle w:val="Compact"/>
              <w:jc w:val="left"/>
            </w:pPr>
            <w:r>
              <w:t xml:space="preserve">03-03</w:t>
            </w:r>
          </w:p>
        </w:tc>
        <w:tc>
          <w:tcPr/>
          <w:p>
            <w:pPr>
              <w:pStyle w:val="Compact"/>
              <w:jc w:val="left"/>
            </w:pPr>
            <w:r>
              <w:t xml:space="preserve">Mon</w:t>
            </w:r>
          </w:p>
        </w:tc>
        <w:tc>
          <w:tcPr/>
          <w:p>
            <w:pPr>
              <w:pStyle w:val="Compact"/>
              <w:jc w:val="left"/>
            </w:pPr>
            <w:r>
              <w:t xml:space="preserve">The Bootstrap II</w:t>
            </w:r>
          </w:p>
        </w:tc>
      </w:tr>
      <w:tr>
        <w:tc>
          <w:tcPr/>
          <w:p>
            <w:pPr>
              <w:pStyle w:val="Compact"/>
              <w:jc w:val="left"/>
            </w:pPr>
            <w:r>
              <w:t xml:space="preserve">03-05</w:t>
            </w:r>
          </w:p>
        </w:tc>
        <w:tc>
          <w:tcPr/>
          <w:p>
            <w:pPr>
              <w:pStyle w:val="Compact"/>
              <w:jc w:val="left"/>
            </w:pPr>
            <w:r>
              <w:t xml:space="preserve">Wed</w:t>
            </w:r>
          </w:p>
        </w:tc>
        <w:tc>
          <w:tcPr/>
          <w:p>
            <w:pPr>
              <w:pStyle w:val="Compact"/>
              <w:jc w:val="left"/>
            </w:pPr>
            <w:r>
              <w:t xml:space="preserve">Markov Chain Monte Carlo</w:t>
            </w:r>
          </w:p>
        </w:tc>
      </w:tr>
      <w:tr>
        <w:tc>
          <w:tcPr/>
          <w:p>
            <w:pPr>
              <w:pStyle w:val="Compact"/>
            </w:pPr>
          </w:p>
        </w:tc>
        <w:tc>
          <w:tcPr/>
          <w:p>
            <w:pPr>
              <w:pStyle w:val="Compact"/>
            </w:pPr>
          </w:p>
        </w:tc>
        <w:tc>
          <w:tcPr/>
          <w:p>
            <w:pPr>
              <w:pStyle w:val="Compact"/>
              <w:jc w:val="left"/>
            </w:pPr>
            <w:r>
              <w:rPr>
                <w:b/>
                <w:bCs/>
                <w:i/>
                <w:iCs/>
              </w:rPr>
              <w:t xml:space="preserve">Model Evaluation and Selection</w:t>
            </w:r>
          </w:p>
        </w:tc>
      </w:tr>
      <w:tr>
        <w:tc>
          <w:tcPr/>
          <w:p>
            <w:pPr>
              <w:pStyle w:val="Compact"/>
              <w:jc w:val="left"/>
            </w:pPr>
            <w:r>
              <w:t xml:space="preserve">03-10</w:t>
            </w:r>
          </w:p>
        </w:tc>
        <w:tc>
          <w:tcPr/>
          <w:p>
            <w:pPr>
              <w:pStyle w:val="Compact"/>
              <w:jc w:val="left"/>
            </w:pPr>
            <w:r>
              <w:t xml:space="preserve">Mon</w:t>
            </w:r>
          </w:p>
        </w:tc>
        <w:tc>
          <w:tcPr/>
          <w:p>
            <w:pPr>
              <w:pStyle w:val="Compact"/>
              <w:jc w:val="left"/>
            </w:pPr>
            <w:r>
              <w:t xml:space="preserve">Calibration and Sharpness</w:t>
            </w:r>
          </w:p>
        </w:tc>
      </w:tr>
      <w:tr>
        <w:tc>
          <w:tcPr/>
          <w:p>
            <w:pPr>
              <w:pStyle w:val="Compact"/>
              <w:jc w:val="left"/>
            </w:pPr>
            <w:r>
              <w:t xml:space="preserve">03-12</w:t>
            </w:r>
          </w:p>
        </w:tc>
        <w:tc>
          <w:tcPr/>
          <w:p>
            <w:pPr>
              <w:pStyle w:val="Compact"/>
              <w:jc w:val="left"/>
            </w:pPr>
            <w:r>
              <w:t xml:space="preserve">Wed</w:t>
            </w:r>
          </w:p>
        </w:tc>
        <w:tc>
          <w:tcPr/>
          <w:p>
            <w:pPr>
              <w:pStyle w:val="Compact"/>
              <w:jc w:val="left"/>
            </w:pPr>
            <w:r>
              <w:t xml:space="preserve">Overfitting and Cross-Validation</w:t>
            </w:r>
          </w:p>
        </w:tc>
      </w:tr>
      <w:tr>
        <w:tc>
          <w:tcPr/>
          <w:p>
            <w:pPr>
              <w:pStyle w:val="Compact"/>
              <w:jc w:val="left"/>
            </w:pPr>
            <w:r>
              <w:t xml:space="preserve">03-17</w:t>
            </w:r>
          </w:p>
        </w:tc>
        <w:tc>
          <w:tcPr/>
          <w:p>
            <w:pPr>
              <w:pStyle w:val="Compact"/>
              <w:jc w:val="left"/>
            </w:pPr>
            <w:r>
              <w:t xml:space="preserve">Mon</w:t>
            </w:r>
          </w:p>
        </w:tc>
        <w:tc>
          <w:tcPr/>
          <w:p>
            <w:pPr>
              <w:pStyle w:val="Compact"/>
              <w:jc w:val="left"/>
            </w:pPr>
            <w:r>
              <w:t xml:space="preserve">Information Criteria and Model Comparison</w:t>
            </w:r>
          </w:p>
        </w:tc>
      </w:tr>
      <w:tr>
        <w:tc>
          <w:tcPr/>
          <w:p>
            <w:pPr>
              <w:pStyle w:val="Compact"/>
              <w:jc w:val="left"/>
            </w:pPr>
            <w:r>
              <w:t xml:space="preserve">03-19</w:t>
            </w:r>
          </w:p>
        </w:tc>
        <w:tc>
          <w:tcPr/>
          <w:p>
            <w:pPr>
              <w:pStyle w:val="Compact"/>
              <w:jc w:val="left"/>
            </w:pPr>
            <w:r>
              <w:t xml:space="preserve">Wed</w:t>
            </w:r>
          </w:p>
        </w:tc>
        <w:tc>
          <w:tcPr/>
          <w:p>
            <w:pPr>
              <w:pStyle w:val="Compact"/>
              <w:jc w:val="left"/>
            </w:pPr>
            <w:r>
              <w:t xml:space="preserve">Information Criteria II</w:t>
            </w:r>
          </w:p>
        </w:tc>
      </w:tr>
      <w:tr>
        <w:tc>
          <w:tcPr/>
          <w:p>
            <w:pPr>
              <w:pStyle w:val="Compact"/>
            </w:pPr>
          </w:p>
        </w:tc>
        <w:tc>
          <w:tcPr/>
          <w:p>
            <w:pPr>
              <w:pStyle w:val="Compact"/>
            </w:pPr>
          </w:p>
        </w:tc>
        <w:tc>
          <w:tcPr/>
          <w:p>
            <w:pPr>
              <w:pStyle w:val="Compact"/>
              <w:jc w:val="left"/>
            </w:pPr>
            <w:r>
              <w:rPr>
                <w:b/>
                <w:bCs/>
                <w:i/>
                <w:iCs/>
              </w:rPr>
              <w:t xml:space="preserve">Useful Models</w:t>
            </w:r>
          </w:p>
        </w:tc>
      </w:tr>
      <w:tr>
        <w:tc>
          <w:tcPr/>
          <w:p>
            <w:pPr>
              <w:pStyle w:val="Compact"/>
              <w:jc w:val="left"/>
            </w:pPr>
            <w:r>
              <w:t xml:space="preserve">03-24</w:t>
            </w:r>
          </w:p>
        </w:tc>
        <w:tc>
          <w:tcPr/>
          <w:p>
            <w:pPr>
              <w:pStyle w:val="Compact"/>
              <w:jc w:val="left"/>
            </w:pPr>
            <w:r>
              <w:t xml:space="preserve">Mon</w:t>
            </w:r>
          </w:p>
        </w:tc>
        <w:tc>
          <w:tcPr/>
          <w:p>
            <w:pPr>
              <w:pStyle w:val="Compact"/>
              <w:jc w:val="left"/>
            </w:pPr>
            <w:r>
              <w:t xml:space="preserve">Extreme Value Theory and Models</w:t>
            </w:r>
          </w:p>
        </w:tc>
      </w:tr>
      <w:tr>
        <w:tc>
          <w:tcPr/>
          <w:p>
            <w:pPr>
              <w:pStyle w:val="Compact"/>
              <w:jc w:val="left"/>
            </w:pPr>
            <w:r>
              <w:t xml:space="preserve">03-26</w:t>
            </w:r>
          </w:p>
        </w:tc>
        <w:tc>
          <w:tcPr/>
          <w:p>
            <w:pPr>
              <w:pStyle w:val="Compact"/>
              <w:jc w:val="left"/>
            </w:pPr>
            <w:r>
              <w:t xml:space="preserve">Wed</w:t>
            </w:r>
          </w:p>
        </w:tc>
        <w:tc>
          <w:tcPr/>
          <w:p>
            <w:pPr>
              <w:pStyle w:val="Compact"/>
              <w:jc w:val="left"/>
            </w:pPr>
            <w:r>
              <w:t xml:space="preserve">Extreme Value Models II</w:t>
            </w:r>
          </w:p>
        </w:tc>
      </w:tr>
      <w:tr>
        <w:tc>
          <w:tcPr/>
          <w:p>
            <w:pPr>
              <w:pStyle w:val="Compact"/>
              <w:jc w:val="left"/>
            </w:pPr>
            <w:r>
              <w:t xml:space="preserve">03-31</w:t>
            </w:r>
          </w:p>
        </w:tc>
        <w:tc>
          <w:tcPr/>
          <w:p>
            <w:pPr>
              <w:pStyle w:val="Compact"/>
              <w:jc w:val="left"/>
            </w:pPr>
            <w:r>
              <w:t xml:space="preserve">Mon</w:t>
            </w:r>
          </w:p>
        </w:tc>
        <w:tc>
          <w:tcPr/>
          <w:p>
            <w:pPr>
              <w:pStyle w:val="Compact"/>
              <w:jc w:val="left"/>
            </w:pPr>
            <w:r>
              <w:rPr>
                <w:i/>
                <w:iCs/>
              </w:rPr>
              <w:t xml:space="preserve">Spring Break</w:t>
            </w:r>
          </w:p>
        </w:tc>
      </w:tr>
      <w:tr>
        <w:tc>
          <w:tcPr/>
          <w:p>
            <w:pPr>
              <w:pStyle w:val="Compact"/>
              <w:jc w:val="left"/>
            </w:pPr>
            <w:r>
              <w:t xml:space="preserve">04-02</w:t>
            </w:r>
          </w:p>
        </w:tc>
        <w:tc>
          <w:tcPr/>
          <w:p>
            <w:pPr>
              <w:pStyle w:val="Compact"/>
              <w:jc w:val="left"/>
            </w:pPr>
            <w:r>
              <w:t xml:space="preserve">Wed</w:t>
            </w:r>
          </w:p>
        </w:tc>
        <w:tc>
          <w:tcPr/>
          <w:p>
            <w:pPr>
              <w:pStyle w:val="Compact"/>
              <w:jc w:val="left"/>
            </w:pPr>
            <w:r>
              <w:rPr>
                <w:i/>
                <w:iCs/>
              </w:rPr>
              <w:t xml:space="preserve">Spring Break</w:t>
            </w:r>
          </w:p>
        </w:tc>
      </w:tr>
      <w:tr>
        <w:tc>
          <w:tcPr/>
          <w:p>
            <w:pPr>
              <w:pStyle w:val="Compact"/>
              <w:jc w:val="left"/>
            </w:pPr>
            <w:r>
              <w:t xml:space="preserve">04-07</w:t>
            </w:r>
          </w:p>
        </w:tc>
        <w:tc>
          <w:tcPr/>
          <w:p>
            <w:pPr>
              <w:pStyle w:val="Compact"/>
              <w:jc w:val="left"/>
            </w:pPr>
            <w:r>
              <w:t xml:space="preserve">Mon</w:t>
            </w:r>
          </w:p>
        </w:tc>
        <w:tc>
          <w:tcPr/>
          <w:p>
            <w:pPr>
              <w:pStyle w:val="Compact"/>
              <w:jc w:val="left"/>
            </w:pPr>
            <w:r>
              <w:t xml:space="preserve">Non-Stationary Extreme Values</w:t>
            </w:r>
          </w:p>
        </w:tc>
      </w:tr>
      <w:tr>
        <w:tc>
          <w:tcPr/>
          <w:p>
            <w:pPr>
              <w:pStyle w:val="Compact"/>
              <w:jc w:val="left"/>
            </w:pPr>
            <w:r>
              <w:t xml:space="preserve">04-09</w:t>
            </w:r>
          </w:p>
        </w:tc>
        <w:tc>
          <w:tcPr/>
          <w:p>
            <w:pPr>
              <w:pStyle w:val="Compact"/>
              <w:jc w:val="left"/>
            </w:pPr>
            <w:r>
              <w:t xml:space="preserve">Wed</w:t>
            </w:r>
          </w:p>
        </w:tc>
        <w:tc>
          <w:tcPr/>
          <w:p>
            <w:pPr>
              <w:pStyle w:val="Compact"/>
              <w:jc w:val="left"/>
            </w:pPr>
            <w:r>
              <w:t xml:space="preserve">Missing and Censored Data</w:t>
            </w:r>
          </w:p>
        </w:tc>
      </w:tr>
      <w:tr>
        <w:tc>
          <w:tcPr/>
          <w:p>
            <w:pPr>
              <w:pStyle w:val="Compact"/>
              <w:jc w:val="left"/>
            </w:pPr>
            <w:r>
              <w:t xml:space="preserve">04-14</w:t>
            </w:r>
          </w:p>
        </w:tc>
        <w:tc>
          <w:tcPr/>
          <w:p>
            <w:pPr>
              <w:pStyle w:val="Compact"/>
              <w:jc w:val="left"/>
            </w:pPr>
            <w:r>
              <w:t xml:space="preserve">Mon</w:t>
            </w:r>
          </w:p>
        </w:tc>
        <w:tc>
          <w:tcPr/>
          <w:p>
            <w:pPr>
              <w:pStyle w:val="Compact"/>
              <w:jc w:val="left"/>
            </w:pPr>
            <w:r>
              <w:t xml:space="preserve">Mixture Models and Clustering</w:t>
            </w:r>
          </w:p>
        </w:tc>
      </w:tr>
      <w:tr>
        <w:tc>
          <w:tcPr/>
          <w:p>
            <w:pPr>
              <w:pStyle w:val="Compact"/>
              <w:jc w:val="left"/>
            </w:pPr>
            <w:r>
              <w:t xml:space="preserve">04-16</w:t>
            </w:r>
          </w:p>
        </w:tc>
        <w:tc>
          <w:tcPr/>
          <w:p>
            <w:pPr>
              <w:pStyle w:val="Compact"/>
              <w:jc w:val="left"/>
            </w:pPr>
            <w:r>
              <w:t xml:space="preserve">Wed</w:t>
            </w:r>
          </w:p>
        </w:tc>
        <w:tc>
          <w:tcPr/>
          <w:p>
            <w:pPr>
              <w:pStyle w:val="Compact"/>
              <w:jc w:val="left"/>
            </w:pPr>
            <w:r>
              <w:t xml:space="preserve">Gaussian Processes</w:t>
            </w:r>
          </w:p>
        </w:tc>
      </w:tr>
      <w:tr>
        <w:tc>
          <w:tcPr/>
          <w:p>
            <w:pPr>
              <w:pStyle w:val="Compact"/>
              <w:jc w:val="left"/>
            </w:pPr>
            <w:r>
              <w:t xml:space="preserve">04-21</w:t>
            </w:r>
          </w:p>
        </w:tc>
        <w:tc>
          <w:tcPr/>
          <w:p>
            <w:pPr>
              <w:pStyle w:val="Compact"/>
              <w:jc w:val="left"/>
            </w:pPr>
            <w:r>
              <w:t xml:space="preserve">Mon</w:t>
            </w:r>
          </w:p>
        </w:tc>
        <w:tc>
          <w:tcPr/>
          <w:p>
            <w:pPr>
              <w:pStyle w:val="Compact"/>
              <w:jc w:val="left"/>
            </w:pPr>
            <w:r>
              <w:t xml:space="preserve">Gaussian Processes II</w:t>
            </w:r>
          </w:p>
        </w:tc>
      </w:tr>
      <w:tr>
        <w:tc>
          <w:tcPr/>
          <w:p>
            <w:pPr>
              <w:pStyle w:val="Compact"/>
              <w:jc w:val="left"/>
            </w:pPr>
            <w:r>
              <w:t xml:space="preserve">04-23</w:t>
            </w:r>
          </w:p>
        </w:tc>
        <w:tc>
          <w:tcPr/>
          <w:p>
            <w:pPr>
              <w:pStyle w:val="Compact"/>
              <w:jc w:val="left"/>
            </w:pPr>
            <w:r>
              <w:t xml:space="preserve">Wed</w:t>
            </w:r>
          </w:p>
        </w:tc>
        <w:tc>
          <w:tcPr/>
          <w:p>
            <w:pPr>
              <w:pStyle w:val="Compact"/>
              <w:jc w:val="left"/>
            </w:pPr>
            <w:r>
              <w:t xml:space="preserve">Causal Modeling</w:t>
            </w:r>
          </w:p>
        </w:tc>
      </w:tr>
      <w:tr>
        <w:tc>
          <w:tcPr/>
          <w:p>
            <w:pPr>
              <w:pStyle w:val="Compact"/>
            </w:pPr>
          </w:p>
        </w:tc>
        <w:tc>
          <w:tcPr/>
          <w:p>
            <w:pPr>
              <w:pStyle w:val="Compact"/>
            </w:pPr>
          </w:p>
        </w:tc>
        <w:tc>
          <w:tcPr/>
          <w:p>
            <w:pPr>
              <w:pStyle w:val="Compact"/>
              <w:jc w:val="left"/>
            </w:pPr>
            <w:r>
              <w:rPr>
                <w:b/>
                <w:bCs/>
                <w:i/>
                <w:iCs/>
              </w:rPr>
              <w:t xml:space="preserve">Experimental Design</w:t>
            </w:r>
          </w:p>
        </w:tc>
      </w:tr>
      <w:tr>
        <w:tc>
          <w:tcPr/>
          <w:p>
            <w:pPr>
              <w:pStyle w:val="Compact"/>
              <w:jc w:val="left"/>
            </w:pPr>
            <w:r>
              <w:t xml:space="preserve">04-28</w:t>
            </w:r>
          </w:p>
        </w:tc>
        <w:tc>
          <w:tcPr/>
          <w:p>
            <w:pPr>
              <w:pStyle w:val="Compact"/>
              <w:jc w:val="left"/>
            </w:pPr>
            <w:r>
              <w:t xml:space="preserve">Mon</w:t>
            </w:r>
          </w:p>
        </w:tc>
        <w:tc>
          <w:tcPr/>
          <w:p>
            <w:pPr>
              <w:pStyle w:val="Compact"/>
              <w:jc w:val="left"/>
            </w:pPr>
            <w:r>
              <w:t xml:space="preserve">Confounds</w:t>
            </w:r>
          </w:p>
        </w:tc>
      </w:tr>
      <w:tr>
        <w:tc>
          <w:tcPr/>
          <w:p>
            <w:pPr>
              <w:pStyle w:val="Compact"/>
              <w:jc w:val="left"/>
            </w:pPr>
            <w:r>
              <w:t xml:space="preserve">04-30</w:t>
            </w:r>
          </w:p>
        </w:tc>
        <w:tc>
          <w:tcPr/>
          <w:p>
            <w:pPr>
              <w:pStyle w:val="Compact"/>
              <w:jc w:val="left"/>
            </w:pPr>
            <w:r>
              <w:t xml:space="preserve">Wed</w:t>
            </w:r>
          </w:p>
        </w:tc>
        <w:tc>
          <w:tcPr/>
          <w:p>
            <w:pPr>
              <w:pStyle w:val="Compact"/>
              <w:jc w:val="left"/>
            </w:pPr>
            <w:r>
              <w:t xml:space="preserve">Controls and Designing Experiments</w:t>
            </w:r>
          </w:p>
        </w:tc>
      </w:tr>
      <w:tr>
        <w:tc>
          <w:tcPr/>
          <w:p>
            <w:pPr>
              <w:pStyle w:val="Compact"/>
            </w:pPr>
          </w:p>
        </w:tc>
        <w:tc>
          <w:tcPr/>
          <w:p>
            <w:pPr>
              <w:pStyle w:val="Compact"/>
            </w:pPr>
          </w:p>
        </w:tc>
        <w:tc>
          <w:tcPr/>
          <w:p>
            <w:pPr>
              <w:pStyle w:val="Compact"/>
              <w:jc w:val="left"/>
            </w:pPr>
            <w:r>
              <w:rPr>
                <w:b/>
                <w:bCs/>
                <w:i/>
                <w:iCs/>
              </w:rPr>
              <w:t xml:space="preserve">Presentations</w:t>
            </w:r>
          </w:p>
        </w:tc>
      </w:tr>
      <w:tr>
        <w:tc>
          <w:tcPr/>
          <w:p>
            <w:pPr>
              <w:pStyle w:val="Compact"/>
              <w:jc w:val="left"/>
            </w:pPr>
            <w:r>
              <w:t xml:space="preserve">05-05</w:t>
            </w:r>
          </w:p>
        </w:tc>
        <w:tc>
          <w:tcPr/>
          <w:p>
            <w:pPr>
              <w:pStyle w:val="Compact"/>
              <w:jc w:val="left"/>
            </w:pPr>
            <w:r>
              <w:t xml:space="preserve">Mon</w:t>
            </w:r>
          </w:p>
        </w:tc>
        <w:tc>
          <w:tcPr/>
          <w:p>
            <w:pPr>
              <w:pStyle w:val="Compact"/>
              <w:jc w:val="left"/>
            </w:pPr>
            <w:r>
              <w:t xml:space="preserve">Project Presentations</w:t>
            </w:r>
          </w:p>
        </w:tc>
      </w:tr>
    </w:tbl>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73" Target="media/rId73.png" /><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 4850/5850 (Environmental Data Analysis and Simulation) Syllabus</dc:title>
  <dc:creator/>
  <cp:keywords/>
  <dcterms:created xsi:type="dcterms:W3CDTF">2025-03-25T13:31:05Z</dcterms:created>
  <dcterms:modified xsi:type="dcterms:W3CDTF">2025-03-25T13:31:05Z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Spring 2025</vt:lpwstr>
  </property>
  <property fmtid="{D5CDD505-2E9C-101B-9397-08002B2CF9AE}" pid="11" name="toc-title">
    <vt:lpwstr>Table of contents</vt:lpwstr>
  </property>
</Properties>
</file>