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Understanding data is an increasingly integral part of working with environmental systems. Data analysis is an integral part of developing statistical and numerical models to understand system dynamics and project future conditions and outcomes. Simulation from models can represent alternative datasets consistent with a set of assumptions about the underlying data-generating process, facilitating model assessment and hypothesis testing. This course will provide an overview of a generative approach to environmental data analysis, which uses simulation and assessments of predictive performance to provide insight into the structure of data and its data-generating process. The goal is to provide students with a framework and an initial toolkit of methods that they can use to formulate and update hypotheses about data and models. Students will actively analyze and use real data from a variety of environmental systems, potentially including the climate system, sea levels, air pollution, and the electric power system. In particular, we will:</w:t>
      </w:r>
    </w:p>
    <w:p>
      <w:pPr>
        <w:numPr>
          <w:ilvl w:val="0"/>
          <w:numId w:val="1004"/>
        </w:numPr>
        <w:pStyle w:val="Compact"/>
      </w:pPr>
      <w:r>
        <w:t xml:space="preserve">learn how to effectively use and critique data visualizations;</w:t>
      </w:r>
    </w:p>
    <w:p>
      <w:pPr>
        <w:numPr>
          <w:ilvl w:val="0"/>
          <w:numId w:val="1004"/>
        </w:numPr>
        <w:pStyle w:val="Compact"/>
      </w:pPr>
      <w:r>
        <w:t xml:space="preserve">interpret graphical and quantitative summaries of counterfactual model simulations;</w:t>
      </w:r>
    </w:p>
    <w:p>
      <w:pPr>
        <w:numPr>
          <w:ilvl w:val="0"/>
          <w:numId w:val="1004"/>
        </w:numPr>
        <w:pStyle w:val="Compact"/>
      </w:pPr>
      <w:r>
        <w:t xml:space="preserve">calibrate statistical and numerical models to reflect data-generating processes;</w:t>
      </w:r>
    </w:p>
    <w:p>
      <w:pPr>
        <w:numPr>
          <w:ilvl w:val="0"/>
          <w:numId w:val="1004"/>
        </w:numPr>
        <w:pStyle w:val="Compact"/>
      </w:pPr>
      <w:r>
        <w:t xml:space="preserve">apply statistical methods to simulate from calibrated models;</w:t>
      </w:r>
    </w:p>
    <w:p>
      <w:pPr>
        <w:numPr>
          <w:ilvl w:val="0"/>
          <w:numId w:val="1004"/>
        </w:numPr>
        <w:pStyle w:val="Compact"/>
      </w:pPr>
      <w:r>
        <w:t xml:space="preserve">assess and select models based on predictive performance; and</w:t>
      </w:r>
    </w:p>
    <w:p>
      <w:pPr>
        <w:numPr>
          <w:ilvl w:val="0"/>
          <w:numId w:val="1004"/>
        </w:numPr>
        <w:pStyle w:val="Compact"/>
      </w:pPr>
      <w:r>
        <w:t xml:space="preserve">emulate computationally-complex simulations with surrogate models.</w:t>
      </w:r>
    </w:p>
    <w:bookmarkEnd w:id="25"/>
    <w:bookmarkStart w:id="26"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Analyze environmental datasets using simulations from calibrated models;</w:t>
      </w:r>
    </w:p>
    <w:p>
      <w:pPr>
        <w:numPr>
          <w:ilvl w:val="0"/>
          <w:numId w:val="1005"/>
        </w:numPr>
        <w:pStyle w:val="Compact"/>
      </w:pPr>
      <w:r>
        <w:t xml:space="preserve">Interpret and communicate properties of datasets and models using graphical summaries;</w:t>
      </w:r>
    </w:p>
    <w:p>
      <w:pPr>
        <w:numPr>
          <w:ilvl w:val="0"/>
          <w:numId w:val="1005"/>
        </w:numPr>
        <w:pStyle w:val="Compact"/>
      </w:pPr>
      <w:r>
        <w:t xml:space="preserve">Assess model fit and performance by analyzing residual structures and predictive performance;</w:t>
      </w:r>
    </w:p>
    <w:p>
      <w:pPr>
        <w:numPr>
          <w:ilvl w:val="0"/>
          <w:numId w:val="1005"/>
        </w:numPr>
        <w:pStyle w:val="Compact"/>
      </w:pPr>
      <w:r>
        <w:t xml:space="preserve">Solve statistical and numerical modeling, calibration, and visualization problems using modern programming languages.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numPr>
          <w:ilvl w:val="0"/>
          <w:numId w:val="1006"/>
        </w:numPr>
        <w:pStyle w:val="Compact"/>
      </w:pPr>
      <w:r>
        <w:t xml:space="preserve">One course in environmental systems (BEE 4750/5750,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Monte Carlo and bootstrap methods for calibration (including Markov chain Monte Carlo);</w:t>
      </w:r>
    </w:p>
    <w:p>
      <w:pPr>
        <w:numPr>
          <w:ilvl w:val="0"/>
          <w:numId w:val="1007"/>
        </w:numPr>
        <w:pStyle w:val="Compact"/>
      </w:pPr>
      <w:r>
        <w:t xml:space="preserve">Predictive model assessment (including cross-validation);</w:t>
      </w:r>
    </w:p>
    <w:p>
      <w:pPr>
        <w:numPr>
          <w:ilvl w:val="0"/>
          <w:numId w:val="1007"/>
        </w:numPr>
        <w:pStyle w:val="Compact"/>
      </w:pPr>
      <w:r>
        <w:t xml:space="preserve">Emulation with surrogate models</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0" w:name="assessments"/>
    <w:p>
      <w:pPr>
        <w:pStyle w:val="Heading2"/>
      </w:pPr>
      <w:r>
        <w:t xml:space="preserve">Assessments</w:t>
      </w:r>
    </w:p>
    <w:bookmarkStart w:id="66"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or visual assessment of data or a figure. Application exercises will be provided the previous Friday and are intended to align with the content for the week, and solutions should be submitted by 9:00pm on the Friday at the end of the given week. Application exercise solutions should be submitted as a PDF on Gradescope. The lowest two of these will be dropped. Application exercises which involve programming will be distributed using GitHub Classroom.</w:t>
      </w:r>
    </w:p>
    <w:bookmarkEnd w:id="66"/>
    <w:bookmarkStart w:id="67" w:name="labs-20"/>
    <w:p>
      <w:pPr>
        <w:pStyle w:val="Heading3"/>
      </w:pPr>
      <w:r>
        <w:t xml:space="preserve">Labs: 20%</w:t>
      </w:r>
    </w:p>
    <w:p>
      <w:pPr>
        <w:pStyle w:val="FirstParagraph"/>
      </w:pPr>
      <w:r>
        <w:t xml:space="preserve">Approximately 7 class periods will be dedicated to working on labs. These labs are intended to give you hands-on experience with new tools and/or methods, and will focus more on completing tasks and interpreting output than conceptual questions. Students should bring their laptops to class on these days; please prepare in advance by downloading the notebook and setting up the environment by running the first few cells.</w:t>
      </w:r>
    </w:p>
    <w:p>
      <w:pPr>
        <w:pStyle w:val="BodyText"/>
      </w:pPr>
      <w:r>
        <w:t xml:space="preserve">Lab notebook solutions will be due by 9:00pm roughly one week after the in-class session. These should be submitted to Gradescope as a PDF. The lowest lab grade will be dropped.</w:t>
      </w:r>
    </w:p>
    <w:bookmarkEnd w:id="67"/>
    <w:bookmarkStart w:id="68" w:name="homework-assignments-40"/>
    <w:p>
      <w:pPr>
        <w:pStyle w:val="Heading3"/>
      </w:pPr>
      <w:r>
        <w:t xml:space="preserve">Homework Assignments: 40%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68"/>
    <w:bookmarkStart w:id="69" w:name="final-term-project-30"/>
    <w:p>
      <w:pPr>
        <w:pStyle w:val="Heading3"/>
      </w:pPr>
      <w:r>
        <w:t xml:space="preserve">Final Term Project: 30%</w:t>
      </w:r>
    </w:p>
    <w:p>
      <w:pPr>
        <w:pStyle w:val="FirstParagraph"/>
      </w:pPr>
      <w:r>
        <w:t xml:space="preserve">This course will culminate with a term project.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4850 and individually for those in BEE 5850. The final deliverable for this project will be a poster summarizing the project and results. Ahead of that, you will submit the following:</w:t>
      </w:r>
    </w:p>
    <w:p>
      <w:pPr>
        <w:numPr>
          <w:ilvl w:val="0"/>
          <w:numId w:val="1014"/>
        </w:numPr>
        <w:pStyle w:val="Compact"/>
      </w:pPr>
      <w:r>
        <w:t xml:space="preserve">a proposal for feedback on the scope of your project; and</w:t>
      </w:r>
    </w:p>
    <w:p>
      <w:pPr>
        <w:numPr>
          <w:ilvl w:val="0"/>
          <w:numId w:val="1014"/>
        </w:numPr>
        <w:pStyle w:val="Compact"/>
      </w:pPr>
      <w:r>
        <w:t xml:space="preserve">a mid-semester work plan providing more details on the project design.</w:t>
      </w:r>
    </w:p>
    <w:p>
      <w:pPr>
        <w:pStyle w:val="FirstParagraph"/>
      </w:pPr>
      <w:r>
        <w:t xml:space="preserve">Rubrics will be provided for the components of the project.</w:t>
      </w:r>
    </w:p>
    <w:bookmarkEnd w:id="69"/>
    <w:bookmarkEnd w:id="70"/>
    <w:bookmarkStart w:id="71" w:name="tentative-schedule"/>
    <w:p>
      <w:pPr>
        <w:pStyle w:val="Heading2"/>
      </w:pPr>
      <w:r>
        <w:t xml:space="preserve">Tentative Schedule</w:t>
      </w:r>
    </w:p>
    <w:tbl>
      <w:tblPr>
        <w:tblStyle w:val="Table"/>
        <w:tblW w:type="pct" w:w="5000"/>
        <w:tblLook w:firstRow="1" w:lastRow="0" w:firstColumn="0" w:lastColumn="0" w:noHBand="0" w:noVBand="0" w:val="0020"/>
        <w:jc w:val="start"/>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Gaussian processes</w:t>
            </w:r>
          </w:p>
        </w:tc>
      </w:tr>
    </w:tbl>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2023-03-30T12:22:17Z</dcterms:created>
  <dcterms:modified xsi:type="dcterms:W3CDTF">2023-03-30T12:22:17Z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