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90–92</w:t>
            </w:r>
          </w:p>
        </w:tc>
      </w:tr>
      <w:tr>
        <w:tc>
          <w:tcPr/>
          <w:p>
            <w:pPr>
              <w:pStyle w:val="Compact"/>
              <w:jc w:val="center"/>
            </w:pPr>
            <w:r>
              <w:t xml:space="preserve">B+</w:t>
            </w:r>
          </w:p>
        </w:tc>
        <w:tc>
          <w:tcPr/>
          <w:p>
            <w:pPr>
              <w:pStyle w:val="Compact"/>
              <w:jc w:val="left"/>
            </w:pPr>
            <w:r>
              <w:t xml:space="preserve">87–89</w:t>
            </w:r>
          </w:p>
        </w:tc>
      </w:tr>
      <w:tr>
        <w:tc>
          <w:tcPr/>
          <w:p>
            <w:pPr>
              <w:pStyle w:val="Compact"/>
              <w:jc w:val="center"/>
            </w:pPr>
            <w:r>
              <w:t xml:space="preserve">B</w:t>
            </w:r>
          </w:p>
        </w:tc>
        <w:tc>
          <w:tcPr/>
          <w:p>
            <w:pPr>
              <w:pStyle w:val="Compact"/>
              <w:jc w:val="left"/>
            </w:pPr>
            <w:r>
              <w:t xml:space="preserve">83–86</w:t>
            </w:r>
          </w:p>
        </w:tc>
      </w:tr>
      <w:tr>
        <w:tc>
          <w:tcPr/>
          <w:p>
            <w:pPr>
              <w:pStyle w:val="Compact"/>
              <w:jc w:val="center"/>
            </w:pPr>
            <w:r>
              <w:t xml:space="preserve">B-</w:t>
            </w:r>
          </w:p>
        </w:tc>
        <w:tc>
          <w:tcPr/>
          <w:p>
            <w:pPr>
              <w:pStyle w:val="Compact"/>
              <w:jc w:val="left"/>
            </w:pPr>
            <w:r>
              <w:t xml:space="preserve">80–82</w:t>
            </w:r>
          </w:p>
        </w:tc>
      </w:tr>
      <w:tr>
        <w:tc>
          <w:tcPr/>
          <w:p>
            <w:pPr>
              <w:pStyle w:val="Compact"/>
              <w:jc w:val="center"/>
            </w:pPr>
            <w:r>
              <w:t xml:space="preserve">C+</w:t>
            </w:r>
          </w:p>
        </w:tc>
        <w:tc>
          <w:tcPr/>
          <w:p>
            <w:pPr>
              <w:pStyle w:val="Compact"/>
              <w:jc w:val="left"/>
            </w:pPr>
            <w:r>
              <w:t xml:space="preserve">77–79</w:t>
            </w:r>
          </w:p>
        </w:tc>
      </w:tr>
      <w:tr>
        <w:tc>
          <w:tcPr/>
          <w:p>
            <w:pPr>
              <w:pStyle w:val="Compact"/>
              <w:jc w:val="center"/>
            </w:pPr>
            <w:r>
              <w:t xml:space="preserve">C</w:t>
            </w:r>
          </w:p>
        </w:tc>
        <w:tc>
          <w:tcPr/>
          <w:p>
            <w:pPr>
              <w:pStyle w:val="Compact"/>
              <w:jc w:val="left"/>
            </w:pPr>
            <w:r>
              <w:t xml:space="preserve">73–76</w:t>
            </w:r>
          </w:p>
        </w:tc>
      </w:tr>
      <w:tr>
        <w:tc>
          <w:tcPr/>
          <w:p>
            <w:pPr>
              <w:pStyle w:val="Compact"/>
              <w:jc w:val="center"/>
            </w:pPr>
            <w:r>
              <w:t xml:space="preserve">C-</w:t>
            </w:r>
          </w:p>
        </w:tc>
        <w:tc>
          <w:tcPr/>
          <w:p>
            <w:pPr>
              <w:pStyle w:val="Compact"/>
              <w:jc w:val="left"/>
            </w:pPr>
            <w:r>
              <w:t xml:space="preserve">70–72</w:t>
            </w:r>
          </w:p>
        </w:tc>
      </w:tr>
      <w:tr>
        <w:tc>
          <w:tcPr/>
          <w:p>
            <w:pPr>
              <w:pStyle w:val="Compact"/>
              <w:jc w:val="center"/>
            </w:pPr>
            <w:r>
              <w:t xml:space="preserve">D+</w:t>
            </w:r>
          </w:p>
        </w:tc>
        <w:tc>
          <w:tcPr/>
          <w:p>
            <w:pPr>
              <w:pStyle w:val="Compact"/>
              <w:jc w:val="left"/>
            </w:pPr>
            <w:r>
              <w:t xml:space="preserve">67–69</w:t>
            </w:r>
          </w:p>
        </w:tc>
      </w:tr>
      <w:tr>
        <w:tc>
          <w:tcPr/>
          <w:p>
            <w:pPr>
              <w:pStyle w:val="Compact"/>
              <w:jc w:val="center"/>
            </w:pPr>
            <w:r>
              <w:t xml:space="preserve">D</w:t>
            </w:r>
          </w:p>
        </w:tc>
        <w:tc>
          <w:tcPr/>
          <w:p>
            <w:pPr>
              <w:pStyle w:val="Compact"/>
              <w:jc w:val="left"/>
            </w:pPr>
            <w:r>
              <w:t xml:space="preserve">63–66</w:t>
            </w:r>
          </w:p>
        </w:tc>
      </w:tr>
      <w:tr>
        <w:tc>
          <w:tcPr/>
          <w:p>
            <w:pPr>
              <w:pStyle w:val="Compact"/>
              <w:jc w:val="center"/>
            </w:pPr>
            <w:r>
              <w:t xml:space="preserve">D-</w:t>
            </w:r>
          </w:p>
        </w:tc>
        <w:tc>
          <w:tcPr/>
          <w:p>
            <w:pPr>
              <w:pStyle w:val="Compact"/>
              <w:jc w:val="left"/>
            </w:pPr>
            <w:r>
              <w:t xml:space="preserve">60–62</w:t>
            </w:r>
          </w:p>
        </w:tc>
      </w:tr>
      <w:tr>
        <w:tc>
          <w:tcPr/>
          <w:p>
            <w:pPr>
              <w:pStyle w:val="Compact"/>
              <w:jc w:val="center"/>
            </w:pPr>
            <w:r>
              <w:t xml:space="preserve">F</w:t>
            </w:r>
          </w:p>
        </w:tc>
        <w:tc>
          <w:tcPr/>
          <w:p>
            <w:pPr>
              <w:pStyle w:val="Compact"/>
              <w:jc w:val="left"/>
            </w:pPr>
            <w:r>
              <w:t xml:space="preserve">&lt; 59</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One student will be responsible for leading the discussion of the paper, but all students are expected to contribute to in-class and online discussions.</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2024-01-12T17:41:48Z</dcterms:created>
  <dcterms:modified xsi:type="dcterms:W3CDTF">2024-01-12T17:41:48Z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