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course-overview"/>
    <w:p>
      <w:pPr>
        <w:pStyle w:val="Heading2"/>
      </w:pPr>
      <w:r>
        <w:t xml:space="preserve">Course Overview</w:t>
      </w:r>
    </w:p>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4"/>
        </w:numPr>
        <w:pStyle w:val="Compact"/>
      </w:pPr>
      <w:r>
        <w:t xml:space="preserve">conduct exploratory analyses of environmental datasets;</w:t>
      </w:r>
    </w:p>
    <w:p>
      <w:pPr>
        <w:numPr>
          <w:ilvl w:val="0"/>
          <w:numId w:val="1004"/>
        </w:numPr>
        <w:pStyle w:val="Compact"/>
      </w:pPr>
      <w:r>
        <w:t xml:space="preserve">discuss best practices for and complexities of data visualization;</w:t>
      </w:r>
    </w:p>
    <w:p>
      <w:pPr>
        <w:numPr>
          <w:ilvl w:val="0"/>
          <w:numId w:val="1004"/>
        </w:numPr>
        <w:pStyle w:val="Compact"/>
      </w:pPr>
      <w:r>
        <w:t xml:space="preserve">calibrate statistical and process-based numerical models using environmental data;</w:t>
      </w:r>
    </w:p>
    <w:p>
      <w:pPr>
        <w:numPr>
          <w:ilvl w:val="0"/>
          <w:numId w:val="1004"/>
        </w:numPr>
        <w:pStyle w:val="Compact"/>
      </w:pPr>
      <w:r>
        <w:t xml:space="preserve">use simulations from calibrated models to identify key sources of uncertainty and model error;</w:t>
      </w:r>
    </w:p>
    <w:p>
      <w:pPr>
        <w:numPr>
          <w:ilvl w:val="0"/>
          <w:numId w:val="1004"/>
        </w:numPr>
        <w:pStyle w:val="Compact"/>
      </w:pPr>
      <w:r>
        <w:t xml:space="preserve">assess model fit and adequacy through predictive ability.</w:t>
      </w:r>
    </w:p>
    <w:bookmarkEnd w:id="25"/>
    <w:bookmarkEnd w:id="26"/>
    <w:bookmarkStart w:id="27" w:name="learning-outcomes"/>
    <w:p>
      <w:pPr>
        <w:pStyle w:val="Heading2"/>
      </w:pPr>
      <w:r>
        <w:t xml:space="preserve">Learning Outcomes</w:t>
      </w:r>
    </w:p>
    <w:p>
      <w:pPr>
        <w:pStyle w:val="FirstParagraph"/>
      </w:pPr>
      <w:r>
        <w:t xml:space="preserve">After completing this class, students will be able to:</w:t>
      </w:r>
    </w:p>
    <w:p>
      <w:pPr>
        <w:numPr>
          <w:ilvl w:val="0"/>
          <w:numId w:val="1005"/>
        </w:numPr>
        <w:pStyle w:val="Compact"/>
      </w:pPr>
      <w:r>
        <w:t xml:space="preserve">create, interpret, and critique data visualizations;</w:t>
      </w:r>
    </w:p>
    <w:p>
      <w:pPr>
        <w:numPr>
          <w:ilvl w:val="0"/>
          <w:numId w:val="1005"/>
        </w:numPr>
        <w:pStyle w:val="Compact"/>
      </w:pPr>
      <w:r>
        <w:t xml:space="preserve">calibrate environmental models to observations, possibly including censored and missing data;</w:t>
      </w:r>
    </w:p>
    <w:p>
      <w:pPr>
        <w:numPr>
          <w:ilvl w:val="0"/>
          <w:numId w:val="1005"/>
        </w:numPr>
        <w:pStyle w:val="Compact"/>
      </w:pPr>
      <w:r>
        <w:t xml:space="preserve">simulate alternative datasets from models using statistical methods such as the bootstrap and Monte Carlo;</w:t>
      </w:r>
    </w:p>
    <w:p>
      <w:pPr>
        <w:numPr>
          <w:ilvl w:val="0"/>
          <w:numId w:val="1005"/>
        </w:numPr>
        <w:pStyle w:val="Compact"/>
      </w:pPr>
      <w:r>
        <w:t xml:space="preserve">assess model adequacy and performance using predictive simulations;</w:t>
      </w:r>
    </w:p>
    <w:p>
      <w:pPr>
        <w:numPr>
          <w:ilvl w:val="0"/>
          <w:numId w:val="1005"/>
        </w:numPr>
        <w:pStyle w:val="Compact"/>
      </w:pPr>
      <w:r>
        <w:t xml:space="preserve">apply and contextualize model selection criteria;</w:t>
      </w:r>
    </w:p>
    <w:p>
      <w:pPr>
        <w:numPr>
          <w:ilvl w:val="0"/>
          <w:numId w:val="1005"/>
        </w:numPr>
        <w:pStyle w:val="Compact"/>
      </w:pPr>
      <w:r>
        <w:t xml:space="preserve">evaluate evidence for and against hypotheses about environmental systems using model simulations;</w:t>
      </w:r>
    </w:p>
    <w:p>
      <w:pPr>
        <w:numPr>
          <w:ilvl w:val="0"/>
          <w:numId w:val="1005"/>
        </w:numPr>
        <w:pStyle w:val="Compact"/>
      </w:pPr>
      <w:r>
        <w:t xml:space="preserve">emulate computationally-complex models with simpler representations.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2"/>
    <w:bookmarkStart w:id="33"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4 hours of effort during the exam period.</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51"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opt/quarto/share/formats/docx/important.png" id="4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67"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8"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8"/>
    <w:bookmarkStart w:id="63"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opt/quarto/share/formats/docx/important.png" id="6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1">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2">
        <w:r>
          <w:rPr>
            <w:rStyle w:val="Hyperlink"/>
          </w:rPr>
          <w:t xml:space="preserve">American Society for Civil Engineers’ Code of Ethics</w:t>
        </w:r>
      </w:hyperlink>
      <w:r>
        <w:t xml:space="preserve">).</w:t>
      </w:r>
    </w:p>
    <w:bookmarkEnd w:id="63"/>
    <w:bookmarkStart w:id="64"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4"/>
    <w:bookmarkStart w:id="65"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5"/>
    <w:bookmarkStart w:id="66"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6"/>
    <w:bookmarkEnd w:id="67"/>
    <w:bookmarkStart w:id="72" w:name="assessments"/>
    <w:p>
      <w:pPr>
        <w:pStyle w:val="Heading2"/>
      </w:pPr>
      <w:r>
        <w:t xml:space="preserve">Assessments</w:t>
      </w:r>
    </w:p>
    <w:bookmarkStart w:id="68"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If students use a language other than Julia, they may limited in the programming assistance they receive (though we’re happy to try to help!).</w:t>
      </w:r>
    </w:p>
    <w:bookmarkEnd w:id="68"/>
    <w:bookmarkStart w:id="69" w:name="grading-scale"/>
    <w:p>
      <w:pPr>
        <w:pStyle w:val="Heading3"/>
      </w:pPr>
      <w:r>
        <w:t xml:space="preserve">Grading Scale</w:t>
      </w:r>
    </w:p>
    <w:p>
      <w:pPr>
        <w:pStyle w:val="FirstParagraph"/>
      </w:pPr>
      <w:r>
        <w:t xml:space="preserve">The following grading scale will be used to convert the numerical weighted average from the assessments (below)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69"/>
    <w:bookmarkStart w:id="70"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Application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0"/>
    <w:bookmarkStart w:id="71" w:name="readings-10"/>
    <w:p>
      <w:pPr>
        <w:pStyle w:val="Heading3"/>
      </w:pPr>
      <w:r>
        <w:t xml:space="preserve">Readings: 10%</w:t>
      </w:r>
    </w:p>
    <w:p>
      <w:pPr>
        <w:pStyle w:val="FirstParagraph"/>
      </w:pPr>
      <w:r>
        <w:t xml:space="preserve">Readings will be assigned for discussion throughout the semester. Students in BEE 5850 will be expected to write one-page critiques of the papers; while students in BEE 4850 will be expected to contribute to the online discussions.</w:t>
      </w:r>
    </w:p>
    <w:bookmarkEnd w:id="71"/>
    <w:bookmarkEnd w:id="72"/>
    <w:bookmarkStart w:id="75" w:name="paper-critique-and-presentation-20"/>
    <w:p>
      <w:pPr>
        <w:pStyle w:val="Heading2"/>
      </w:pPr>
      <w:r>
        <w:t xml:space="preserve">Paper Critique and Presentation: 20%</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Start w:id="73" w:name="homework-assignments-30"/>
    <w:p>
      <w:pPr>
        <w:pStyle w:val="Heading3"/>
      </w:pPr>
      <w:r>
        <w:t xml:space="preserve">Homework Assignments: 30%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3"/>
    <w:bookmarkStart w:id="74" w:name="term-project-30"/>
    <w:p>
      <w:pPr>
        <w:pStyle w:val="Heading3"/>
      </w:pPr>
      <w:r>
        <w:t xml:space="preserve">Term Project: 30%</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calibration exercises applying calibration and uncertainty quantification methods from class;</w:t>
      </w:r>
    </w:p>
    <w:p>
      <w:pPr>
        <w:numPr>
          <w:ilvl w:val="0"/>
          <w:numId w:val="1014"/>
        </w:numPr>
        <w:pStyle w:val="Compact"/>
      </w:pPr>
      <w:r>
        <w:t xml:space="preserve">Assessments of the model performance based on the data;</w:t>
      </w:r>
    </w:p>
    <w:p>
      <w:pPr>
        <w:numPr>
          <w:ilvl w:val="0"/>
          <w:numId w:val="1014"/>
        </w:numPr>
        <w:pStyle w:val="Compact"/>
      </w:pPr>
      <w:r>
        <w:t xml:space="preserve">A final presentation and report.</w:t>
      </w:r>
    </w:p>
    <w:bookmarkEnd w:id="74"/>
    <w:bookmarkEnd w:id="75"/>
    <w:bookmarkStart w:id="76"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and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Emulation, cont’d</w:t>
            </w:r>
          </w:p>
        </w:tc>
      </w:tr>
    </w:tbl>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61"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2"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1"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2"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2024-01-04T21:56:17Z</dcterms:created>
  <dcterms:modified xsi:type="dcterms:W3CDTF">2024-01-04T21:56:17Z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