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6.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w:t>
      </w:r>
      <w:r>
        <w:t xml:space="preserve"> </w:t>
      </w:r>
      <w:r>
        <w:t xml:space="preserve">4850/5850</w:t>
      </w:r>
      <w:r>
        <w:t xml:space="preserve"> </w:t>
      </w:r>
      <w:r>
        <w:t xml:space="preserve">(</w:t>
      </w:r>
      <w:r>
        <w:t xml:space="preserve">Environmental</w:t>
      </w:r>
      <w:r>
        <w:t xml:space="preserve"> </w:t>
      </w:r>
      <w:r>
        <w:t xml:space="preserve">Data</w:t>
      </w:r>
      <w:r>
        <w:t xml:space="preserve"> </w:t>
      </w:r>
      <w:r>
        <w:t xml:space="preserve">Analysis</w:t>
      </w:r>
      <w:r>
        <w:t xml:space="preserve"> </w:t>
      </w:r>
      <w:r>
        <w:t xml:space="preserve">and</w:t>
      </w:r>
      <w:r>
        <w:t xml:space="preserve"> </w:t>
      </w:r>
      <w:r>
        <w:t xml:space="preserve">Simulation</w:t>
      </w:r>
      <w:r>
        <w:t xml:space="preserve">)</w:t>
      </w:r>
      <w:r>
        <w:t xml:space="preserve"> </w:t>
      </w:r>
      <w:r>
        <w:t xml:space="preserve">Syllabus</w:t>
      </w:r>
    </w:p>
    <w:p>
      <w:pPr>
        <w:pStyle w:val="Subtitle"/>
      </w:pPr>
      <w:r>
        <w:t xml:space="preserve">Spring</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offered as an elective.</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bookmarkEnd w:id="22"/>
    <w:bookmarkStart w:id="23" w:name="meetings"/>
    <w:p>
      <w:pPr>
        <w:pStyle w:val="Heading3"/>
      </w:pPr>
      <w:r>
        <w:t xml:space="preserve">Meetings</w:t>
      </w:r>
    </w:p>
    <w:p>
      <w:pPr>
        <w:numPr>
          <w:ilvl w:val="0"/>
          <w:numId w:val="1002"/>
        </w:numPr>
        <w:pStyle w:val="Compact"/>
      </w:pPr>
      <w:r>
        <w:t xml:space="preserve"> </w:t>
      </w:r>
      <w:r>
        <w:t xml:space="preserve">MW</w:t>
      </w:r>
    </w:p>
    <w:p>
      <w:pPr>
        <w:numPr>
          <w:ilvl w:val="0"/>
          <w:numId w:val="1002"/>
        </w:numPr>
        <w:pStyle w:val="Compact"/>
      </w:pPr>
      <w:r>
        <w:t xml:space="preserve"> </w:t>
      </w:r>
      <w:r>
        <w:t xml:space="preserve">11:40-12:55pm</w:t>
      </w:r>
    </w:p>
    <w:p>
      <w:pPr>
        <w:numPr>
          <w:ilvl w:val="0"/>
          <w:numId w:val="1002"/>
        </w:numPr>
        <w:pStyle w:val="Compact"/>
      </w:pPr>
      <w:r>
        <w:t xml:space="preserve"> </w:t>
      </w:r>
      <w:r>
        <w:t xml:space="preserve">160 Riley-Robb Hall</w:t>
      </w:r>
    </w:p>
    <w:bookmarkEnd w:id="23"/>
    <w:bookmarkStart w:id="24"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over the course of the semester, we will:</w:t>
      </w:r>
    </w:p>
    <w:p>
      <w:pPr>
        <w:numPr>
          <w:ilvl w:val="0"/>
          <w:numId w:val="1003"/>
        </w:numPr>
        <w:pStyle w:val="Compact"/>
      </w:pPr>
      <w:r>
        <w:t xml:space="preserve">conduct exploratory analyses of environmental datasets;</w:t>
      </w:r>
    </w:p>
    <w:p>
      <w:pPr>
        <w:numPr>
          <w:ilvl w:val="0"/>
          <w:numId w:val="1003"/>
        </w:numPr>
        <w:pStyle w:val="Compact"/>
      </w:pPr>
      <w:r>
        <w:t xml:space="preserve">discuss best practices for and complexities of data visualization;</w:t>
      </w:r>
    </w:p>
    <w:p>
      <w:pPr>
        <w:numPr>
          <w:ilvl w:val="0"/>
          <w:numId w:val="1003"/>
        </w:numPr>
        <w:pStyle w:val="Compact"/>
      </w:pPr>
      <w:r>
        <w:t xml:space="preserve">calibrate statistical and process-based numerical models using environmental data;</w:t>
      </w:r>
    </w:p>
    <w:p>
      <w:pPr>
        <w:numPr>
          <w:ilvl w:val="0"/>
          <w:numId w:val="1003"/>
        </w:numPr>
        <w:pStyle w:val="Compact"/>
      </w:pPr>
      <w:r>
        <w:t xml:space="preserve">use simulations from calibrated models to identify key sources of uncertainty and model error;</w:t>
      </w:r>
    </w:p>
    <w:p>
      <w:pPr>
        <w:numPr>
          <w:ilvl w:val="0"/>
          <w:numId w:val="1003"/>
        </w:numPr>
        <w:pStyle w:val="Compact"/>
      </w:pPr>
      <w:r>
        <w:t xml:space="preserve">assess model fit and adequacy through predictive ability.</w:t>
      </w:r>
    </w:p>
    <w:bookmarkEnd w:id="24"/>
    <w:bookmarkStart w:id="25" w:name="learning-outcomes"/>
    <w:p>
      <w:pPr>
        <w:pStyle w:val="Heading2"/>
      </w:pPr>
      <w:r>
        <w:t xml:space="preserve">Learning Outcomes</w:t>
      </w:r>
    </w:p>
    <w:p>
      <w:pPr>
        <w:pStyle w:val="FirstParagraph"/>
      </w:pPr>
      <w:r>
        <w:t xml:space="preserve">After completing this class, students will be able to:</w:t>
      </w:r>
    </w:p>
    <w:p>
      <w:pPr>
        <w:numPr>
          <w:ilvl w:val="0"/>
          <w:numId w:val="1004"/>
        </w:numPr>
        <w:pStyle w:val="Compact"/>
      </w:pPr>
      <w:r>
        <w:t xml:space="preserve">create, interpret, and critique data visualizations;</w:t>
      </w:r>
    </w:p>
    <w:p>
      <w:pPr>
        <w:numPr>
          <w:ilvl w:val="0"/>
          <w:numId w:val="1004"/>
        </w:numPr>
        <w:pStyle w:val="Compact"/>
      </w:pPr>
      <w:r>
        <w:t xml:space="preserve">calibrate environmental models to observations, possibly including censored and missing data;</w:t>
      </w:r>
    </w:p>
    <w:p>
      <w:pPr>
        <w:numPr>
          <w:ilvl w:val="0"/>
          <w:numId w:val="1004"/>
        </w:numPr>
        <w:pStyle w:val="Compact"/>
      </w:pPr>
      <w:r>
        <w:t xml:space="preserve">simulate alternative datasets from models using statistical methods such as the bootstrap and Monte Carlo;</w:t>
      </w:r>
    </w:p>
    <w:p>
      <w:pPr>
        <w:numPr>
          <w:ilvl w:val="0"/>
          <w:numId w:val="1004"/>
        </w:numPr>
        <w:pStyle w:val="Compact"/>
      </w:pPr>
      <w:r>
        <w:t xml:space="preserve">assess model adequacy and performance using predictive simulations;</w:t>
      </w:r>
    </w:p>
    <w:p>
      <w:pPr>
        <w:numPr>
          <w:ilvl w:val="0"/>
          <w:numId w:val="1004"/>
        </w:numPr>
        <w:pStyle w:val="Compact"/>
      </w:pPr>
      <w:r>
        <w:t xml:space="preserve">apply and contextualize model selection criteria;</w:t>
      </w:r>
    </w:p>
    <w:p>
      <w:pPr>
        <w:numPr>
          <w:ilvl w:val="0"/>
          <w:numId w:val="1004"/>
        </w:numPr>
        <w:pStyle w:val="Compact"/>
      </w:pPr>
      <w:r>
        <w:t xml:space="preserve">evaluate evidence for and against hypotheses about environmental systems using model simulations;</w:t>
      </w:r>
    </w:p>
    <w:p>
      <w:pPr>
        <w:numPr>
          <w:ilvl w:val="0"/>
          <w:numId w:val="1004"/>
        </w:numPr>
        <w:pStyle w:val="Compact"/>
      </w:pPr>
      <w:r>
        <w:t xml:space="preserve">emulate computationally-complex models with simpler representations.</w:t>
      </w:r>
    </w:p>
    <w:bookmarkEnd w:id="25"/>
    <w:bookmarkStart w:id="29"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One course in programming (</w:t>
      </w:r>
      <w:r>
        <w:rPr>
          <w:iCs/>
          <w:i/>
        </w:rPr>
        <w:t xml:space="preserve">e.g.</w:t>
      </w:r>
      <w:r>
        <w:t xml:space="preserve"> </w:t>
      </w:r>
      <w:r>
        <w:t xml:space="preserve">CS 1110, 1112 or ENGRD/CEE 3200)</w:t>
      </w:r>
    </w:p>
    <w:p>
      <w:pPr>
        <w:numPr>
          <w:ilvl w:val="0"/>
          <w:numId w:val="1005"/>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29"/>
    <w:bookmarkStart w:id="30" w:name="typical-topics"/>
    <w:p>
      <w:pPr>
        <w:pStyle w:val="Heading2"/>
      </w:pPr>
      <w:r>
        <w:t xml:space="preserve">Typical Topics</w:t>
      </w:r>
    </w:p>
    <w:p>
      <w:pPr>
        <w:numPr>
          <w:ilvl w:val="0"/>
          <w:numId w:val="1006"/>
        </w:numPr>
        <w:pStyle w:val="Compact"/>
      </w:pPr>
      <w:r>
        <w:t xml:space="preserve">Introduction to exploratory data analysis;</w:t>
      </w:r>
    </w:p>
    <w:p>
      <w:pPr>
        <w:numPr>
          <w:ilvl w:val="0"/>
          <w:numId w:val="1006"/>
        </w:numPr>
        <w:pStyle w:val="Compact"/>
      </w:pPr>
      <w:r>
        <w:t xml:space="preserve">Review of probability and statistics;</w:t>
      </w:r>
    </w:p>
    <w:p>
      <w:pPr>
        <w:numPr>
          <w:ilvl w:val="0"/>
          <w:numId w:val="1006"/>
        </w:numPr>
        <w:pStyle w:val="Compact"/>
      </w:pPr>
      <w:r>
        <w:t xml:space="preserve">Bayesian decision theory;</w:t>
      </w:r>
    </w:p>
    <w:p>
      <w:pPr>
        <w:numPr>
          <w:ilvl w:val="0"/>
          <w:numId w:val="1006"/>
        </w:numPr>
        <w:pStyle w:val="Compact"/>
      </w:pPr>
      <w:r>
        <w:t xml:space="preserve">Principles of data visualization;</w:t>
      </w:r>
    </w:p>
    <w:p>
      <w:pPr>
        <w:numPr>
          <w:ilvl w:val="0"/>
          <w:numId w:val="1006"/>
        </w:numPr>
        <w:pStyle w:val="Compact"/>
      </w:pPr>
      <w:r>
        <w:t xml:space="preserve">Model residuals and discrepancies;</w:t>
      </w:r>
    </w:p>
    <w:p>
      <w:pPr>
        <w:numPr>
          <w:ilvl w:val="0"/>
          <w:numId w:val="1006"/>
        </w:numPr>
        <w:pStyle w:val="Compact"/>
      </w:pPr>
      <w:r>
        <w:t xml:space="preserve">Censored, truncated, and missing data;</w:t>
      </w:r>
    </w:p>
    <w:p>
      <w:pPr>
        <w:numPr>
          <w:ilvl w:val="0"/>
          <w:numId w:val="1006"/>
        </w:numPr>
        <w:pStyle w:val="Compact"/>
      </w:pPr>
      <w:r>
        <w:t xml:space="preserve">Statistical methods for calibration;</w:t>
      </w:r>
    </w:p>
    <w:p>
      <w:pPr>
        <w:numPr>
          <w:ilvl w:val="0"/>
          <w:numId w:val="1006"/>
        </w:numPr>
        <w:pStyle w:val="Compact"/>
      </w:pPr>
      <w:r>
        <w:t xml:space="preserve">Predictive model assessment;</w:t>
      </w:r>
    </w:p>
    <w:p>
      <w:pPr>
        <w:numPr>
          <w:ilvl w:val="0"/>
          <w:numId w:val="1006"/>
        </w:numPr>
        <w:pStyle w:val="Compact"/>
      </w:pPr>
      <w:r>
        <w:t xml:space="preserve">Emulation with surrogate models</w:t>
      </w:r>
    </w:p>
    <w:bookmarkEnd w:id="30"/>
    <w:bookmarkStart w:id="31" w:name="course-meetings"/>
    <w:p>
      <w:pPr>
        <w:pStyle w:val="Heading2"/>
      </w:pPr>
      <w:r>
        <w:t xml:space="preserve">Course Meetings</w:t>
      </w:r>
    </w:p>
    <w:p>
      <w:pPr>
        <w:pStyle w:val="FirstParagraph"/>
      </w:pPr>
      <w:r>
        <w:t xml:space="preserve">This course meets MWF from 11:40–12:55 in 160 Riley-Robb Hall. In addition to the course meetings (a total of 42 lectures, 50 minutes each), the final project will be due during the university finals period. In addition to the work during the semester, students can expect to devote, on average, 6 hours of effort during the exam period.</w:t>
      </w:r>
    </w:p>
    <w:bookmarkEnd w:id="31"/>
    <w:bookmarkStart w:id="32"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7"/>
        </w:numPr>
        <w:pStyle w:val="Compact"/>
      </w:pPr>
      <w:r>
        <w:t xml:space="preserve">provide organized and focused lectures, in-class activities, and assignments;</w:t>
      </w:r>
    </w:p>
    <w:p>
      <w:pPr>
        <w:numPr>
          <w:ilvl w:val="0"/>
          <w:numId w:val="1007"/>
        </w:numPr>
        <w:pStyle w:val="Compact"/>
      </w:pPr>
      <w:r>
        <w:t xml:space="preserve">encourage students to regularly evaluate and provide feedback on the course;</w:t>
      </w:r>
    </w:p>
    <w:p>
      <w:pPr>
        <w:numPr>
          <w:ilvl w:val="0"/>
          <w:numId w:val="1007"/>
        </w:numPr>
        <w:pStyle w:val="Compact"/>
      </w:pPr>
      <w:r>
        <w:t xml:space="preserve">manage the classroom atmosphere to promote learning;</w:t>
      </w:r>
    </w:p>
    <w:p>
      <w:pPr>
        <w:numPr>
          <w:ilvl w:val="0"/>
          <w:numId w:val="1007"/>
        </w:numPr>
        <w:pStyle w:val="Compact"/>
      </w:pPr>
      <w:r>
        <w:t xml:space="preserve">schedule sufficient out-of-class contact opportunities, such as office hours;</w:t>
      </w:r>
    </w:p>
    <w:p>
      <w:pPr>
        <w:numPr>
          <w:ilvl w:val="0"/>
          <w:numId w:val="1007"/>
        </w:numPr>
        <w:pStyle w:val="Compact"/>
      </w:pPr>
      <w:r>
        <w:t xml:space="preserve">allow adequate time for assignment completion;</w:t>
      </w:r>
    </w:p>
    <w:p>
      <w:pPr>
        <w:numPr>
          <w:ilvl w:val="0"/>
          <w:numId w:val="1007"/>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8"/>
        </w:numPr>
        <w:pStyle w:val="Compact"/>
      </w:pPr>
      <w:r>
        <w:t xml:space="preserve">attending all lectures;</w:t>
      </w:r>
    </w:p>
    <w:p>
      <w:pPr>
        <w:numPr>
          <w:ilvl w:val="0"/>
          <w:numId w:val="1008"/>
        </w:numPr>
        <w:pStyle w:val="Compact"/>
      </w:pPr>
      <w:r>
        <w:t xml:space="preserve">doing any required preparatory work before class;</w:t>
      </w:r>
    </w:p>
    <w:p>
      <w:pPr>
        <w:numPr>
          <w:ilvl w:val="0"/>
          <w:numId w:val="1008"/>
        </w:numPr>
        <w:pStyle w:val="Compact"/>
      </w:pPr>
      <w:r>
        <w:t xml:space="preserve">actively participating in online and in-class discussions;</w:t>
      </w:r>
    </w:p>
    <w:p>
      <w:pPr>
        <w:numPr>
          <w:ilvl w:val="0"/>
          <w:numId w:val="1008"/>
        </w:numPr>
        <w:pStyle w:val="Compact"/>
      </w:pPr>
      <w:r>
        <w:t xml:space="preserve">beginning assignments and other work early;</w:t>
      </w:r>
    </w:p>
    <w:p>
      <w:pPr>
        <w:numPr>
          <w:ilvl w:val="0"/>
          <w:numId w:val="1008"/>
        </w:numPr>
        <w:pStyle w:val="Compact"/>
      </w:pPr>
      <w:r>
        <w:t xml:space="preserve">and attending office hours as needed.</w:t>
      </w:r>
    </w:p>
    <w:bookmarkEnd w:id="32"/>
    <w:bookmarkStart w:id="49" w:name="community"/>
    <w:p>
      <w:pPr>
        <w:pStyle w:val="Heading2"/>
      </w:pPr>
      <w:r>
        <w:t xml:space="preserve">Community</w:t>
      </w:r>
    </w:p>
    <w:bookmarkStart w:id="36"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09"/>
        </w:numPr>
        <w:pStyle w:val="Compact"/>
      </w:pPr>
      <w:r>
        <w:t xml:space="preserve">share their experiences, values, and beliefs;</w:t>
      </w:r>
    </w:p>
    <w:p>
      <w:pPr>
        <w:numPr>
          <w:ilvl w:val="0"/>
          <w:numId w:val="1009"/>
        </w:numPr>
        <w:pStyle w:val="Compact"/>
      </w:pPr>
      <w:r>
        <w:t xml:space="preserve">be open to and respectful of the views of others; and</w:t>
      </w:r>
    </w:p>
    <w:p>
      <w:pPr>
        <w:numPr>
          <w:ilvl w:val="0"/>
          <w:numId w:val="1009"/>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6"/>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7">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important.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If you need more immediate accomodations, but do not yet have a letter, please let me know and then follow up with SDS.</w:t>
            </w:r>
          </w:p>
        </w:tc>
      </w:tr>
    </w:tbl>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0"/>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2"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office-hours"/>
    <w:p>
      <w:pPr>
        <w:pStyle w:val="Heading3"/>
      </w:pPr>
      <w:r>
        <w:t xml:space="preserve">Office Hours</w:t>
      </w:r>
    </w:p>
    <w:p>
      <w:pPr>
        <w:pStyle w:val="FirstParagraph"/>
      </w:pPr>
      <w:r>
        <w:t xml:space="preserve">Office hours will be held in 318 Riley-Robb before class on MW, from 10-11AM, in 318 Riley-Robb Hall. Some time will be available after class for brief questions, but this is limited. If these times do not work for you, or you need some additional time outside of office hours, please reach out to Prof. Srikrishnan about scheduling a meeting. Depending on schedules, these requests may not be accepted on short notice (</w:t>
      </w:r>
      <w:r>
        <w:rPr>
          <w:iCs/>
          <w:i/>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Cs/>
          <w:i/>
        </w:rPr>
        <w:t xml:space="preserve">e.g.</w:t>
      </w:r>
      <w:r>
        <w:t xml:space="preserve"> </w:t>
      </w:r>
      <w:r>
        <w:t xml:space="preserve">debugging) please be kind and make room for others.</w:t>
      </w:r>
    </w:p>
    <w:bookmarkEnd w:id="53"/>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4">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important.png" id="5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1"/>
        </w:numPr>
        <w:pStyle w:val="Compact"/>
      </w:pPr>
      <w:r>
        <w:t xml:space="preserve">reference the URL of the service you are using, including the specific date you accessed it;</w:t>
      </w:r>
    </w:p>
    <w:p>
      <w:pPr>
        <w:numPr>
          <w:ilvl w:val="0"/>
          <w:numId w:val="1011"/>
        </w:numPr>
        <w:pStyle w:val="Compact"/>
      </w:pPr>
      <w:r>
        <w:t xml:space="preserve">provide the exact query or queries used to interact with the tool; and</w:t>
      </w:r>
    </w:p>
    <w:p>
      <w:pPr>
        <w:numPr>
          <w:ilvl w:val="0"/>
          <w:numId w:val="1011"/>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Cs/>
          <w:i/>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Cs/>
          <w:b/>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Cs/>
          <w:i/>
        </w:rPr>
        <w:t xml:space="preserve">My answer agrees with the posted solution, but I still lost points.</w:t>
      </w:r>
      <w:r>
        <w:t xml:space="preserve"> </w:t>
      </w:r>
      <w:r>
        <w:t xml:space="preserve">-</w:t>
      </w:r>
      <w:r>
        <w:t xml:space="preserve"> </w:t>
      </w:r>
      <w:r>
        <w:rPr>
          <w:iCs/>
          <w:i/>
        </w:rPr>
        <w:t xml:space="preserve">I lost 4 points for something, but the rubric says it should only be worth 2 points.</w:t>
      </w:r>
      <w:r>
        <w:t xml:space="preserve"> </w:t>
      </w:r>
      <w:r>
        <w:t xml:space="preserve">-</w:t>
      </w:r>
      <w:r>
        <w:t xml:space="preserve"> </w:t>
      </w:r>
      <w:r>
        <w:rPr>
          <w:iCs/>
          <w:i/>
        </w:rPr>
        <w:t xml:space="preserve">You took points off for something, but it’s right here.</w:t>
      </w:r>
      <w:r>
        <w:t xml:space="preserve"> </w:t>
      </w:r>
      <w:r>
        <w:t xml:space="preserve">-</w:t>
      </w:r>
      <w:r>
        <w:t xml:space="preserve"> </w:t>
      </w:r>
      <w:r>
        <w:rPr>
          <w:iCs/>
          <w:i/>
        </w:rPr>
        <w:t xml:space="preserve">My answer is correct, even though it does not match the posted solution; here is an explanation</w:t>
      </w:r>
      <w:r>
        <w:t xml:space="preserve">.</w:t>
      </w:r>
      <w:r>
        <w:t xml:space="preserve"> </w:t>
      </w:r>
      <w:r>
        <w:t xml:space="preserve">-</w:t>
      </w:r>
      <w:r>
        <w:t xml:space="preserve"> </w:t>
      </w:r>
      <w:r>
        <w:rPr>
          <w:iCs/>
          <w:i/>
        </w:rPr>
        <w:t xml:space="preserve">There is no explanation for my grade</w:t>
      </w:r>
      <w:r>
        <w:t xml:space="preserve">.</w:t>
      </w:r>
      <w:r>
        <w:t xml:space="preserve"> </w:t>
      </w:r>
      <w:r>
        <w:t xml:space="preserve">-</w:t>
      </w:r>
      <w:r>
        <w:t xml:space="preserve"> </w:t>
      </w:r>
      <w:r>
        <w:rPr>
          <w:iCs/>
          <w:i/>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Cs/>
          <w:i/>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We Can Only Grade What You Submitted</w:t>
            </w:r>
          </w:p>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Regrade Requests Can Be A Gamble!</w:t>
            </w:r>
          </w:p>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 Find A Different Type of Mistake?</w:t>
            </w:r>
          </w:p>
          <w:p>
            <w:pPr>
              <w:numPr>
                <w:ilvl w:val="0"/>
                <w:numId w:val="1012"/>
              </w:numPr>
              <w:pStyle w:val="Compact"/>
            </w:pPr>
            <w:r>
              <w:t xml:space="preserve">If you submit a regrade request</w:t>
            </w:r>
            <w:r>
              <w:t xml:space="preserve"> </w:t>
            </w:r>
            <w:r>
              <w:rPr>
                <w:iCs/>
                <w:i/>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numPr>
                <w:ilvl w:val="0"/>
                <w:numId w:val="1012"/>
              </w:numPr>
              <w:pStyle w:val="Compact"/>
            </w:pPr>
            <w:r>
              <w:t xml:space="preserve">If a significant error is discovered in a posted homework solution or in the exam solutions, everyone will in the class will receive</w:t>
            </w:r>
            <w:r>
              <w:t xml:space="preserve"> </w:t>
            </w:r>
            <w:r>
              <w:rPr>
                <w:iCs/>
                <w:i/>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End w:id="72"/>
    <w:bookmarkStart w:id="80" w:name="assessments"/>
    <w:p>
      <w:pPr>
        <w:pStyle w:val="Heading2"/>
      </w:pPr>
      <w:r>
        <w:t xml:space="preserve">Assessments</w:t>
      </w:r>
    </w:p>
    <w:bookmarkStart w:id="73"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3"/>
    <w:bookmarkStart w:id="74"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Assessment</w:t>
            </w:r>
          </w:p>
        </w:tc>
        <w:tc>
          <w:tcPr/>
          <w:p>
            <w:pPr>
              <w:pStyle w:val="Compact"/>
              <w:jc w:val="left"/>
            </w:pPr>
            <w:r>
              <w:t xml:space="preserve">Weight</w:t>
            </w:r>
          </w:p>
        </w:tc>
      </w:tr>
      <w:tr>
        <w:tc>
          <w:tcPr/>
          <w:p>
            <w:pPr>
              <w:pStyle w:val="Compact"/>
              <w:jc w:val="left"/>
            </w:pPr>
            <w:r>
              <w:t xml:space="preserve">Exercises</w:t>
            </w:r>
          </w:p>
        </w:tc>
        <w:tc>
          <w:tcPr/>
          <w:p>
            <w:pPr>
              <w:pStyle w:val="Compact"/>
              <w:jc w:val="left"/>
            </w:pPr>
            <w:r>
              <w:t xml:space="preserve">10%</w:t>
            </w:r>
          </w:p>
        </w:tc>
      </w:tr>
      <w:tr>
        <w:tc>
          <w:tcPr/>
          <w:p>
            <w:pPr>
              <w:pStyle w:val="Compact"/>
              <w:jc w:val="left"/>
            </w:pPr>
            <w:r>
              <w:t xml:space="preserve">Readings</w:t>
            </w:r>
          </w:p>
        </w:tc>
        <w:tc>
          <w:tcPr/>
          <w:p>
            <w:pPr>
              <w:pStyle w:val="Compact"/>
              <w:jc w:val="left"/>
            </w:pPr>
            <w:r>
              <w:t xml:space="preserve">10%</w:t>
            </w:r>
          </w:p>
        </w:tc>
      </w:tr>
      <w:tr>
        <w:tc>
          <w:tcPr/>
          <w:p>
            <w:pPr>
              <w:pStyle w:val="Compact"/>
              <w:jc w:val="left"/>
            </w:pPr>
            <w:r>
              <w:t xml:space="preserve">Literature Critique</w:t>
            </w:r>
          </w:p>
        </w:tc>
        <w:tc>
          <w:tcPr/>
          <w:p>
            <w:pPr>
              <w:pStyle w:val="Compact"/>
              <w:jc w:val="left"/>
            </w:pPr>
            <w:r>
              <w:t xml:space="preserve">15%</w:t>
            </w:r>
          </w:p>
        </w:tc>
      </w:tr>
      <w:tr>
        <w:tc>
          <w:tcPr/>
          <w:p>
            <w:pPr>
              <w:pStyle w:val="Compact"/>
              <w:jc w:val="left"/>
            </w:pPr>
            <w:r>
              <w:t xml:space="preserve">Homework Assignments</w:t>
            </w:r>
          </w:p>
        </w:tc>
        <w:tc>
          <w:tcPr/>
          <w:p>
            <w:pPr>
              <w:pStyle w:val="Compact"/>
              <w:jc w:val="left"/>
            </w:pPr>
            <w:r>
              <w:t xml:space="preserve">30%</w:t>
            </w:r>
          </w:p>
        </w:tc>
      </w:tr>
      <w:tr>
        <w:tc>
          <w:tcPr/>
          <w:p>
            <w:pPr>
              <w:pStyle w:val="Compact"/>
              <w:jc w:val="left"/>
            </w:pPr>
            <w:r>
              <w:t xml:space="preserve">Term Project</w:t>
            </w:r>
          </w:p>
        </w:tc>
        <w:tc>
          <w:tcPr/>
          <w:p>
            <w:pPr>
              <w:pStyle w:val="Compact"/>
              <w:jc w:val="left"/>
            </w:pPr>
            <w:r>
              <w:t xml:space="preserve">35%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93–100</w:t>
            </w:r>
          </w:p>
        </w:tc>
      </w:tr>
      <w:tr>
        <w:tc>
          <w:tcPr/>
          <w:p>
            <w:pPr>
              <w:pStyle w:val="Compact"/>
              <w:jc w:val="center"/>
            </w:pPr>
            <w:r>
              <w:t xml:space="preserve">A-</w:t>
            </w:r>
          </w:p>
        </w:tc>
        <w:tc>
          <w:tcPr/>
          <w:p>
            <w:pPr>
              <w:pStyle w:val="Compact"/>
              <w:jc w:val="left"/>
            </w:pPr>
            <w:r>
              <w:t xml:space="preserve">90–92</w:t>
            </w:r>
          </w:p>
        </w:tc>
      </w:tr>
      <w:tr>
        <w:tc>
          <w:tcPr/>
          <w:p>
            <w:pPr>
              <w:pStyle w:val="Compact"/>
              <w:jc w:val="center"/>
            </w:pPr>
            <w:r>
              <w:t xml:space="preserve">B+</w:t>
            </w:r>
          </w:p>
        </w:tc>
        <w:tc>
          <w:tcPr/>
          <w:p>
            <w:pPr>
              <w:pStyle w:val="Compact"/>
              <w:jc w:val="left"/>
            </w:pPr>
            <w:r>
              <w:t xml:space="preserve">87–89</w:t>
            </w:r>
          </w:p>
        </w:tc>
      </w:tr>
      <w:tr>
        <w:tc>
          <w:tcPr/>
          <w:p>
            <w:pPr>
              <w:pStyle w:val="Compact"/>
              <w:jc w:val="center"/>
            </w:pPr>
            <w:r>
              <w:t xml:space="preserve">B</w:t>
            </w:r>
          </w:p>
        </w:tc>
        <w:tc>
          <w:tcPr/>
          <w:p>
            <w:pPr>
              <w:pStyle w:val="Compact"/>
              <w:jc w:val="left"/>
            </w:pPr>
            <w:r>
              <w:t xml:space="preserve">83–86</w:t>
            </w:r>
          </w:p>
        </w:tc>
      </w:tr>
      <w:tr>
        <w:tc>
          <w:tcPr/>
          <w:p>
            <w:pPr>
              <w:pStyle w:val="Compact"/>
              <w:jc w:val="center"/>
            </w:pPr>
            <w:r>
              <w:t xml:space="preserve">B-</w:t>
            </w:r>
          </w:p>
        </w:tc>
        <w:tc>
          <w:tcPr/>
          <w:p>
            <w:pPr>
              <w:pStyle w:val="Compact"/>
              <w:jc w:val="left"/>
            </w:pPr>
            <w:r>
              <w:t xml:space="preserve">80–82</w:t>
            </w:r>
          </w:p>
        </w:tc>
      </w:tr>
      <w:tr>
        <w:tc>
          <w:tcPr/>
          <w:p>
            <w:pPr>
              <w:pStyle w:val="Compact"/>
              <w:jc w:val="center"/>
            </w:pPr>
            <w:r>
              <w:t xml:space="preserve">C+</w:t>
            </w:r>
          </w:p>
        </w:tc>
        <w:tc>
          <w:tcPr/>
          <w:p>
            <w:pPr>
              <w:pStyle w:val="Compact"/>
              <w:jc w:val="left"/>
            </w:pPr>
            <w:r>
              <w:t xml:space="preserve">77–79</w:t>
            </w:r>
          </w:p>
        </w:tc>
      </w:tr>
      <w:tr>
        <w:tc>
          <w:tcPr/>
          <w:p>
            <w:pPr>
              <w:pStyle w:val="Compact"/>
              <w:jc w:val="center"/>
            </w:pPr>
            <w:r>
              <w:t xml:space="preserve">C</w:t>
            </w:r>
          </w:p>
        </w:tc>
        <w:tc>
          <w:tcPr/>
          <w:p>
            <w:pPr>
              <w:pStyle w:val="Compact"/>
              <w:jc w:val="left"/>
            </w:pPr>
            <w:r>
              <w:t xml:space="preserve">73–76</w:t>
            </w:r>
          </w:p>
        </w:tc>
      </w:tr>
      <w:tr>
        <w:tc>
          <w:tcPr/>
          <w:p>
            <w:pPr>
              <w:pStyle w:val="Compact"/>
              <w:jc w:val="center"/>
            </w:pPr>
            <w:r>
              <w:t xml:space="preserve">C-</w:t>
            </w:r>
          </w:p>
        </w:tc>
        <w:tc>
          <w:tcPr/>
          <w:p>
            <w:pPr>
              <w:pStyle w:val="Compact"/>
              <w:jc w:val="left"/>
            </w:pPr>
            <w:r>
              <w:t xml:space="preserve">70–72</w:t>
            </w:r>
          </w:p>
        </w:tc>
      </w:tr>
      <w:tr>
        <w:tc>
          <w:tcPr/>
          <w:p>
            <w:pPr>
              <w:pStyle w:val="Compact"/>
              <w:jc w:val="center"/>
            </w:pPr>
            <w:r>
              <w:t xml:space="preserve">D+</w:t>
            </w:r>
          </w:p>
        </w:tc>
        <w:tc>
          <w:tcPr/>
          <w:p>
            <w:pPr>
              <w:pStyle w:val="Compact"/>
              <w:jc w:val="left"/>
            </w:pPr>
            <w:r>
              <w:t xml:space="preserve">67–69</w:t>
            </w:r>
          </w:p>
        </w:tc>
      </w:tr>
      <w:tr>
        <w:tc>
          <w:tcPr/>
          <w:p>
            <w:pPr>
              <w:pStyle w:val="Compact"/>
              <w:jc w:val="center"/>
            </w:pPr>
            <w:r>
              <w:t xml:space="preserve">D</w:t>
            </w:r>
          </w:p>
        </w:tc>
        <w:tc>
          <w:tcPr/>
          <w:p>
            <w:pPr>
              <w:pStyle w:val="Compact"/>
              <w:jc w:val="left"/>
            </w:pPr>
            <w:r>
              <w:t xml:space="preserve">63–66</w:t>
            </w:r>
          </w:p>
        </w:tc>
      </w:tr>
      <w:tr>
        <w:tc>
          <w:tcPr/>
          <w:p>
            <w:pPr>
              <w:pStyle w:val="Compact"/>
              <w:jc w:val="center"/>
            </w:pPr>
            <w:r>
              <w:t xml:space="preserve">D-</w:t>
            </w:r>
          </w:p>
        </w:tc>
        <w:tc>
          <w:tcPr/>
          <w:p>
            <w:pPr>
              <w:pStyle w:val="Compact"/>
              <w:jc w:val="left"/>
            </w:pPr>
            <w:r>
              <w:t xml:space="preserve">60–62</w:t>
            </w:r>
          </w:p>
        </w:tc>
      </w:tr>
      <w:tr>
        <w:tc>
          <w:tcPr/>
          <w:p>
            <w:pPr>
              <w:pStyle w:val="Compact"/>
              <w:jc w:val="center"/>
            </w:pPr>
            <w:r>
              <w:t xml:space="preserve">F</w:t>
            </w:r>
          </w:p>
        </w:tc>
        <w:tc>
          <w:tcPr/>
          <w:p>
            <w:pPr>
              <w:pStyle w:val="Compact"/>
              <w:jc w:val="left"/>
            </w:pPr>
            <w:r>
              <w:t xml:space="preserve">&lt; 59</w:t>
            </w:r>
          </w:p>
        </w:tc>
      </w:tr>
    </w:tbl>
    <w:bookmarkEnd w:id="74"/>
    <w:bookmarkStart w:id="75" w:name="exercises"/>
    <w:p>
      <w:pPr>
        <w:pStyle w:val="Heading3"/>
      </w:pPr>
      <w:r>
        <w:t xml:space="preserve">Exercises</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5"/>
    <w:bookmarkStart w:id="76" w:name="readings"/>
    <w:p>
      <w:pPr>
        <w:pStyle w:val="Heading3"/>
      </w:pPr>
      <w:r>
        <w:t xml:space="preserve">Readings</w:t>
      </w:r>
    </w:p>
    <w:p>
      <w:pPr>
        <w:pStyle w:val="FirstParagraph"/>
      </w:pPr>
      <w:r>
        <w:t xml:space="preserve">Readings will be assigned for discussion throughout the semester. One student will be responsible for writing an initial summary and critique of the paper, but all students are expected to contribute to in-class and online discussions.</w:t>
      </w:r>
    </w:p>
    <w:bookmarkEnd w:id="76"/>
    <w:bookmarkStart w:id="77"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 Students enrolled in BEE 5850 will also write a referee report, as if they were a peer reviewer. Students will give an in-class presentation of their paper during one class period. Other students will be asked to submit evaluations of the presentations.</w:t>
      </w:r>
    </w:p>
    <w:bookmarkEnd w:id="77"/>
    <w:bookmarkStart w:id="78"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Rubrics will be provided for the homeworks as part of the assignments.</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Your lowest homework grade will be dropped. We can discuss arrangements if multiple assignments will be missed for university-approved reasons, preferably ahead of time.</w:t>
      </w:r>
    </w:p>
    <w:p>
      <w:pPr>
        <w:numPr>
          <w:ilvl w:val="0"/>
          <w:numId w:val="1013"/>
        </w:numPr>
        <w:pStyle w:val="Compact"/>
      </w:pPr>
      <w:r>
        <w:t xml:space="preserve">Regrade requests for specific problems must be made within a week of the grading of that assignment. However, note that regrades can cut both ways: the TA can take away points as well!</w:t>
      </w:r>
    </w:p>
    <w:bookmarkEnd w:id="78"/>
    <w:bookmarkStart w:id="79"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numPr>
          <w:ilvl w:val="0"/>
          <w:numId w:val="1014"/>
        </w:numPr>
        <w:pStyle w:val="Compact"/>
      </w:pPr>
      <w:r>
        <w:t xml:space="preserve">A proposal describing the research question and hypotheses, the data set, and the numerical or statistical models the student would like to use to test the hypotheses;</w:t>
      </w:r>
    </w:p>
    <w:p>
      <w:pPr>
        <w:numPr>
          <w:ilvl w:val="0"/>
          <w:numId w:val="1014"/>
        </w:numPr>
        <w:pStyle w:val="Compact"/>
      </w:pPr>
      <w:r>
        <w:t xml:space="preserve">A simulation study applying simulation methods to the models;</w:t>
      </w:r>
    </w:p>
    <w:p>
      <w:pPr>
        <w:numPr>
          <w:ilvl w:val="0"/>
          <w:numId w:val="1014"/>
        </w:numPr>
        <w:pStyle w:val="Compact"/>
      </w:pPr>
      <w:r>
        <w:t xml:space="preserve">A final presentation and report.</w:t>
      </w:r>
    </w:p>
    <w:bookmarkEnd w:id="79"/>
    <w:bookmarkEnd w:id="80"/>
    <w:bookmarkStart w:id="81" w:name="tentative-schedule"/>
    <w:p>
      <w:pPr>
        <w:pStyle w:val="Heading2"/>
      </w:pPr>
      <w:r>
        <w:t xml:space="preserve">Tentative Schedule</w:t>
      </w:r>
    </w:p>
    <w:tbl>
      <w:tblPr>
        <w:tblStyle w:val="Table"/>
        <w:tblW w:type="pct" w:w="5000"/>
        <w:tblLook w:firstRow="1" w:lastRow="0" w:firstColumn="0" w:lastColumn="0" w:noHBand="0" w:noVBand="0" w:val="0020"/>
        <w:jc w:val="start"/>
        <w:tblLayout w:type="fixed"/>
      </w:tblPr>
      <w:tblGrid>
        <w:gridCol w:w="709"/>
        <w:gridCol w:w="472"/>
        <w:gridCol w:w="6737"/>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66" Target="media/rId66.png" /><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2024-01-12T17:18:35Z</dcterms:created>
  <dcterms:modified xsi:type="dcterms:W3CDTF">2024-01-12T17:18:35Z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