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90–92</w:t>
            </w:r>
          </w:p>
        </w:tc>
      </w:tr>
      <w:tr>
        <w:tc>
          <w:tcPr/>
          <w:p>
            <w:pPr>
              <w:pStyle w:val="Compact"/>
              <w:jc w:val="center"/>
            </w:pPr>
            <w:r>
              <w:t xml:space="preserve">B+</w:t>
            </w:r>
          </w:p>
        </w:tc>
        <w:tc>
          <w:tcPr/>
          <w:p>
            <w:pPr>
              <w:pStyle w:val="Compact"/>
              <w:jc w:val="left"/>
            </w:pPr>
            <w:r>
              <w:t xml:space="preserve">87–89</w:t>
            </w:r>
          </w:p>
        </w:tc>
      </w:tr>
      <w:tr>
        <w:tc>
          <w:tcPr/>
          <w:p>
            <w:pPr>
              <w:pStyle w:val="Compact"/>
              <w:jc w:val="center"/>
            </w:pPr>
            <w:r>
              <w:t xml:space="preserve">B</w:t>
            </w:r>
          </w:p>
        </w:tc>
        <w:tc>
          <w:tcPr/>
          <w:p>
            <w:pPr>
              <w:pStyle w:val="Compact"/>
              <w:jc w:val="left"/>
            </w:pPr>
            <w:r>
              <w:t xml:space="preserve">83–86</w:t>
            </w:r>
          </w:p>
        </w:tc>
      </w:tr>
      <w:tr>
        <w:tc>
          <w:tcPr/>
          <w:p>
            <w:pPr>
              <w:pStyle w:val="Compact"/>
              <w:jc w:val="center"/>
            </w:pPr>
            <w:r>
              <w:t xml:space="preserve">B-</w:t>
            </w:r>
          </w:p>
        </w:tc>
        <w:tc>
          <w:tcPr/>
          <w:p>
            <w:pPr>
              <w:pStyle w:val="Compact"/>
              <w:jc w:val="left"/>
            </w:pPr>
            <w:r>
              <w:t xml:space="preserve">80–82</w:t>
            </w:r>
          </w:p>
        </w:tc>
      </w:tr>
      <w:tr>
        <w:tc>
          <w:tcPr/>
          <w:p>
            <w:pPr>
              <w:pStyle w:val="Compact"/>
              <w:jc w:val="center"/>
            </w:pPr>
            <w:r>
              <w:t xml:space="preserve">C+</w:t>
            </w:r>
          </w:p>
        </w:tc>
        <w:tc>
          <w:tcPr/>
          <w:p>
            <w:pPr>
              <w:pStyle w:val="Compact"/>
              <w:jc w:val="left"/>
            </w:pPr>
            <w:r>
              <w:t xml:space="preserve">77–79</w:t>
            </w:r>
          </w:p>
        </w:tc>
      </w:tr>
      <w:tr>
        <w:tc>
          <w:tcPr/>
          <w:p>
            <w:pPr>
              <w:pStyle w:val="Compact"/>
              <w:jc w:val="center"/>
            </w:pPr>
            <w:r>
              <w:t xml:space="preserve">C</w:t>
            </w:r>
          </w:p>
        </w:tc>
        <w:tc>
          <w:tcPr/>
          <w:p>
            <w:pPr>
              <w:pStyle w:val="Compact"/>
              <w:jc w:val="left"/>
            </w:pPr>
            <w:r>
              <w:t xml:space="preserve">73–76</w:t>
            </w:r>
          </w:p>
        </w:tc>
      </w:tr>
      <w:tr>
        <w:tc>
          <w:tcPr/>
          <w:p>
            <w:pPr>
              <w:pStyle w:val="Compact"/>
              <w:jc w:val="center"/>
            </w:pPr>
            <w:r>
              <w:t xml:space="preserve">C-</w:t>
            </w:r>
          </w:p>
        </w:tc>
        <w:tc>
          <w:tcPr/>
          <w:p>
            <w:pPr>
              <w:pStyle w:val="Compact"/>
              <w:jc w:val="left"/>
            </w:pPr>
            <w:r>
              <w:t xml:space="preserve">70–72</w:t>
            </w:r>
          </w:p>
        </w:tc>
      </w:tr>
      <w:tr>
        <w:tc>
          <w:tcPr/>
          <w:p>
            <w:pPr>
              <w:pStyle w:val="Compact"/>
              <w:jc w:val="center"/>
            </w:pPr>
            <w:r>
              <w:t xml:space="preserve">D+</w:t>
            </w:r>
          </w:p>
        </w:tc>
        <w:tc>
          <w:tcPr/>
          <w:p>
            <w:pPr>
              <w:pStyle w:val="Compact"/>
              <w:jc w:val="left"/>
            </w:pPr>
            <w:r>
              <w:t xml:space="preserve">67–69</w:t>
            </w:r>
          </w:p>
        </w:tc>
      </w:tr>
      <w:tr>
        <w:tc>
          <w:tcPr/>
          <w:p>
            <w:pPr>
              <w:pStyle w:val="Compact"/>
              <w:jc w:val="center"/>
            </w:pPr>
            <w:r>
              <w:t xml:space="preserve">D</w:t>
            </w:r>
          </w:p>
        </w:tc>
        <w:tc>
          <w:tcPr/>
          <w:p>
            <w:pPr>
              <w:pStyle w:val="Compact"/>
              <w:jc w:val="left"/>
            </w:pPr>
            <w:r>
              <w:t xml:space="preserve">63–66</w:t>
            </w:r>
          </w:p>
        </w:tc>
      </w:tr>
      <w:tr>
        <w:tc>
          <w:tcPr/>
          <w:p>
            <w:pPr>
              <w:pStyle w:val="Compact"/>
              <w:jc w:val="center"/>
            </w:pPr>
            <w:r>
              <w:t xml:space="preserve">D-</w:t>
            </w:r>
          </w:p>
        </w:tc>
        <w:tc>
          <w:tcPr/>
          <w:p>
            <w:pPr>
              <w:pStyle w:val="Compact"/>
              <w:jc w:val="left"/>
            </w:pPr>
            <w:r>
              <w:t xml:space="preserve">60–62</w:t>
            </w:r>
          </w:p>
        </w:tc>
      </w:tr>
      <w:tr>
        <w:tc>
          <w:tcPr/>
          <w:p>
            <w:pPr>
              <w:pStyle w:val="Compact"/>
              <w:jc w:val="center"/>
            </w:pPr>
            <w:r>
              <w:t xml:space="preserve">F</w:t>
            </w:r>
          </w:p>
        </w:tc>
        <w:tc>
          <w:tcPr/>
          <w:p>
            <w:pPr>
              <w:pStyle w:val="Compact"/>
              <w:jc w:val="left"/>
            </w:pPr>
            <w:r>
              <w:t xml:space="preserve">&lt; 59</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One student will be responsible for writing an initial summary and critique of the paper, but all students are expected to contribute to in-class and online discussions.</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Rubrics will be provided for the homeworks as part of the assignments.</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Your lowest homework grade will be dropped. We can discuss arrangements if multiple assignments will be missed for university-approved reasons, preferably ahead of time.</w:t>
      </w:r>
    </w:p>
    <w:p>
      <w:pPr>
        <w:numPr>
          <w:ilvl w:val="0"/>
          <w:numId w:val="1013"/>
        </w:numPr>
        <w:pStyle w:val="Compact"/>
      </w:pPr>
      <w:r>
        <w:t xml:space="preserve">Regrade requests for specific problems must be made within a week of the grading of that assignment. However, note that regrades can cut both ways: the TA can take away points as well!</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2024-01-12T16:43:45Z</dcterms:created>
  <dcterms:modified xsi:type="dcterms:W3CDTF">2024-01-12T16:43:45Z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