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7"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82"/>
    <w:bookmarkStart w:id="83"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83"/>
    <w:bookmarkStart w:id="84"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4"/>
    <w:bookmarkStart w:id="85"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5"/>
    <w:bookmarkStart w:id="86"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simulation study applying simulation methods to the models;</w:t>
      </w:r>
    </w:p>
    <w:p>
      <w:pPr>
        <w:pStyle w:val="Compact"/>
        <w:numPr>
          <w:ilvl w:val="0"/>
          <w:numId w:val="1016"/>
        </w:numPr>
      </w:pPr>
      <w:r>
        <w:t xml:space="preserve">A final presentation and report.</w:t>
      </w:r>
    </w:p>
    <w:bookmarkEnd w:id="86"/>
    <w:bookmarkEnd w:id="87"/>
    <w:bookmarkStart w:id="88"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jc w:val="left"/>
            </w:pPr>
            <w:r>
              <w:t xml:space="preserve">02-03</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Spatial and Temporal Models</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Model Discrepancy and Measurement Error</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Bayesian Statistics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Bootstrap and Monte Carlo Lab</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Overfitting and Cross-Validation</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Information Criteria and Model Comparison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II</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Model Selection Lab</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Latent Variables and Mixture Models</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Mixture Model Lab</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Gaussian Processes II</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2025-01-02T22:48:14Z</dcterms:created>
  <dcterms:modified xsi:type="dcterms:W3CDTF">2025-01-02T22:48:14Z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