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9.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52" w:name="community"/>
    <w:p>
      <w:pPr>
        <w:pStyle w:val="Heading2"/>
      </w:pPr>
      <w:r>
        <w:t xml:space="preserve">Community</w:t>
      </w:r>
    </w:p>
    <w:bookmarkStart w:id="39"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0"/>
        </w:numPr>
      </w:pPr>
      <w:r>
        <w:t xml:space="preserve">share their experiences, values, and beliefs;</w:t>
      </w:r>
    </w:p>
    <w:p>
      <w:pPr>
        <w:pStyle w:val="Compact"/>
        <w:numPr>
          <w:ilvl w:val="0"/>
          <w:numId w:val="1010"/>
        </w:numPr>
      </w:pPr>
      <w:r>
        <w:t xml:space="preserve">be open to and respectful of the views of others; and</w:t>
      </w:r>
    </w:p>
    <w:p>
      <w:pPr>
        <w:pStyle w:val="Compact"/>
        <w:numPr>
          <w:ilvl w:val="0"/>
          <w:numId w:val="1010"/>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9"/>
    <w:bookmarkStart w:id="43"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0">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3"/>
    <w:bookmarkStart w:id="47" w:name="course-communications"/>
    <w:p>
      <w:pPr>
        <w:pStyle w:val="Heading3"/>
      </w:pPr>
      <w:r>
        <w:t xml:space="preserve">Course Communications</w:t>
      </w:r>
    </w:p>
    <w:p>
      <w:pPr>
        <w:pStyle w:val="FirstParagraph"/>
      </w:pPr>
      <w:r>
        <w:t xml:space="preserve">Most course communications will occur via</w:t>
      </w:r>
      <w:r>
        <w:t xml:space="preserve"> </w:t>
      </w:r>
      <w:hyperlink r:id="rId44">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important.png" id="46"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1"/>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1"/>
              </w:numPr>
            </w:pPr>
            <w:r>
              <w:t xml:space="preserve">But if you see unanswered questions and you have some insight, please answer! This class will work best when we all work together as a community.</w:t>
            </w:r>
          </w:p>
        </w:tc>
      </w:tr>
    </w:tbl>
    <w:bookmarkEnd w:id="47"/>
    <w:bookmarkStart w:id="51"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8">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important.png" id="50"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1"/>
    <w:bookmarkEnd w:id="52"/>
    <w:bookmarkStart w:id="74" w:name="course-policies"/>
    <w:p>
      <w:pPr>
        <w:pStyle w:val="Heading2"/>
      </w:pPr>
      <w:r>
        <w:t xml:space="preserve">Course Policies</w:t>
      </w:r>
    </w:p>
    <w:bookmarkStart w:id="55"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5"/>
    <w:bookmarkStart w:id="56"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56"/>
    <w:bookmarkStart w:id="57"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7"/>
    <w:bookmarkStart w:id="62"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0">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1">
        <w:r>
          <w:rPr>
            <w:rStyle w:val="Hyperlink"/>
          </w:rPr>
          <w:t xml:space="preserve">American Society for Civil Engineers’ Code of Ethics</w:t>
        </w:r>
      </w:hyperlink>
      <w:r>
        <w:t xml:space="preserve">).</w:t>
      </w:r>
    </w:p>
    <w:bookmarkEnd w:id="62"/>
    <w:bookmarkStart w:id="63"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3"/>
    <w:bookmarkStart w:id="64"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pStyle w:val="Compact"/>
        <w:numPr>
          <w:ilvl w:val="0"/>
          <w:numId w:val="1012"/>
        </w:numPr>
      </w:pPr>
      <w:r>
        <w:t xml:space="preserve">reference the URL of the service you are using, including the specific date you accessed it;</w:t>
      </w:r>
    </w:p>
    <w:p>
      <w:pPr>
        <w:pStyle w:val="Compact"/>
        <w:numPr>
          <w:ilvl w:val="0"/>
          <w:numId w:val="1012"/>
        </w:numPr>
      </w:pPr>
      <w:r>
        <w:t xml:space="preserve">provide the exact query or queries used to interact with the tool; and</w:t>
      </w:r>
    </w:p>
    <w:p>
      <w:pPr>
        <w:pStyle w:val="Compact"/>
        <w:numPr>
          <w:ilvl w:val="0"/>
          <w:numId w:val="1012"/>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4"/>
    <w:bookmarkStart w:id="65"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5"/>
    <w:bookmarkStart w:id="73"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important.png" id="67"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tip.png" id="72"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3"/>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3"/>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3"/>
    <w:bookmarkEnd w:id="74"/>
    <w:bookmarkStart w:id="82" w:name="assessments"/>
    <w:p>
      <w:pPr>
        <w:pStyle w:val="Heading2"/>
      </w:pPr>
      <w:r>
        <w:t xml:space="preserve">Assessments</w:t>
      </w:r>
    </w:p>
    <w:bookmarkStart w:id="75"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5"/>
    <w:bookmarkStart w:id="76"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76"/>
    <w:bookmarkStart w:id="77"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7"/>
    <w:bookmarkStart w:id="78"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8"/>
    <w:bookmarkStart w:id="79"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w:t>
      </w:r>
    </w:p>
    <w:bookmarkEnd w:id="79"/>
    <w:bookmarkStart w:id="80"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4"/>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4"/>
        </w:numPr>
      </w:pPr>
      <w:r>
        <w:t xml:space="preserve">A standard rubric is available.</w:t>
      </w:r>
    </w:p>
    <w:p>
      <w:pPr>
        <w:pStyle w:val="Compact"/>
        <w:numPr>
          <w:ilvl w:val="0"/>
          <w:numId w:val="1014"/>
        </w:numPr>
      </w:pPr>
      <w:r>
        <w:t xml:space="preserve">Students in 5850 will be asked to complete additional homework problems which go more deeply into the underlying concepts or apply more advanced techniques.</w:t>
      </w:r>
    </w:p>
    <w:p>
      <w:pPr>
        <w:pStyle w:val="Compact"/>
        <w:numPr>
          <w:ilvl w:val="0"/>
          <w:numId w:val="1014"/>
        </w:numPr>
      </w:pPr>
      <w:r>
        <w:t xml:space="preserve">Regrade requests for specific problems must be made within a week of the grading of that assignment.</w:t>
      </w:r>
    </w:p>
    <w:bookmarkEnd w:id="80"/>
    <w:bookmarkStart w:id="81"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pStyle w:val="Compact"/>
        <w:numPr>
          <w:ilvl w:val="0"/>
          <w:numId w:val="1015"/>
        </w:numPr>
      </w:pPr>
      <w:r>
        <w:t xml:space="preserve">A proposal describing the research question and hypotheses, the data set, and the numerical or statistical models the student would like to use to test the hypotheses;</w:t>
      </w:r>
    </w:p>
    <w:p>
      <w:pPr>
        <w:pStyle w:val="Compact"/>
        <w:numPr>
          <w:ilvl w:val="0"/>
          <w:numId w:val="1015"/>
        </w:numPr>
      </w:pPr>
      <w:r>
        <w:t xml:space="preserve">A simulation study applying simulation methods to the models;</w:t>
      </w:r>
    </w:p>
    <w:p>
      <w:pPr>
        <w:pStyle w:val="Compact"/>
        <w:numPr>
          <w:ilvl w:val="0"/>
          <w:numId w:val="1015"/>
        </w:numPr>
      </w:pPr>
      <w:r>
        <w:t xml:space="preserve">A final presentation and report.</w:t>
      </w:r>
    </w:p>
    <w:bookmarkEnd w:id="81"/>
    <w:bookmarkEnd w:id="82"/>
    <w:bookmarkStart w:id="83" w:name="tentative-schedule"/>
    <w:p>
      <w:pPr>
        <w:pStyle w:val="Heading2"/>
      </w:pPr>
      <w:r>
        <w:t xml:space="preserve">Tentative Schedule</w:t>
      </w:r>
    </w:p>
    <w:tbl>
      <w:tblPr>
        <w:tblStyle w:val="Table"/>
        <w:tblW w:type="pct" w:w="5000"/>
        <w:tblLayout w:type="fixed"/>
        <w:tblLook w:firstRow="1" w:lastRow="0" w:firstColumn="0" w:lastColumn="0" w:noHBand="0" w:noVBand="0" w:val="0020"/>
      </w:tblPr>
      <w:tblGrid>
        <w:gridCol w:w="709"/>
        <w:gridCol w:w="472"/>
        <w:gridCol w:w="6737"/>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b/>
                <w:bCs/>
                <w:i/>
                <w:iCs/>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b/>
                <w:bCs/>
                <w:i/>
                <w:iCs/>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
                <w:iCs/>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
                <w:iCs/>
              </w:rPr>
              <w:t xml:space="preserve">Spring Break</w:t>
            </w:r>
          </w:p>
        </w:tc>
      </w:tr>
      <w:tr>
        <w:tc>
          <w:tcPr/>
          <w:p>
            <w:pPr>
              <w:pStyle w:val="Compact"/>
            </w:pPr>
          </w:p>
        </w:tc>
        <w:tc>
          <w:tcPr/>
          <w:p>
            <w:pPr>
              <w:pStyle w:val="Compact"/>
            </w:pPr>
          </w:p>
        </w:tc>
        <w:tc>
          <w:tcPr/>
          <w:p>
            <w:pPr>
              <w:pStyle w:val="Compact"/>
              <w:jc w:val="left"/>
            </w:pPr>
            <w:r>
              <w:rPr>
                <w:b/>
                <w:bCs/>
                <w:i/>
                <w:iCs/>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b/>
                <w:bCs/>
                <w:i/>
                <w:iCs/>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b/>
                <w:bCs/>
                <w:i/>
                <w:iCs/>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image" Id="rId68" Target="media/rId68.png" /><Relationship Type="http://schemas.openxmlformats.org/officeDocument/2006/relationships/hyperlink" Id="rId60" Target="http://theuniversityfaculty.cornell.edu/academic-integrity/" TargetMode="External" /><Relationship Type="http://schemas.openxmlformats.org/officeDocument/2006/relationships/hyperlink" Id="rId44" Target="https://edstem.org" TargetMode="External" /><Relationship Type="http://schemas.openxmlformats.org/officeDocument/2006/relationships/hyperlink" Id="rId48" Target="https://mentalhealth.cornell.edu/" TargetMode="External" /><Relationship Type="http://schemas.openxmlformats.org/officeDocument/2006/relationships/hyperlink" Id="rId40" Target="https://sds.cornell.edu/" TargetMode="External" /><Relationship Type="http://schemas.openxmlformats.org/officeDocument/2006/relationships/hyperlink" Id="rId20" Target="https://viveks.me" TargetMode="External" /><Relationship Type="http://schemas.openxmlformats.org/officeDocument/2006/relationships/hyperlink" Id="rId61"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0" Target="http://theuniversityfaculty.cornell.edu/academic-integrity/" TargetMode="External" /><Relationship Type="http://schemas.openxmlformats.org/officeDocument/2006/relationships/hyperlink" Id="rId44" Target="https://edstem.org" TargetMode="External" /><Relationship Type="http://schemas.openxmlformats.org/officeDocument/2006/relationships/hyperlink" Id="rId48" Target="https://mentalhealth.cornell.edu/" TargetMode="External" /><Relationship Type="http://schemas.openxmlformats.org/officeDocument/2006/relationships/hyperlink" Id="rId40" Target="https://sds.cornell.edu/" TargetMode="External" /><Relationship Type="http://schemas.openxmlformats.org/officeDocument/2006/relationships/hyperlink" Id="rId20" Target="https://viveks.me" TargetMode="External" /><Relationship Type="http://schemas.openxmlformats.org/officeDocument/2006/relationships/hyperlink" Id="rId61"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2024-12-26T23:54:59Z</dcterms:created>
  <dcterms:modified xsi:type="dcterms:W3CDTF">2024-12-26T23:54:59Z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