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6550B" w14:textId="77777777" w:rsidR="000C107D" w:rsidRPr="00AF4F12" w:rsidRDefault="000C107D" w:rsidP="00FF405A">
      <w:pPr>
        <w:pStyle w:val="Heading2"/>
        <w:rPr>
          <w:rFonts w:ascii="Calibri" w:hAnsi="Calibri" w:cs="Calibri"/>
          <w:b/>
          <w:bCs/>
          <w:color w:val="000000" w:themeColor="text1"/>
          <w:sz w:val="22"/>
          <w:szCs w:val="22"/>
        </w:rPr>
      </w:pPr>
      <w:r w:rsidRPr="00AF4F12">
        <w:rPr>
          <w:rFonts w:ascii="Calibri" w:hAnsi="Calibri" w:cs="Calibri"/>
          <w:b/>
          <w:bCs/>
          <w:color w:val="000000" w:themeColor="text1"/>
          <w:sz w:val="22"/>
          <w:szCs w:val="22"/>
        </w:rPr>
        <w:t xml:space="preserve">Michal </w:t>
      </w:r>
      <w:proofErr w:type="spellStart"/>
      <w:r w:rsidRPr="00AF4F12">
        <w:rPr>
          <w:rFonts w:ascii="Calibri" w:hAnsi="Calibri" w:cs="Calibri"/>
          <w:b/>
          <w:bCs/>
          <w:color w:val="000000" w:themeColor="text1"/>
          <w:sz w:val="22"/>
          <w:szCs w:val="22"/>
        </w:rPr>
        <w:t>Sobierajski</w:t>
      </w:r>
      <w:proofErr w:type="spellEnd"/>
      <w:r w:rsidRPr="00AF4F12">
        <w:rPr>
          <w:rFonts w:ascii="Calibri" w:hAnsi="Calibri" w:cs="Calibri"/>
          <w:b/>
          <w:bCs/>
          <w:color w:val="000000" w:themeColor="text1"/>
          <w:sz w:val="22"/>
          <w:szCs w:val="22"/>
        </w:rPr>
        <w:t>, Vivek Sriram, and Matthew Kim</w:t>
      </w:r>
    </w:p>
    <w:p w14:paraId="2C7D014C" w14:textId="54E938D3" w:rsidR="000C107D" w:rsidRPr="00AF4F12" w:rsidRDefault="000C107D" w:rsidP="00FF405A">
      <w:pPr>
        <w:pStyle w:val="Heading2"/>
        <w:rPr>
          <w:rFonts w:ascii="Calibri" w:hAnsi="Calibri" w:cs="Calibri"/>
          <w:b/>
          <w:bCs/>
          <w:color w:val="000000" w:themeColor="text1"/>
          <w:sz w:val="22"/>
          <w:szCs w:val="22"/>
        </w:rPr>
      </w:pPr>
      <w:r w:rsidRPr="00AF4F12">
        <w:rPr>
          <w:rFonts w:ascii="Calibri" w:hAnsi="Calibri" w:cs="Calibri"/>
          <w:b/>
          <w:bCs/>
          <w:color w:val="000000" w:themeColor="text1"/>
          <w:sz w:val="22"/>
          <w:szCs w:val="22"/>
        </w:rPr>
        <w:t>Statistics 571/701 Final Project</w:t>
      </w:r>
    </w:p>
    <w:p w14:paraId="1235C87A" w14:textId="36A0A633" w:rsidR="000C107D" w:rsidRPr="00AF4F12" w:rsidRDefault="000C107D" w:rsidP="000C107D">
      <w:pPr>
        <w:rPr>
          <w:rFonts w:ascii="Calibri" w:hAnsi="Calibri" w:cs="Calibri"/>
          <w:b/>
          <w:bCs/>
          <w:color w:val="000000" w:themeColor="text1"/>
        </w:rPr>
      </w:pPr>
      <w:r w:rsidRPr="00AF4F12">
        <w:rPr>
          <w:rFonts w:ascii="Calibri" w:hAnsi="Calibri" w:cs="Calibri"/>
          <w:b/>
          <w:bCs/>
          <w:color w:val="000000" w:themeColor="text1"/>
        </w:rPr>
        <w:t>May 9</w:t>
      </w:r>
      <w:r w:rsidRPr="00AF4F12">
        <w:rPr>
          <w:rFonts w:ascii="Calibri" w:hAnsi="Calibri" w:cs="Calibri"/>
          <w:b/>
          <w:bCs/>
          <w:color w:val="000000" w:themeColor="text1"/>
          <w:vertAlign w:val="superscript"/>
        </w:rPr>
        <w:t>th</w:t>
      </w:r>
      <w:r w:rsidRPr="00AF4F12">
        <w:rPr>
          <w:rFonts w:ascii="Calibri" w:hAnsi="Calibri" w:cs="Calibri"/>
          <w:b/>
          <w:bCs/>
          <w:color w:val="000000" w:themeColor="text1"/>
        </w:rPr>
        <w:t>, 2021</w:t>
      </w:r>
    </w:p>
    <w:p w14:paraId="4C14CC97" w14:textId="77777777" w:rsidR="00AF4F12" w:rsidRPr="00AF4F12" w:rsidRDefault="00AF4F12" w:rsidP="000C107D">
      <w:pPr>
        <w:rPr>
          <w:rFonts w:ascii="Calibri" w:hAnsi="Calibri" w:cs="Calibri"/>
          <w:b/>
          <w:bCs/>
          <w:color w:val="000000" w:themeColor="text1"/>
        </w:rPr>
      </w:pPr>
    </w:p>
    <w:p w14:paraId="018F8E75" w14:textId="54F9A36E" w:rsidR="000C107D" w:rsidRPr="00AF4F12" w:rsidRDefault="00E214C5" w:rsidP="00AF4F12">
      <w:pPr>
        <w:jc w:val="center"/>
        <w:rPr>
          <w:rFonts w:ascii="Calibri" w:hAnsi="Calibri" w:cs="Calibri"/>
          <w:b/>
          <w:bCs/>
          <w:color w:val="000000" w:themeColor="text1"/>
        </w:rPr>
      </w:pPr>
      <w:r w:rsidRPr="00AF4F12">
        <w:rPr>
          <w:rFonts w:ascii="Calibri" w:hAnsi="Calibri" w:cs="Calibri"/>
          <w:b/>
          <w:bCs/>
          <w:color w:val="000000" w:themeColor="text1"/>
        </w:rPr>
        <w:t>The Greatest Wealth is Health: Investigating Connections between Health Statistics and Happiness Index across the Globe</w:t>
      </w:r>
    </w:p>
    <w:p w14:paraId="2BD04116" w14:textId="52A791C2" w:rsidR="00EA2B48" w:rsidRPr="00FF405A" w:rsidRDefault="007972A8" w:rsidP="00FF405A">
      <w:pPr>
        <w:pStyle w:val="Heading2"/>
        <w:rPr>
          <w:b/>
          <w:bCs/>
        </w:rPr>
      </w:pPr>
      <w:r w:rsidRPr="00FF405A">
        <w:rPr>
          <w:b/>
          <w:bCs/>
        </w:rPr>
        <w:t>Overview</w:t>
      </w:r>
    </w:p>
    <w:p w14:paraId="115D227C" w14:textId="41380F1A" w:rsidR="000574B3" w:rsidRDefault="007972A8" w:rsidP="000574B3">
      <w:pPr>
        <w:pStyle w:val="NoSpacing"/>
      </w:pPr>
      <w:r>
        <w:t xml:space="preserve">We are looking to explore the relationship between country happiness metrics and country healthcare indicators. </w:t>
      </w:r>
      <w:r w:rsidR="000574B3">
        <w:t>Traditionally thought of us as being defined by wealth, we are looking to explain the intra-country happiness variance through healthcare indicators.</w:t>
      </w:r>
      <w:r w:rsidR="00BD5D46">
        <w:t xml:space="preserve"> The aim is to extend studies documented on Kaggle with new variables.</w:t>
      </w:r>
      <w:r w:rsidR="000574B3">
        <w:t xml:space="preserve"> Our motivation starts with Maslow’s hierarchy of needs, where we can find Physiological and Safety needs ranking higher than Psychological and Self-actualisation needs.</w:t>
      </w:r>
    </w:p>
    <w:p w14:paraId="5D5C155B" w14:textId="77777777" w:rsidR="000574B3" w:rsidRDefault="000574B3" w:rsidP="000574B3">
      <w:pPr>
        <w:pStyle w:val="NoSpacing"/>
      </w:pPr>
    </w:p>
    <w:p w14:paraId="22FE2B77" w14:textId="09B0DF73" w:rsidR="005D086C" w:rsidRPr="005D086C" w:rsidRDefault="005D086C" w:rsidP="005D086C">
      <w:pPr>
        <w:pStyle w:val="NoSpacing"/>
      </w:pPr>
      <w:r w:rsidRPr="005D086C">
        <w:t>Our research finds several key variables that impact country level happiness, including substance abuse (tobacco and alcohol), infrastructure concerns (road traffic &amp; clean fuel/technology) and healthcare quality-affordability (% spent vs probability of death from disease).</w:t>
      </w:r>
      <w:r>
        <w:t xml:space="preserve"> We believe these findings should motivate discussions around addressing these concerns, particularly given how directly government controls can impact most of them.</w:t>
      </w:r>
    </w:p>
    <w:p w14:paraId="79775B5E" w14:textId="1F68E720" w:rsidR="007972A8" w:rsidRDefault="007972A8" w:rsidP="00E800A1">
      <w:pPr>
        <w:pStyle w:val="NoSpacing"/>
      </w:pPr>
    </w:p>
    <w:p w14:paraId="167788C0" w14:textId="2CBC2339" w:rsidR="007972A8" w:rsidRPr="00FF405A" w:rsidRDefault="00A60917" w:rsidP="00FF405A">
      <w:pPr>
        <w:pStyle w:val="Heading2"/>
        <w:rPr>
          <w:b/>
          <w:bCs/>
        </w:rPr>
      </w:pPr>
      <w:r>
        <w:rPr>
          <w:b/>
          <w:bCs/>
        </w:rPr>
        <w:t>Project Motivation</w:t>
      </w:r>
    </w:p>
    <w:p w14:paraId="620BE771" w14:textId="6CA35714" w:rsidR="00BC59C0" w:rsidRPr="00BC59C0" w:rsidRDefault="00E5085B" w:rsidP="006972B3">
      <w:pPr>
        <w:pStyle w:val="NoSpacing"/>
        <w:rPr>
          <w:b/>
          <w:bCs/>
          <w:u w:val="single"/>
        </w:rPr>
      </w:pPr>
      <w:r>
        <w:rPr>
          <w:b/>
          <w:bCs/>
          <w:u w:val="single"/>
        </w:rPr>
        <w:t>Happiness Definition</w:t>
      </w:r>
    </w:p>
    <w:p w14:paraId="76301679" w14:textId="63B99812" w:rsidR="006972B3" w:rsidRDefault="006972B3" w:rsidP="006972B3">
      <w:pPr>
        <w:pStyle w:val="NoSpacing"/>
      </w:pPr>
      <w:r>
        <w:t xml:space="preserve">The independent variable we are looking to explain is country happiness. A qualitative metric, happiness can either be proxied through various variables or estimated through surveys. As part of our research, we focus on the Gallup Happiness metric. Conducting an annual poll, Gallup asks respondents rate their current lives on a 0 to 10 scale, 10 being the best possible life and 0 being the worst possible life. </w:t>
      </w:r>
    </w:p>
    <w:p w14:paraId="2DDB03D6" w14:textId="77777777" w:rsidR="006972B3" w:rsidRDefault="006972B3" w:rsidP="006972B3">
      <w:pPr>
        <w:pStyle w:val="NoSpacing"/>
      </w:pPr>
    </w:p>
    <w:p w14:paraId="462F0787" w14:textId="77777777" w:rsidR="006972B3" w:rsidRDefault="006972B3" w:rsidP="006972B3">
      <w:pPr>
        <w:pStyle w:val="NoSpacing"/>
      </w:pPr>
      <w:r>
        <w:rPr>
          <w:noProof/>
        </w:rPr>
        <w:drawing>
          <wp:inline distT="0" distB="0" distL="0" distR="0" wp14:anchorId="69F7E1A5" wp14:editId="65985DE4">
            <wp:extent cx="5731510" cy="15982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713"/>
                    <a:stretch/>
                  </pic:blipFill>
                  <pic:spPr bwMode="auto">
                    <a:xfrm>
                      <a:off x="0" y="0"/>
                      <a:ext cx="5731510" cy="1598295"/>
                    </a:xfrm>
                    <a:prstGeom prst="rect">
                      <a:avLst/>
                    </a:prstGeom>
                    <a:ln>
                      <a:noFill/>
                    </a:ln>
                    <a:extLst>
                      <a:ext uri="{53640926-AAD7-44D8-BBD7-CCE9431645EC}">
                        <a14:shadowObscured xmlns:a14="http://schemas.microsoft.com/office/drawing/2010/main"/>
                      </a:ext>
                    </a:extLst>
                  </pic:spPr>
                </pic:pic>
              </a:graphicData>
            </a:graphic>
          </wp:inline>
        </w:drawing>
      </w:r>
    </w:p>
    <w:p w14:paraId="15409745" w14:textId="77777777" w:rsidR="006972B3" w:rsidRDefault="006972B3" w:rsidP="006972B3">
      <w:pPr>
        <w:pStyle w:val="NoSpacing"/>
      </w:pPr>
      <w:r>
        <w:t>Source: Gallup,</w:t>
      </w:r>
      <w:r w:rsidRPr="0050757F">
        <w:t xml:space="preserve"> </w:t>
      </w:r>
      <w:hyperlink r:id="rId9" w:history="1">
        <w:r w:rsidRPr="00FC7A8B">
          <w:rPr>
            <w:rStyle w:val="Hyperlink"/>
          </w:rPr>
          <w:t>https://news.gallup.com/poll/266057/gallup-global-happiness-center.aspx</w:t>
        </w:r>
      </w:hyperlink>
    </w:p>
    <w:p w14:paraId="554293E2" w14:textId="1F8535EB" w:rsidR="006972B3" w:rsidRDefault="006972B3" w:rsidP="007972A8">
      <w:pPr>
        <w:pStyle w:val="NoSpacing"/>
        <w:rPr>
          <w:b/>
          <w:bCs/>
          <w:u w:val="single"/>
        </w:rPr>
      </w:pPr>
    </w:p>
    <w:p w14:paraId="5039730E" w14:textId="743DF0CD" w:rsidR="00360669" w:rsidRDefault="00E6079F" w:rsidP="007972A8">
      <w:pPr>
        <w:pStyle w:val="NoSpacing"/>
      </w:pPr>
      <w:r>
        <w:t>This data set is available through Kaggle (</w:t>
      </w:r>
      <w:hyperlink r:id="rId10" w:history="1">
        <w:r w:rsidRPr="00FC7A8B">
          <w:rPr>
            <w:rStyle w:val="Hyperlink"/>
          </w:rPr>
          <w:t>https://www.kaggle.com/unsdsn/world-happiness</w:t>
        </w:r>
      </w:hyperlink>
      <w:r>
        <w:t xml:space="preserve">) and as part of annual reports prepared by Gallup and the </w:t>
      </w:r>
      <w:r w:rsidRPr="00E6079F">
        <w:t>United Nations Sustainable Development Solutions Network</w:t>
      </w:r>
      <w:r>
        <w:t xml:space="preserve"> (“SDSN”, </w:t>
      </w:r>
      <w:hyperlink r:id="rId11" w:history="1">
        <w:r w:rsidRPr="00FC7A8B">
          <w:rPr>
            <w:rStyle w:val="Hyperlink"/>
          </w:rPr>
          <w:t>https://worldhappiness.report/</w:t>
        </w:r>
      </w:hyperlink>
      <w:r>
        <w:t xml:space="preserve">). </w:t>
      </w:r>
      <w:r w:rsidR="00360669">
        <w:t xml:space="preserve">We make use of happiness data for 150+ countries, choosing their 2020 value over earlier data points. </w:t>
      </w:r>
    </w:p>
    <w:p w14:paraId="5DD86049" w14:textId="796F9E7B" w:rsidR="00360669" w:rsidRDefault="00360669" w:rsidP="007972A8">
      <w:pPr>
        <w:pStyle w:val="NoSpacing"/>
      </w:pPr>
    </w:p>
    <w:p w14:paraId="41F1DD51" w14:textId="0C037DB9" w:rsidR="00E5085B" w:rsidRPr="00BC59C0" w:rsidRDefault="00E5085B" w:rsidP="00E5085B">
      <w:pPr>
        <w:pStyle w:val="NoSpacing"/>
        <w:rPr>
          <w:b/>
          <w:bCs/>
          <w:u w:val="single"/>
        </w:rPr>
      </w:pPr>
      <w:r>
        <w:rPr>
          <w:b/>
          <w:bCs/>
          <w:u w:val="single"/>
        </w:rPr>
        <w:t>Importance of measuring happiness to predict population discontent</w:t>
      </w:r>
    </w:p>
    <w:p w14:paraId="54723776" w14:textId="46FFC93F" w:rsidR="00E6079F" w:rsidRDefault="00896D79" w:rsidP="007972A8">
      <w:pPr>
        <w:pStyle w:val="NoSpacing"/>
      </w:pPr>
      <w:r>
        <w:lastRenderedPageBreak/>
        <w:t>Although difficult to observe, population happiness is a key variable for governments. As evidenced by World Bank research</w:t>
      </w:r>
      <w:r>
        <w:rPr>
          <w:rStyle w:val="FootnoteReference"/>
        </w:rPr>
        <w:footnoteReference w:id="1"/>
      </w:r>
      <w:r>
        <w:t>, negative happiness trends have pre-empted major protests in the Arab world known as the ‘Arab Spring’. Similarly, HSE research has indicated 2010 happiness levels provided a much more accurate forecast of the Arab Spring than macro indices such as employment of GDP/capita data.</w:t>
      </w:r>
      <w:r>
        <w:rPr>
          <w:rStyle w:val="FootnoteReference"/>
        </w:rPr>
        <w:footnoteReference w:id="2"/>
      </w:r>
    </w:p>
    <w:p w14:paraId="7313A84C" w14:textId="542C5A5A" w:rsidR="00896D79" w:rsidRDefault="00896D79" w:rsidP="007972A8">
      <w:pPr>
        <w:pStyle w:val="NoSpacing"/>
      </w:pPr>
    </w:p>
    <w:p w14:paraId="44931A84" w14:textId="6C0C7B53" w:rsidR="00896D79" w:rsidRDefault="00896D79" w:rsidP="007972A8">
      <w:pPr>
        <w:pStyle w:val="NoSpacing"/>
      </w:pPr>
      <w:r>
        <w:rPr>
          <w:noProof/>
        </w:rPr>
        <w:drawing>
          <wp:inline distT="0" distB="0" distL="0" distR="0" wp14:anchorId="6EBB3767" wp14:editId="644FFF92">
            <wp:extent cx="5731510" cy="2649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49855"/>
                    </a:xfrm>
                    <a:prstGeom prst="rect">
                      <a:avLst/>
                    </a:prstGeom>
                  </pic:spPr>
                </pic:pic>
              </a:graphicData>
            </a:graphic>
          </wp:inline>
        </w:drawing>
      </w:r>
    </w:p>
    <w:p w14:paraId="35E3FF96" w14:textId="141D1D6B" w:rsidR="00896D79" w:rsidRDefault="00896D79" w:rsidP="007972A8">
      <w:pPr>
        <w:pStyle w:val="NoSpacing"/>
      </w:pPr>
      <w:r>
        <w:t xml:space="preserve">Source: Gallup, World Bank </w:t>
      </w:r>
    </w:p>
    <w:p w14:paraId="4F1FDD33" w14:textId="1475D8AE" w:rsidR="00896D79" w:rsidRDefault="00896D79" w:rsidP="007972A8">
      <w:pPr>
        <w:pStyle w:val="NoSpacing"/>
      </w:pPr>
    </w:p>
    <w:p w14:paraId="080634F3" w14:textId="5B64955B" w:rsidR="00896D79" w:rsidRDefault="00896D79" w:rsidP="007972A8">
      <w:pPr>
        <w:pStyle w:val="NoSpacing"/>
      </w:pPr>
      <w:r>
        <w:rPr>
          <w:noProof/>
        </w:rPr>
        <w:lastRenderedPageBreak/>
        <w:drawing>
          <wp:inline distT="0" distB="0" distL="0" distR="0" wp14:anchorId="29E5E725" wp14:editId="281DC27B">
            <wp:extent cx="5657850" cy="425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4257675"/>
                    </a:xfrm>
                    <a:prstGeom prst="rect">
                      <a:avLst/>
                    </a:prstGeom>
                  </pic:spPr>
                </pic:pic>
              </a:graphicData>
            </a:graphic>
          </wp:inline>
        </w:drawing>
      </w:r>
    </w:p>
    <w:p w14:paraId="5B356715" w14:textId="274524A5" w:rsidR="00896D79" w:rsidRDefault="00896D79" w:rsidP="00896D79">
      <w:pPr>
        <w:pStyle w:val="NoSpacing"/>
      </w:pPr>
      <w:r>
        <w:t>Source: National Research University Higher School of Economics</w:t>
      </w:r>
    </w:p>
    <w:p w14:paraId="3CC2BAAC" w14:textId="18BAB03E" w:rsidR="00896D79" w:rsidRDefault="00896D79" w:rsidP="007972A8">
      <w:pPr>
        <w:pStyle w:val="NoSpacing"/>
      </w:pPr>
    </w:p>
    <w:p w14:paraId="4D07FFE8" w14:textId="46F148C3" w:rsidR="00CC2571" w:rsidRDefault="00CC2571" w:rsidP="007972A8">
      <w:pPr>
        <w:pStyle w:val="NoSpacing"/>
      </w:pPr>
    </w:p>
    <w:p w14:paraId="318146BE" w14:textId="4783C210" w:rsidR="00CC2571" w:rsidRDefault="00CC2571" w:rsidP="007972A8">
      <w:pPr>
        <w:pStyle w:val="NoSpacing"/>
      </w:pPr>
    </w:p>
    <w:p w14:paraId="24B8ADE4" w14:textId="5BF3C1A5" w:rsidR="00CC2571" w:rsidRDefault="00CC2571" w:rsidP="007972A8">
      <w:pPr>
        <w:pStyle w:val="NoSpacing"/>
      </w:pPr>
    </w:p>
    <w:p w14:paraId="3158AB29" w14:textId="31AB2407" w:rsidR="00CC2571" w:rsidRDefault="00CC2571" w:rsidP="007972A8">
      <w:pPr>
        <w:pStyle w:val="NoSpacing"/>
      </w:pPr>
    </w:p>
    <w:p w14:paraId="0D91FC1C" w14:textId="3481704D" w:rsidR="00CC2571" w:rsidRDefault="00CC2571" w:rsidP="007972A8">
      <w:pPr>
        <w:pStyle w:val="NoSpacing"/>
      </w:pPr>
    </w:p>
    <w:p w14:paraId="64BE014D" w14:textId="6844E42D" w:rsidR="00CC2571" w:rsidRDefault="00CC2571" w:rsidP="007972A8">
      <w:pPr>
        <w:pStyle w:val="NoSpacing"/>
      </w:pPr>
    </w:p>
    <w:p w14:paraId="35F28032" w14:textId="77777777" w:rsidR="00CC2571" w:rsidRDefault="00CC2571" w:rsidP="007972A8">
      <w:pPr>
        <w:pStyle w:val="NoSpacing"/>
      </w:pPr>
    </w:p>
    <w:p w14:paraId="376EF9B7" w14:textId="55556D9B" w:rsidR="00E5085B" w:rsidRPr="00BC59C0" w:rsidRDefault="00E5085B" w:rsidP="00E5085B">
      <w:pPr>
        <w:pStyle w:val="NoSpacing"/>
        <w:rPr>
          <w:b/>
          <w:bCs/>
          <w:u w:val="single"/>
        </w:rPr>
      </w:pPr>
      <w:r>
        <w:rPr>
          <w:b/>
          <w:bCs/>
          <w:u w:val="single"/>
        </w:rPr>
        <w:t>Trends in National Happiness over 2015-2020</w:t>
      </w:r>
    </w:p>
    <w:p w14:paraId="7BA77E41" w14:textId="744BBFF3" w:rsidR="007A51D8" w:rsidRDefault="007A51D8" w:rsidP="007972A8">
      <w:pPr>
        <w:pStyle w:val="NoSpacing"/>
      </w:pPr>
      <w:r>
        <w:t>Looking over 2015-2020, we find an overall increase in world happiness, calculated as the equal weighted mean across 150+ countries.</w:t>
      </w:r>
    </w:p>
    <w:p w14:paraId="575093AC" w14:textId="493E0586" w:rsidR="007A51D8" w:rsidRDefault="007A51D8" w:rsidP="007972A8">
      <w:pPr>
        <w:pStyle w:val="NoSpacing"/>
      </w:pPr>
    </w:p>
    <w:p w14:paraId="6B66CFED" w14:textId="25A9F96E" w:rsidR="007A51D8" w:rsidRDefault="009756BA" w:rsidP="007972A8">
      <w:pPr>
        <w:pStyle w:val="NoSpacing"/>
      </w:pPr>
      <w:r>
        <w:rPr>
          <w:noProof/>
        </w:rPr>
        <w:lastRenderedPageBreak/>
        <w:drawing>
          <wp:inline distT="0" distB="0" distL="0" distR="0" wp14:anchorId="04D2AC29" wp14:editId="7CF825A2">
            <wp:extent cx="4572000" cy="2743200"/>
            <wp:effectExtent l="0" t="0" r="6350" b="6350"/>
            <wp:docPr id="10" name="Chart 10">
              <a:extLst xmlns:a="http://schemas.openxmlformats.org/drawingml/2006/main">
                <a:ext uri="{FF2B5EF4-FFF2-40B4-BE49-F238E27FC236}">
                  <a16:creationId xmlns:a16="http://schemas.microsoft.com/office/drawing/2014/main" id="{8A8C7A8E-B971-40B7-9C50-FE59AE871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AE0E0C0" w14:textId="4F6EFA93" w:rsidR="007A51D8" w:rsidRDefault="007A51D8" w:rsidP="007972A8">
      <w:pPr>
        <w:pStyle w:val="NoSpacing"/>
      </w:pPr>
      <w:r>
        <w:t>Source: Gallup</w:t>
      </w:r>
    </w:p>
    <w:p w14:paraId="109AB668" w14:textId="7D896717" w:rsidR="007A51D8" w:rsidRDefault="007A51D8" w:rsidP="007972A8">
      <w:pPr>
        <w:pStyle w:val="NoSpacing"/>
      </w:pPr>
    </w:p>
    <w:p w14:paraId="1B44CDAD" w14:textId="339DB006" w:rsidR="009756BA" w:rsidRDefault="009756BA" w:rsidP="007972A8">
      <w:pPr>
        <w:pStyle w:val="NoSpacing"/>
      </w:pPr>
      <w:r>
        <w:t xml:space="preserve">We find that this trend is a balance of </w:t>
      </w:r>
      <w:r w:rsidR="00BA55F5">
        <w:t>several regions’ deterioration and improvement:</w:t>
      </w:r>
    </w:p>
    <w:p w14:paraId="51784676" w14:textId="3AF2657F" w:rsidR="00BA55F5" w:rsidRDefault="00BA55F5" w:rsidP="00BA55F5">
      <w:pPr>
        <w:pStyle w:val="NoSpacing"/>
        <w:numPr>
          <w:ilvl w:val="0"/>
          <w:numId w:val="1"/>
        </w:numPr>
      </w:pPr>
      <w:r>
        <w:t xml:space="preserve">South Asia, </w:t>
      </w:r>
      <w:r w:rsidRPr="00BA55F5">
        <w:t>Commonwealth of Independent States</w:t>
      </w:r>
      <w:r>
        <w:t xml:space="preserve"> (ex-Soviet Union countries) and Southeast Asia look largely unchanged over the time period</w:t>
      </w:r>
    </w:p>
    <w:p w14:paraId="0DA0AB68" w14:textId="4038DF62" w:rsidR="00BA55F5" w:rsidRDefault="00BA55F5" w:rsidP="00BA55F5">
      <w:pPr>
        <w:pStyle w:val="NoSpacing"/>
        <w:numPr>
          <w:ilvl w:val="0"/>
          <w:numId w:val="1"/>
        </w:numPr>
      </w:pPr>
      <w:r>
        <w:t>Central and Eastern Europe, Western Europe, Sub-Saharan Africa, and East Asia look to have recorded significant gains over 2015-2020</w:t>
      </w:r>
    </w:p>
    <w:p w14:paraId="035F4509" w14:textId="06A61556" w:rsidR="00BA55F5" w:rsidRDefault="00BA55F5" w:rsidP="00BA55F5">
      <w:pPr>
        <w:pStyle w:val="NoSpacing"/>
        <w:numPr>
          <w:ilvl w:val="0"/>
          <w:numId w:val="1"/>
        </w:numPr>
      </w:pPr>
      <w:r w:rsidRPr="00BA55F5">
        <w:t>North America and ANZ</w:t>
      </w:r>
      <w:r>
        <w:t>, Middle East and North Africa &amp; Latin America and Caribbean look to have deteriorated over 2015-2020</w:t>
      </w:r>
    </w:p>
    <w:p w14:paraId="55367C94" w14:textId="2656267D" w:rsidR="009756BA" w:rsidRDefault="009756BA" w:rsidP="007972A8">
      <w:pPr>
        <w:pStyle w:val="NoSpacing"/>
      </w:pPr>
    </w:p>
    <w:p w14:paraId="520F5DDB" w14:textId="332CBC95" w:rsidR="009756BA" w:rsidRDefault="009756BA" w:rsidP="007972A8">
      <w:pPr>
        <w:pStyle w:val="NoSpacing"/>
      </w:pPr>
      <w:r>
        <w:rPr>
          <w:noProof/>
        </w:rPr>
        <w:drawing>
          <wp:inline distT="0" distB="0" distL="0" distR="0" wp14:anchorId="443F0709" wp14:editId="78E80DEF">
            <wp:extent cx="5379720" cy="3265170"/>
            <wp:effectExtent l="0" t="0" r="0" b="0"/>
            <wp:docPr id="11" name="Chart 11">
              <a:extLst xmlns:a="http://schemas.openxmlformats.org/drawingml/2006/main">
                <a:ext uri="{FF2B5EF4-FFF2-40B4-BE49-F238E27FC236}">
                  <a16:creationId xmlns:a16="http://schemas.microsoft.com/office/drawing/2014/main" id="{1B8082CA-D7CF-4417-8BA6-41C2B70669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64B5F5E" w14:textId="77777777" w:rsidR="00CC2571" w:rsidRDefault="00CC2571" w:rsidP="007972A8">
      <w:pPr>
        <w:pStyle w:val="NoSpacing"/>
      </w:pPr>
    </w:p>
    <w:p w14:paraId="6921F1FE" w14:textId="456E7E56" w:rsidR="009756BA" w:rsidRDefault="009756BA" w:rsidP="007972A8">
      <w:pPr>
        <w:pStyle w:val="NoSpacing"/>
      </w:pPr>
    </w:p>
    <w:p w14:paraId="3AF182B5" w14:textId="1905CA33" w:rsidR="00E5085B" w:rsidRDefault="00E5085B" w:rsidP="007972A8">
      <w:pPr>
        <w:pStyle w:val="NoSpacing"/>
      </w:pPr>
      <w:r>
        <w:rPr>
          <w:b/>
          <w:bCs/>
          <w:u w:val="single"/>
        </w:rPr>
        <w:t>Covariate universe selection</w:t>
      </w:r>
    </w:p>
    <w:p w14:paraId="677AA317" w14:textId="3D3C3FCB" w:rsidR="000C431C" w:rsidRDefault="006972B3" w:rsidP="000C431C">
      <w:pPr>
        <w:pStyle w:val="NoSpacing"/>
      </w:pPr>
      <w:r>
        <w:t xml:space="preserve">We continue by defining our universe of covariates. We begin by utilizing the broad dataset of country healthcare metrics provided by Kaggle which we then narrow down to a subset of countries and variables for which we have significant data. Variable definitions are presented </w:t>
      </w:r>
      <w:r w:rsidR="00CC35A1">
        <w:t>in the appendix</w:t>
      </w:r>
      <w:r>
        <w:t xml:space="preserve">, </w:t>
      </w:r>
      <w:r>
        <w:lastRenderedPageBreak/>
        <w:t>including the Kaggle definitions, with removed variables highlighted in red.</w:t>
      </w:r>
      <w:r w:rsidR="00CC35A1">
        <w:t xml:space="preserve"> </w:t>
      </w:r>
      <w:r w:rsidR="000C431C">
        <w:t>Previous research investigated the Happiness score’s relationship with several key families of variables – wealth (GDP), health (life expectancy), freedom, family,</w:t>
      </w:r>
      <w:r w:rsidR="003271A0">
        <w:t xml:space="preserve"> generosity</w:t>
      </w:r>
      <w:r w:rsidR="000C431C">
        <w:t xml:space="preserve"> and trust (perception of corruption). </w:t>
      </w:r>
    </w:p>
    <w:p w14:paraId="440B0E44" w14:textId="77777777" w:rsidR="000C431C" w:rsidRDefault="000C431C" w:rsidP="000C431C">
      <w:pPr>
        <w:pStyle w:val="NoSpacing"/>
      </w:pPr>
    </w:p>
    <w:p w14:paraId="2167B7CC" w14:textId="290AA573" w:rsidR="000C431C" w:rsidRDefault="000C431C" w:rsidP="000C431C">
      <w:pPr>
        <w:pStyle w:val="NoSpacing"/>
      </w:pPr>
      <w:r>
        <w:t xml:space="preserve">As outlined in the chart below we can see significant positive linear relationship between happiness and GDP per Capita. Clearly, people living in Qatar have a ‘better’ life than those living in Syria or South Sudan. We are more interested in explaining the </w:t>
      </w:r>
      <w:r w:rsidR="00896D79">
        <w:t>health-happiness</w:t>
      </w:r>
      <w:r>
        <w:t xml:space="preserve"> relationship to focus on metrics that governments can change in the short to medium term to improve their positioning relative to their peers and not unique cases. For example, in the chart below you can see Botswana and Costa Rica exhibiting similar transformed GDP per capita but very different Happiness scores.</w:t>
      </w:r>
    </w:p>
    <w:p w14:paraId="47027576" w14:textId="7B20E7AF" w:rsidR="000C431C" w:rsidRDefault="000C431C" w:rsidP="00CD5C87">
      <w:pPr>
        <w:pStyle w:val="NoSpacing"/>
      </w:pPr>
    </w:p>
    <w:p w14:paraId="38651F9B" w14:textId="6393621A" w:rsidR="000C431C" w:rsidRDefault="000C431C" w:rsidP="00CD5C87">
      <w:pPr>
        <w:pStyle w:val="NoSpacing"/>
      </w:pPr>
      <w:r>
        <w:rPr>
          <w:noProof/>
        </w:rPr>
        <w:drawing>
          <wp:inline distT="0" distB="0" distL="0" distR="0" wp14:anchorId="63E98D67" wp14:editId="688D121A">
            <wp:extent cx="4680000" cy="267547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675471"/>
                    </a:xfrm>
                    <a:prstGeom prst="rect">
                      <a:avLst/>
                    </a:prstGeom>
                  </pic:spPr>
                </pic:pic>
              </a:graphicData>
            </a:graphic>
          </wp:inline>
        </w:drawing>
      </w:r>
    </w:p>
    <w:p w14:paraId="282760C7" w14:textId="665D105D" w:rsidR="000C431C" w:rsidRDefault="000C431C" w:rsidP="00CD5C87">
      <w:pPr>
        <w:pStyle w:val="NoSpacing"/>
      </w:pPr>
      <w:r>
        <w:t>Similar linear relationships are found for Family, Life Expectancy</w:t>
      </w:r>
      <w:r w:rsidR="003271A0">
        <w:t xml:space="preserve"> and Freedom. Government Corruption and Generosity look to have less of an impact compared to other variables and/or non-linear relationships. Generosity’s relationship with Happiness is outlined below:</w:t>
      </w:r>
    </w:p>
    <w:p w14:paraId="4E55C852" w14:textId="4BF2CB41" w:rsidR="003271A0" w:rsidRDefault="003271A0" w:rsidP="00CD5C87">
      <w:pPr>
        <w:pStyle w:val="NoSpacing"/>
      </w:pPr>
    </w:p>
    <w:p w14:paraId="3C6C51CF" w14:textId="2CFC9DFE" w:rsidR="003271A0" w:rsidRDefault="003271A0" w:rsidP="00CD5C87">
      <w:pPr>
        <w:pStyle w:val="NoSpacing"/>
      </w:pPr>
      <w:r>
        <w:rPr>
          <w:noProof/>
        </w:rPr>
        <w:drawing>
          <wp:inline distT="0" distB="0" distL="0" distR="0" wp14:anchorId="3519E5D8" wp14:editId="68C1D92C">
            <wp:extent cx="4680000" cy="26754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675470"/>
                    </a:xfrm>
                    <a:prstGeom prst="rect">
                      <a:avLst/>
                    </a:prstGeom>
                  </pic:spPr>
                </pic:pic>
              </a:graphicData>
            </a:graphic>
          </wp:inline>
        </w:drawing>
      </w:r>
    </w:p>
    <w:p w14:paraId="7245EE3D" w14:textId="77777777" w:rsidR="00A60917" w:rsidRDefault="00A60917" w:rsidP="00CD5C87">
      <w:pPr>
        <w:pStyle w:val="NoSpacing"/>
      </w:pPr>
    </w:p>
    <w:p w14:paraId="3E6ADCC5" w14:textId="3D48CD66" w:rsidR="00A60917" w:rsidRPr="00FF405A" w:rsidRDefault="00A60917" w:rsidP="00A60917">
      <w:pPr>
        <w:pStyle w:val="Heading2"/>
        <w:rPr>
          <w:b/>
          <w:bCs/>
        </w:rPr>
      </w:pPr>
      <w:r>
        <w:rPr>
          <w:b/>
          <w:bCs/>
        </w:rPr>
        <w:t>Data Review &amp; Transformation</w:t>
      </w:r>
    </w:p>
    <w:p w14:paraId="1A4AB5BD" w14:textId="34BD01ED" w:rsidR="0050757F" w:rsidRPr="0050757F" w:rsidRDefault="0050757F" w:rsidP="00CD5C87">
      <w:pPr>
        <w:pStyle w:val="NoSpacing"/>
        <w:rPr>
          <w:b/>
          <w:bCs/>
          <w:u w:val="single"/>
        </w:rPr>
      </w:pPr>
      <w:r w:rsidRPr="0050757F">
        <w:rPr>
          <w:b/>
          <w:bCs/>
          <w:u w:val="single"/>
        </w:rPr>
        <w:t>Data Transformation</w:t>
      </w:r>
    </w:p>
    <w:p w14:paraId="5BF4D84D" w14:textId="45799C2C" w:rsidR="00F11865" w:rsidRPr="005231B9" w:rsidRDefault="0050757F" w:rsidP="0050757F">
      <w:pPr>
        <w:pStyle w:val="NoSpacing"/>
      </w:pPr>
      <w:r>
        <w:t>Having reviewed our list of covariates, we find a universe of 1</w:t>
      </w:r>
      <w:r w:rsidR="0052105F">
        <w:t>5</w:t>
      </w:r>
      <w:r>
        <w:t xml:space="preserve">0+ countries </w:t>
      </w:r>
      <w:r w:rsidR="002D2B5A">
        <w:t xml:space="preserve">that </w:t>
      </w:r>
      <w:r>
        <w:t xml:space="preserve">needs to be narrowed down to between 80-90 if we are to make use of the healthcare dataset. Similarly, our </w:t>
      </w:r>
      <w:r>
        <w:lastRenderedPageBreak/>
        <w:t>initial universe of 30+ covariates is also reduced to reflect the lack of data available in certain countries</w:t>
      </w:r>
      <w:r w:rsidR="002D2B5A">
        <w:t>.</w:t>
      </w:r>
      <w:r w:rsidR="00BD5D46">
        <w:t xml:space="preserve"> We remove fields such as </w:t>
      </w:r>
      <w:r w:rsidR="00BD5D46" w:rsidRPr="00BD5D46">
        <w:t>basic</w:t>
      </w:r>
      <w:r w:rsidR="00BD5D46">
        <w:t xml:space="preserve"> h</w:t>
      </w:r>
      <w:r w:rsidR="00BD5D46" w:rsidRPr="00BD5D46">
        <w:t>andwashing</w:t>
      </w:r>
      <w:r w:rsidR="00BD5D46">
        <w:t xml:space="preserve"> at home %</w:t>
      </w:r>
      <w:r w:rsidR="00BD5D46" w:rsidRPr="00BD5D46">
        <w:t>, malaria</w:t>
      </w:r>
      <w:r w:rsidR="00BD5D46">
        <w:t xml:space="preserve"> incidence per </w:t>
      </w:r>
      <w:r w:rsidR="00BD5D46" w:rsidRPr="00BD5D46">
        <w:t>1k,</w:t>
      </w:r>
      <w:r w:rsidR="00BD5D46">
        <w:t xml:space="preserve"> </w:t>
      </w:r>
      <w:r w:rsidR="00BD5D46" w:rsidRPr="00BD5D46">
        <w:t>Modern</w:t>
      </w:r>
      <w:r w:rsidR="00BD5D46">
        <w:t xml:space="preserve"> </w:t>
      </w:r>
      <w:r w:rsidR="00BD5D46" w:rsidRPr="00BD5D46">
        <w:t>Family</w:t>
      </w:r>
      <w:r w:rsidR="00BD5D46">
        <w:t xml:space="preserve"> </w:t>
      </w:r>
      <w:r w:rsidR="00BD5D46" w:rsidRPr="00BD5D46">
        <w:t>Planning</w:t>
      </w:r>
      <w:r w:rsidR="00BD5D46">
        <w:t xml:space="preserve"> %</w:t>
      </w:r>
      <w:r w:rsidR="00BD5D46" w:rsidRPr="00BD5D46">
        <w:t>, Sanitation</w:t>
      </w:r>
      <w:r w:rsidR="00BD5D46">
        <w:t xml:space="preserve"> </w:t>
      </w:r>
      <w:r w:rsidR="00BD5D46" w:rsidRPr="00BD5D46">
        <w:t>Services</w:t>
      </w:r>
      <w:r w:rsidR="00BD5D46">
        <w:t xml:space="preserve"> per population</w:t>
      </w:r>
      <w:r w:rsidR="00BD5D46" w:rsidRPr="00BD5D46">
        <w:t xml:space="preserve"> </w:t>
      </w:r>
      <w:r w:rsidR="00BD5D46">
        <w:t>and n</w:t>
      </w:r>
      <w:r w:rsidR="00BD5D46" w:rsidRPr="00BD5D46">
        <w:t>ew</w:t>
      </w:r>
      <w:r w:rsidR="00BD5D46">
        <w:t xml:space="preserve"> </w:t>
      </w:r>
      <w:r w:rsidR="00BD5D46" w:rsidRPr="00BD5D46">
        <w:t>H</w:t>
      </w:r>
      <w:r w:rsidR="00BD5D46">
        <w:t xml:space="preserve"> </w:t>
      </w:r>
      <w:r w:rsidR="00BD5D46" w:rsidRPr="00BD5D46">
        <w:t>Infections</w:t>
      </w:r>
      <w:r w:rsidR="00BD5D46">
        <w:t xml:space="preserve"> per 1k.</w:t>
      </w:r>
      <w:r w:rsidR="005231B9">
        <w:t xml:space="preserve"> </w:t>
      </w:r>
      <w:r w:rsidR="002D2B5A">
        <w:t>Data timeliness is addressed by utilizing the latest available date for each covariate</w:t>
      </w:r>
      <w:r w:rsidR="005231B9">
        <w:t xml:space="preserve"> with mean-inputting for variables for which we cannot find data.</w:t>
      </w:r>
    </w:p>
    <w:p w14:paraId="6C39082F" w14:textId="62FBD514" w:rsidR="00202980" w:rsidRDefault="00202980" w:rsidP="0050757F">
      <w:pPr>
        <w:pStyle w:val="NoSpacing"/>
        <w:rPr>
          <w:color w:val="FF0000"/>
        </w:rPr>
      </w:pPr>
    </w:p>
    <w:p w14:paraId="03668A07" w14:textId="22EA0989" w:rsidR="00BC59C0" w:rsidRPr="0050757F" w:rsidRDefault="00BC59C0" w:rsidP="00BC59C0">
      <w:pPr>
        <w:pStyle w:val="NoSpacing"/>
        <w:rPr>
          <w:b/>
          <w:bCs/>
          <w:u w:val="single"/>
        </w:rPr>
      </w:pPr>
      <w:r>
        <w:rPr>
          <w:b/>
          <w:bCs/>
          <w:u w:val="single"/>
        </w:rPr>
        <w:t>Exploratory Data Analysis</w:t>
      </w:r>
    </w:p>
    <w:p w14:paraId="71D44430" w14:textId="385D12C4" w:rsidR="007972A8" w:rsidRDefault="00F134E0" w:rsidP="007972A8">
      <w:pPr>
        <w:pStyle w:val="NoSpacing"/>
      </w:pPr>
      <w:r>
        <w:t xml:space="preserve">Conducting an EDA, we </w:t>
      </w:r>
      <w:r w:rsidR="00202980">
        <w:t>investigate our broad data set to find a range of approximately 3-8 on the happiness scale for our country universe with extremes defined by South Sudan and Finland.</w:t>
      </w:r>
      <w:r w:rsidR="006A0218">
        <w:t xml:space="preserve"> </w:t>
      </w:r>
      <w:r w:rsidR="003271A0">
        <w:t xml:space="preserve">We then investigate the cross-correlation between variables, </w:t>
      </w:r>
      <w:r w:rsidR="00F41851">
        <w:t xml:space="preserve">including those mentioned in the initial </w:t>
      </w:r>
    </w:p>
    <w:p w14:paraId="142B8C98" w14:textId="65A5CA62" w:rsidR="00F41851" w:rsidRDefault="00F41851" w:rsidP="007972A8">
      <w:pPr>
        <w:pStyle w:val="NoSpacing"/>
      </w:pPr>
      <w:r>
        <w:rPr>
          <w:noProof/>
        </w:rPr>
        <w:drawing>
          <wp:inline distT="0" distB="0" distL="0" distR="0" wp14:anchorId="7ED93439" wp14:editId="7AC3CE3B">
            <wp:extent cx="4695825" cy="4314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4314825"/>
                    </a:xfrm>
                    <a:prstGeom prst="rect">
                      <a:avLst/>
                    </a:prstGeom>
                  </pic:spPr>
                </pic:pic>
              </a:graphicData>
            </a:graphic>
          </wp:inline>
        </w:drawing>
      </w:r>
    </w:p>
    <w:p w14:paraId="245201FF" w14:textId="792358CB" w:rsidR="006A0218" w:rsidRDefault="006A0218" w:rsidP="007972A8">
      <w:pPr>
        <w:pStyle w:val="NoSpacing"/>
      </w:pPr>
    </w:p>
    <w:p w14:paraId="5C1256AF" w14:textId="469469FD" w:rsidR="006A0218" w:rsidRDefault="006A0218" w:rsidP="007972A8">
      <w:pPr>
        <w:pStyle w:val="NoSpacing"/>
      </w:pPr>
      <w:r>
        <w:rPr>
          <w:noProof/>
        </w:rPr>
        <w:drawing>
          <wp:inline distT="0" distB="0" distL="0" distR="0" wp14:anchorId="46B2F6C3" wp14:editId="5AB1673D">
            <wp:extent cx="4680000" cy="261325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85" b="5371"/>
                    <a:stretch/>
                  </pic:blipFill>
                  <pic:spPr bwMode="auto">
                    <a:xfrm>
                      <a:off x="0" y="0"/>
                      <a:ext cx="4680000" cy="2613252"/>
                    </a:xfrm>
                    <a:prstGeom prst="rect">
                      <a:avLst/>
                    </a:prstGeom>
                    <a:ln>
                      <a:noFill/>
                    </a:ln>
                    <a:extLst>
                      <a:ext uri="{53640926-AAD7-44D8-BBD7-CCE9431645EC}">
                        <a14:shadowObscured xmlns:a14="http://schemas.microsoft.com/office/drawing/2010/main"/>
                      </a:ext>
                    </a:extLst>
                  </pic:spPr>
                </pic:pic>
              </a:graphicData>
            </a:graphic>
          </wp:inline>
        </w:drawing>
      </w:r>
    </w:p>
    <w:p w14:paraId="793A9A7B" w14:textId="52D87F4F" w:rsidR="003F4A11" w:rsidRDefault="003F4A11" w:rsidP="007972A8">
      <w:pPr>
        <w:pStyle w:val="NoSpacing"/>
      </w:pPr>
      <w:r>
        <w:lastRenderedPageBreak/>
        <w:t xml:space="preserve">Our dataset exhibits some degree of inter variable relationships (&gt;0.5 or &lt;-0.5 correlation) which we appreciate as unavoidable within a broader healthcare dataset. Clearly, life expectancy will rise as neonatal mortality rates fall. </w:t>
      </w:r>
    </w:p>
    <w:p w14:paraId="42599D24" w14:textId="77777777" w:rsidR="002C7881" w:rsidRDefault="002C7881" w:rsidP="007972A8">
      <w:pPr>
        <w:pStyle w:val="NoSpacing"/>
      </w:pPr>
    </w:p>
    <w:p w14:paraId="33CD79C3" w14:textId="5BB84705" w:rsidR="00CD5C87" w:rsidRPr="004339D0" w:rsidRDefault="00CD5C87" w:rsidP="007972A8">
      <w:pPr>
        <w:pStyle w:val="NoSpacing"/>
        <w:rPr>
          <w:b/>
          <w:bCs/>
          <w:u w:val="single"/>
        </w:rPr>
      </w:pPr>
      <w:r w:rsidRPr="004339D0">
        <w:rPr>
          <w:b/>
          <w:bCs/>
          <w:u w:val="single"/>
        </w:rPr>
        <w:t>PCA</w:t>
      </w:r>
      <w:r w:rsidR="004339D0">
        <w:rPr>
          <w:b/>
          <w:bCs/>
          <w:u w:val="single"/>
        </w:rPr>
        <w:t xml:space="preserve"> &amp; K-means</w:t>
      </w:r>
    </w:p>
    <w:p w14:paraId="30FBD711" w14:textId="0B7F07DF" w:rsidR="00A80F39" w:rsidRDefault="00A80F39" w:rsidP="007972A8">
      <w:pPr>
        <w:pStyle w:val="NoSpacing"/>
      </w:pPr>
      <w:r>
        <w:t xml:space="preserve">We perform Principal Components Analysis on our </w:t>
      </w:r>
      <w:r w:rsidR="00110C76">
        <w:t>data</w:t>
      </w:r>
      <w:r w:rsidR="00264791">
        <w:t xml:space="preserve"> (including the previous study’s variables, only excluding one variable NTD interventions which had extreme outliers)</w:t>
      </w:r>
      <w:r w:rsidR="00110C76">
        <w:t xml:space="preserve"> to </w:t>
      </w:r>
      <w:r w:rsidR="00FC6BBD">
        <w:t xml:space="preserve">investigate how </w:t>
      </w:r>
      <w:r w:rsidR="00A94167">
        <w:t xml:space="preserve">countries separate from one another. Given PCA and k-means clustering, we see that the optimal number of clusters </w:t>
      </w:r>
      <w:r w:rsidR="009F0D5C">
        <w:t>for our data is 3.</w:t>
      </w:r>
      <w:r w:rsidR="006B2018">
        <w:t xml:space="preserve"> When visualizing these clusters over the PCA plot (PC 2 vs. PC 1), we see that </w:t>
      </w:r>
      <w:r w:rsidR="00AC3342">
        <w:t>our data separate into the three clusters roughly along the first principal component.</w:t>
      </w:r>
    </w:p>
    <w:p w14:paraId="416FEEB1" w14:textId="77777777" w:rsidR="00AC3342" w:rsidRDefault="00AC3342" w:rsidP="007972A8">
      <w:pPr>
        <w:pStyle w:val="NoSpacing"/>
      </w:pPr>
    </w:p>
    <w:p w14:paraId="2B2895F8" w14:textId="235DBA46" w:rsidR="00A80F39" w:rsidRDefault="009501B1" w:rsidP="007972A8">
      <w:pPr>
        <w:pStyle w:val="NoSpacing"/>
      </w:pPr>
      <w:r>
        <w:rPr>
          <w:noProof/>
        </w:rPr>
        <w:drawing>
          <wp:inline distT="0" distB="0" distL="0" distR="0" wp14:anchorId="4C3B9938" wp14:editId="423410F2">
            <wp:extent cx="5731510" cy="3545840"/>
            <wp:effectExtent l="0" t="0" r="0" b="0"/>
            <wp:docPr id="9" name="Picture 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45840"/>
                    </a:xfrm>
                    <a:prstGeom prst="rect">
                      <a:avLst/>
                    </a:prstGeom>
                  </pic:spPr>
                </pic:pic>
              </a:graphicData>
            </a:graphic>
          </wp:inline>
        </w:drawing>
      </w:r>
    </w:p>
    <w:p w14:paraId="5DBFD51D" w14:textId="4A8EB555" w:rsidR="00264791" w:rsidRDefault="00264791" w:rsidP="007972A8">
      <w:pPr>
        <w:pStyle w:val="NoSpacing"/>
      </w:pPr>
      <w:r>
        <w:t xml:space="preserve">Given the large number of variables involved, it is difficult to make overarching interpretations of the PCA weights, but we take comfort in observing relative similarity of components (absolute weights) </w:t>
      </w:r>
      <w:r w:rsidR="00EE7D0D">
        <w:t>in PC1 indicating some merit in retaining them for further analysis. As exhibited in the table below, weights range from -0.2 to 0.2 for most covariates in PC1.</w:t>
      </w:r>
    </w:p>
    <w:p w14:paraId="563DC7CA" w14:textId="6523FD3D" w:rsidR="00264791" w:rsidRDefault="00264791" w:rsidP="007972A8">
      <w:pPr>
        <w:pStyle w:val="NoSpacing"/>
      </w:pPr>
    </w:p>
    <w:p w14:paraId="30B707D2" w14:textId="4812BD1D" w:rsidR="00264791" w:rsidRDefault="00264791" w:rsidP="007972A8">
      <w:pPr>
        <w:pStyle w:val="NoSpacing"/>
      </w:pPr>
      <w:r>
        <w:rPr>
          <w:noProof/>
        </w:rPr>
        <w:lastRenderedPageBreak/>
        <w:drawing>
          <wp:inline distT="0" distB="0" distL="0" distR="0" wp14:anchorId="37C8F77D" wp14:editId="25297CBF">
            <wp:extent cx="5731510" cy="36429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642995"/>
                    </a:xfrm>
                    <a:prstGeom prst="rect">
                      <a:avLst/>
                    </a:prstGeom>
                    <a:noFill/>
                    <a:ln>
                      <a:noFill/>
                    </a:ln>
                  </pic:spPr>
                </pic:pic>
              </a:graphicData>
            </a:graphic>
          </wp:inline>
        </w:drawing>
      </w:r>
    </w:p>
    <w:p w14:paraId="2E1BC37B" w14:textId="7A2711E2" w:rsidR="00264791" w:rsidRDefault="00264791" w:rsidP="007972A8">
      <w:pPr>
        <w:pStyle w:val="NoSpacing"/>
      </w:pPr>
    </w:p>
    <w:p w14:paraId="47E600E4" w14:textId="76763FF7" w:rsidR="00264791" w:rsidRDefault="00EE7D0D" w:rsidP="007972A8">
      <w:pPr>
        <w:pStyle w:val="NoSpacing"/>
      </w:pPr>
      <w:r>
        <w:t>This is all the more positive given the significant proportion of variance explained by PC1, which alone explains more than half the variance in our happiness dataset.</w:t>
      </w:r>
    </w:p>
    <w:p w14:paraId="70573A6B" w14:textId="5D68FC0D" w:rsidR="00264791" w:rsidRDefault="00264791" w:rsidP="007972A8">
      <w:pPr>
        <w:pStyle w:val="NoSpacing"/>
      </w:pPr>
    </w:p>
    <w:p w14:paraId="1F9A6F31" w14:textId="783CC7B8" w:rsidR="00264791" w:rsidRDefault="00EE7D0D" w:rsidP="007972A8">
      <w:pPr>
        <w:pStyle w:val="NoSpacing"/>
      </w:pPr>
      <w:r w:rsidRPr="00EE7D0D">
        <w:rPr>
          <w:noProof/>
        </w:rPr>
        <w:drawing>
          <wp:inline distT="0" distB="0" distL="0" distR="0" wp14:anchorId="76BD4E90" wp14:editId="4674FCFF">
            <wp:extent cx="5029200" cy="3111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017" cy="3117364"/>
                    </a:xfrm>
                    <a:prstGeom prst="rect">
                      <a:avLst/>
                    </a:prstGeom>
                  </pic:spPr>
                </pic:pic>
              </a:graphicData>
            </a:graphic>
          </wp:inline>
        </w:drawing>
      </w:r>
    </w:p>
    <w:p w14:paraId="4EC6D175" w14:textId="38E7C66C" w:rsidR="00EE7D0D" w:rsidRDefault="00EE7D0D" w:rsidP="007972A8">
      <w:pPr>
        <w:pStyle w:val="NoSpacing"/>
      </w:pPr>
      <w:r w:rsidRPr="00EE7D0D">
        <w:rPr>
          <w:noProof/>
        </w:rPr>
        <w:lastRenderedPageBreak/>
        <w:drawing>
          <wp:inline distT="0" distB="0" distL="0" distR="0" wp14:anchorId="2EB3E88A" wp14:editId="6840B425">
            <wp:extent cx="4857750" cy="29945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0917" cy="2996470"/>
                    </a:xfrm>
                    <a:prstGeom prst="rect">
                      <a:avLst/>
                    </a:prstGeom>
                  </pic:spPr>
                </pic:pic>
              </a:graphicData>
            </a:graphic>
          </wp:inline>
        </w:drawing>
      </w:r>
    </w:p>
    <w:p w14:paraId="5107E5B6" w14:textId="07113100" w:rsidR="007972A8" w:rsidRDefault="007972A8" w:rsidP="007972A8">
      <w:pPr>
        <w:pStyle w:val="NoSpacing"/>
      </w:pPr>
    </w:p>
    <w:p w14:paraId="39919442" w14:textId="0B59E763" w:rsidR="00CD5C87" w:rsidRDefault="00CD5C87" w:rsidP="00CC35A1">
      <w:pPr>
        <w:pStyle w:val="Heading2"/>
        <w:rPr>
          <w:b/>
          <w:bCs/>
        </w:rPr>
      </w:pPr>
      <w:r w:rsidRPr="00CC35A1">
        <w:rPr>
          <w:b/>
          <w:bCs/>
        </w:rPr>
        <w:t>Regression</w:t>
      </w:r>
      <w:r w:rsidR="00AE54E7">
        <w:rPr>
          <w:b/>
          <w:bCs/>
        </w:rPr>
        <w:t xml:space="preserve"> Analysis</w:t>
      </w:r>
    </w:p>
    <w:p w14:paraId="4FE82638" w14:textId="58C9CB3E" w:rsidR="00800624" w:rsidRPr="0050757F" w:rsidRDefault="00CB48A4" w:rsidP="00800624">
      <w:pPr>
        <w:pStyle w:val="NoSpacing"/>
        <w:rPr>
          <w:b/>
          <w:bCs/>
          <w:u w:val="single"/>
        </w:rPr>
      </w:pPr>
      <w:r>
        <w:rPr>
          <w:b/>
          <w:bCs/>
          <w:u w:val="single"/>
        </w:rPr>
        <w:t>Cleaning Data</w:t>
      </w:r>
    </w:p>
    <w:p w14:paraId="4A2FC843" w14:textId="77777777" w:rsidR="00E3440B" w:rsidRDefault="00CB48A4" w:rsidP="00800624">
      <w:r>
        <w:t>To run Lasso, we need to further clean the dataset</w:t>
      </w:r>
      <w:r w:rsidR="00A31B5E">
        <w:t xml:space="preserve"> by getting rid of countries with any missing values for any of our variables.</w:t>
      </w:r>
      <w:r w:rsidR="00D66B74">
        <w:t xml:space="preserve"> We also exclude the variables from the World Happiness Report (e.g., GDP, corruption) since these were already examined in the report. These eliminated variables do not fit into our study’s goal of examine the relationship between country happiness and country healthcare indicators and would most likely not </w:t>
      </w:r>
      <w:r w:rsidR="00E3440B">
        <w:t>reveal any new takeaways.</w:t>
      </w:r>
    </w:p>
    <w:p w14:paraId="3C7AA4B5" w14:textId="77777777" w:rsidR="00E3440B" w:rsidRDefault="00E3440B" w:rsidP="00E3440B">
      <w:pPr>
        <w:pStyle w:val="NoSpacing"/>
        <w:rPr>
          <w:b/>
          <w:bCs/>
          <w:u w:val="single"/>
        </w:rPr>
      </w:pPr>
      <w:r>
        <w:rPr>
          <w:b/>
          <w:bCs/>
          <w:u w:val="single"/>
        </w:rPr>
        <w:t>Lasso Model</w:t>
      </w:r>
    </w:p>
    <w:p w14:paraId="69033F52" w14:textId="463AF43F" w:rsidR="00E3440B" w:rsidRDefault="00E3440B" w:rsidP="00E3440B">
      <w:r>
        <w:t xml:space="preserve">For our Lasso model, we use </w:t>
      </w:r>
      <w:proofErr w:type="spellStart"/>
      <w:r>
        <w:t>glmnet</w:t>
      </w:r>
      <w:proofErr w:type="spellEnd"/>
      <w:r>
        <w:t xml:space="preserve"> to output results for different </w:t>
      </w:r>
      <w:r w:rsidRPr="00E3440B">
        <w:t>λ values</w:t>
      </w:r>
      <w:r w:rsidR="00405ECA">
        <w:t xml:space="preserve">. We can examine the default plot to explore possible values of </w:t>
      </w:r>
      <w:r w:rsidR="00405ECA" w:rsidRPr="00E3440B">
        <w:t>λ</w:t>
      </w:r>
      <w:r w:rsidR="00405ECA">
        <w:t>.</w:t>
      </w:r>
    </w:p>
    <w:p w14:paraId="1FFB818C" w14:textId="4A51AAF6" w:rsidR="00405ECA" w:rsidRPr="00405ECA" w:rsidRDefault="00405ECA" w:rsidP="00405ECA">
      <w:pPr>
        <w:spacing w:after="0" w:line="240" w:lineRule="auto"/>
        <w:rPr>
          <w:rFonts w:ascii="Times New Roman" w:eastAsia="Times New Roman" w:hAnsi="Times New Roman" w:cs="Times New Roman"/>
          <w:sz w:val="24"/>
          <w:szCs w:val="24"/>
          <w:lang w:val="en-US" w:eastAsia="en-US"/>
        </w:rPr>
      </w:pPr>
      <w:r w:rsidRPr="00405ECA">
        <w:rPr>
          <w:rFonts w:ascii="Times New Roman" w:eastAsia="Times New Roman" w:hAnsi="Times New Roman" w:cs="Times New Roman"/>
          <w:sz w:val="24"/>
          <w:szCs w:val="24"/>
          <w:lang w:val="en-US" w:eastAsia="en-US"/>
        </w:rPr>
        <w:fldChar w:fldCharType="begin"/>
      </w:r>
      <w:r w:rsidRPr="00405ECA">
        <w:rPr>
          <w:rFonts w:ascii="Times New Roman" w:eastAsia="Times New Roman" w:hAnsi="Times New Roman" w:cs="Times New Roman"/>
          <w:sz w:val="24"/>
          <w:szCs w:val="24"/>
          <w:lang w:val="en-US" w:eastAsia="en-US"/>
        </w:rPr>
        <w:instrText xml:space="preserve"> INCLUDEPICTURE "http://127.0.0.1:18375/chunk_output/s/352040CD/cjs97rhu39y9h/000002.png" \* MERGEFORMATINET </w:instrText>
      </w:r>
      <w:r w:rsidR="00017D70">
        <w:rPr>
          <w:rFonts w:ascii="Times New Roman" w:eastAsia="Times New Roman" w:hAnsi="Times New Roman" w:cs="Times New Roman"/>
          <w:sz w:val="24"/>
          <w:szCs w:val="24"/>
          <w:lang w:val="en-US" w:eastAsia="en-US"/>
        </w:rPr>
        <w:fldChar w:fldCharType="separate"/>
      </w:r>
      <w:r w:rsidRPr="00405ECA">
        <w:rPr>
          <w:rFonts w:ascii="Times New Roman" w:eastAsia="Times New Roman" w:hAnsi="Times New Roman" w:cs="Times New Roman"/>
          <w:sz w:val="24"/>
          <w:szCs w:val="24"/>
          <w:lang w:val="en-US" w:eastAsia="en-US"/>
        </w:rPr>
        <w:fldChar w:fldCharType="end"/>
      </w:r>
    </w:p>
    <w:p w14:paraId="5EB8E1D6" w14:textId="3A52408B" w:rsidR="00405ECA" w:rsidRDefault="00405ECA" w:rsidP="00E3440B">
      <w:r>
        <w:rPr>
          <w:noProof/>
        </w:rPr>
        <w:drawing>
          <wp:inline distT="0" distB="0" distL="0" distR="0" wp14:anchorId="2616CB8E" wp14:editId="4D11AE23">
            <wp:extent cx="5107021" cy="3147613"/>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23745" cy="3157921"/>
                    </a:xfrm>
                    <a:prstGeom prst="rect">
                      <a:avLst/>
                    </a:prstGeom>
                  </pic:spPr>
                </pic:pic>
              </a:graphicData>
            </a:graphic>
          </wp:inline>
        </w:drawing>
      </w:r>
    </w:p>
    <w:p w14:paraId="516DC6FE" w14:textId="09990AA7" w:rsidR="003964D6" w:rsidRDefault="003964D6" w:rsidP="003964D6">
      <w:r>
        <w:lastRenderedPageBreak/>
        <w:t xml:space="preserve">We can see from this plot that </w:t>
      </w:r>
      <w:proofErr w:type="spellStart"/>
      <w:r>
        <w:t>lambda.min</w:t>
      </w:r>
      <w:proofErr w:type="spellEnd"/>
      <w:r>
        <w:t xml:space="preserve">, which gives the smallest </w:t>
      </w:r>
      <w:proofErr w:type="spellStart"/>
      <w:r>
        <w:t>cvm</w:t>
      </w:r>
      <w:proofErr w:type="spellEnd"/>
      <w:r>
        <w:t>, is ~0.07 and outputs ~8</w:t>
      </w:r>
      <w:r w:rsidRPr="003964D6">
        <w:t xml:space="preserve"> nonzero β</w:t>
      </w:r>
      <w:r>
        <w:t xml:space="preserve">’s. Lambda.1se, the largest </w:t>
      </w:r>
      <w:r w:rsidRPr="00E3440B">
        <w:t>λ</w:t>
      </w:r>
      <w:r w:rsidRPr="003964D6">
        <w:t xml:space="preserve"> whose </w:t>
      </w:r>
      <w:proofErr w:type="spellStart"/>
      <w:r w:rsidRPr="003964D6">
        <w:t>cvm</w:t>
      </w:r>
      <w:proofErr w:type="spellEnd"/>
      <w:r w:rsidRPr="003964D6">
        <w:t xml:space="preserve"> is within the </w:t>
      </w:r>
      <w:proofErr w:type="spellStart"/>
      <w:r w:rsidRPr="003964D6">
        <w:t>cvsd</w:t>
      </w:r>
      <w:proofErr w:type="spellEnd"/>
      <w:r w:rsidRPr="003964D6">
        <w:t xml:space="preserve"> bar for the </w:t>
      </w:r>
      <w:proofErr w:type="spellStart"/>
      <w:r w:rsidRPr="003964D6">
        <w:t>lambda.min</w:t>
      </w:r>
      <w:proofErr w:type="spellEnd"/>
      <w:r w:rsidRPr="003964D6">
        <w:t xml:space="preserve"> value</w:t>
      </w:r>
      <w:r>
        <w:t xml:space="preserve"> is ~0.12 and also outputs ~8 nonzero </w:t>
      </w:r>
      <w:r w:rsidRPr="003964D6">
        <w:t>β</w:t>
      </w:r>
      <w:r>
        <w:t>’s. There is minimal difference here in terms of model size, and we select lambda.1se to use in our model.</w:t>
      </w:r>
    </w:p>
    <w:p w14:paraId="3E06F517" w14:textId="731199F6" w:rsidR="003964D6" w:rsidRDefault="00ED677E" w:rsidP="003964D6">
      <w:r>
        <w:t>We output variables from lambda.1se and run a linear model with the 8 selected variables. Our initial model using these variables produces the following output:</w:t>
      </w:r>
    </w:p>
    <w:p w14:paraId="08D22F22"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Call:</w:t>
      </w:r>
    </w:p>
    <w:p w14:paraId="0266E281"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roofErr w:type="spellStart"/>
      <w:r w:rsidRPr="003964D6">
        <w:rPr>
          <w:rFonts w:ascii="Monaco" w:eastAsia="Times New Roman" w:hAnsi="Monaco" w:cs="Courier New"/>
          <w:color w:val="000000"/>
          <w:sz w:val="18"/>
          <w:szCs w:val="18"/>
          <w:lang w:val="en-US" w:eastAsia="en-US"/>
        </w:rPr>
        <w:t>lm</w:t>
      </w:r>
      <w:proofErr w:type="spellEnd"/>
      <w:r w:rsidRPr="003964D6">
        <w:rPr>
          <w:rFonts w:ascii="Monaco" w:eastAsia="Times New Roman" w:hAnsi="Monaco" w:cs="Courier New"/>
          <w:color w:val="000000"/>
          <w:sz w:val="18"/>
          <w:szCs w:val="18"/>
          <w:lang w:val="en-US" w:eastAsia="en-US"/>
        </w:rPr>
        <w:t xml:space="preserve">(formula = </w:t>
      </w:r>
      <w:proofErr w:type="spellStart"/>
      <w:r w:rsidRPr="003964D6">
        <w:rPr>
          <w:rFonts w:ascii="Monaco" w:eastAsia="Times New Roman" w:hAnsi="Monaco" w:cs="Courier New"/>
          <w:color w:val="000000"/>
          <w:sz w:val="18"/>
          <w:szCs w:val="18"/>
          <w:lang w:val="en-US" w:eastAsia="en-US"/>
        </w:rPr>
        <w:t>lm.input</w:t>
      </w:r>
      <w:proofErr w:type="spellEnd"/>
      <w:r w:rsidRPr="003964D6">
        <w:rPr>
          <w:rFonts w:ascii="Monaco" w:eastAsia="Times New Roman" w:hAnsi="Monaco" w:cs="Courier New"/>
          <w:color w:val="000000"/>
          <w:sz w:val="18"/>
          <w:szCs w:val="18"/>
          <w:lang w:val="en-US" w:eastAsia="en-US"/>
        </w:rPr>
        <w:t xml:space="preserve">, data = </w:t>
      </w:r>
      <w:proofErr w:type="spellStart"/>
      <w:r w:rsidRPr="003964D6">
        <w:rPr>
          <w:rFonts w:ascii="Monaco" w:eastAsia="Times New Roman" w:hAnsi="Monaco" w:cs="Courier New"/>
          <w:color w:val="000000"/>
          <w:sz w:val="18"/>
          <w:szCs w:val="18"/>
          <w:lang w:val="en-US" w:eastAsia="en-US"/>
        </w:rPr>
        <w:t>data.happiness</w:t>
      </w:r>
      <w:proofErr w:type="spellEnd"/>
      <w:r w:rsidRPr="003964D6">
        <w:rPr>
          <w:rFonts w:ascii="Monaco" w:eastAsia="Times New Roman" w:hAnsi="Monaco" w:cs="Courier New"/>
          <w:color w:val="000000"/>
          <w:sz w:val="18"/>
          <w:szCs w:val="18"/>
          <w:lang w:val="en-US" w:eastAsia="en-US"/>
        </w:rPr>
        <w:t>)</w:t>
      </w:r>
    </w:p>
    <w:p w14:paraId="400C165A"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
    <w:p w14:paraId="2AC249F9"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Residuals:</w:t>
      </w:r>
    </w:p>
    <w:p w14:paraId="7A9CA6AD"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 xml:space="preserve">     Min       1Q   Median       3Q      Max </w:t>
      </w:r>
    </w:p>
    <w:p w14:paraId="66B33727"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 xml:space="preserve">-1.39938 -0.32213  0.05825  0.40495  0.88986 </w:t>
      </w:r>
    </w:p>
    <w:p w14:paraId="0457BA33"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
    <w:p w14:paraId="348EE0A3"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Coefficients:</w:t>
      </w:r>
    </w:p>
    <w:p w14:paraId="684CAA33"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 xml:space="preserve">                               Estimate Std. Error t value </w:t>
      </w:r>
      <w:proofErr w:type="spellStart"/>
      <w:r w:rsidRPr="003964D6">
        <w:rPr>
          <w:rFonts w:ascii="Monaco" w:eastAsia="Times New Roman" w:hAnsi="Monaco" w:cs="Courier New"/>
          <w:color w:val="000000"/>
          <w:sz w:val="18"/>
          <w:szCs w:val="18"/>
          <w:lang w:val="en-US" w:eastAsia="en-US"/>
        </w:rPr>
        <w:t>Pr</w:t>
      </w:r>
      <w:proofErr w:type="spellEnd"/>
      <w:r w:rsidRPr="003964D6">
        <w:rPr>
          <w:rFonts w:ascii="Monaco" w:eastAsia="Times New Roman" w:hAnsi="Monaco" w:cs="Courier New"/>
          <w:color w:val="000000"/>
          <w:sz w:val="18"/>
          <w:szCs w:val="18"/>
          <w:lang w:val="en-US" w:eastAsia="en-US"/>
        </w:rPr>
        <w:t xml:space="preserve">(&gt;|t|)    </w:t>
      </w:r>
    </w:p>
    <w:p w14:paraId="602A5053"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 xml:space="preserve">(Intercept)                    5.232608   1.820656   2.874 0.005236 ** </w:t>
      </w:r>
    </w:p>
    <w:p w14:paraId="52586C46"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roofErr w:type="spellStart"/>
      <w:r w:rsidRPr="003964D6">
        <w:rPr>
          <w:rFonts w:ascii="Monaco" w:eastAsia="Times New Roman" w:hAnsi="Monaco" w:cs="Courier New"/>
          <w:color w:val="000000"/>
          <w:sz w:val="18"/>
          <w:szCs w:val="18"/>
          <w:lang w:val="en-US" w:eastAsia="en-US"/>
        </w:rPr>
        <w:t>probOfDyingFromDisease</w:t>
      </w:r>
      <w:proofErr w:type="spellEnd"/>
      <w:r w:rsidRPr="003964D6">
        <w:rPr>
          <w:rFonts w:ascii="Monaco" w:eastAsia="Times New Roman" w:hAnsi="Monaco" w:cs="Courier New"/>
          <w:color w:val="000000"/>
          <w:sz w:val="18"/>
          <w:szCs w:val="18"/>
          <w:lang w:val="en-US" w:eastAsia="en-US"/>
        </w:rPr>
        <w:t xml:space="preserve">        -0.033839   0.018657  -1.814 0.073605 .  </w:t>
      </w:r>
    </w:p>
    <w:p w14:paraId="253E9764"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roofErr w:type="spellStart"/>
      <w:r w:rsidRPr="003964D6">
        <w:rPr>
          <w:rFonts w:ascii="Monaco" w:eastAsia="Times New Roman" w:hAnsi="Monaco" w:cs="Courier New"/>
          <w:color w:val="000000"/>
          <w:sz w:val="18"/>
          <w:szCs w:val="18"/>
          <w:lang w:val="en-US" w:eastAsia="en-US"/>
        </w:rPr>
        <w:t>alcoholSubstanceAbuse</w:t>
      </w:r>
      <w:proofErr w:type="spellEnd"/>
      <w:r w:rsidRPr="003964D6">
        <w:rPr>
          <w:rFonts w:ascii="Monaco" w:eastAsia="Times New Roman" w:hAnsi="Monaco" w:cs="Courier New"/>
          <w:color w:val="000000"/>
          <w:sz w:val="18"/>
          <w:szCs w:val="18"/>
          <w:lang w:val="en-US" w:eastAsia="en-US"/>
        </w:rPr>
        <w:t xml:space="preserve">          0.045335   0.019447   2.331 0.022362 *  </w:t>
      </w:r>
    </w:p>
    <w:p w14:paraId="6D42A89F"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roofErr w:type="spellStart"/>
      <w:r w:rsidRPr="003964D6">
        <w:rPr>
          <w:rFonts w:ascii="Monaco" w:eastAsia="Times New Roman" w:hAnsi="Monaco" w:cs="Courier New"/>
          <w:color w:val="000000"/>
          <w:sz w:val="18"/>
          <w:szCs w:val="18"/>
          <w:lang w:val="en-US" w:eastAsia="en-US"/>
        </w:rPr>
        <w:t>cleanFuelAndTech</w:t>
      </w:r>
      <w:proofErr w:type="spellEnd"/>
      <w:r w:rsidRPr="003964D6">
        <w:rPr>
          <w:rFonts w:ascii="Monaco" w:eastAsia="Times New Roman" w:hAnsi="Monaco" w:cs="Courier New"/>
          <w:color w:val="000000"/>
          <w:sz w:val="18"/>
          <w:szCs w:val="18"/>
          <w:lang w:val="en-US" w:eastAsia="en-US"/>
        </w:rPr>
        <w:t xml:space="preserve">               0.009349   0.004082   2.290 0.024753 *  </w:t>
      </w:r>
    </w:p>
    <w:p w14:paraId="314BDF0A"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roofErr w:type="spellStart"/>
      <w:r w:rsidRPr="003964D6">
        <w:rPr>
          <w:rFonts w:ascii="Monaco" w:eastAsia="Times New Roman" w:hAnsi="Monaco" w:cs="Courier New"/>
          <w:color w:val="000000"/>
          <w:sz w:val="18"/>
          <w:szCs w:val="18"/>
          <w:lang w:val="en-US" w:eastAsia="en-US"/>
        </w:rPr>
        <w:t>lifeExpectancy</w:t>
      </w:r>
      <w:proofErr w:type="spellEnd"/>
      <w:r w:rsidRPr="003964D6">
        <w:rPr>
          <w:rFonts w:ascii="Monaco" w:eastAsia="Times New Roman" w:hAnsi="Monaco" w:cs="Courier New"/>
          <w:color w:val="000000"/>
          <w:sz w:val="18"/>
          <w:szCs w:val="18"/>
          <w:lang w:val="en-US" w:eastAsia="en-US"/>
        </w:rPr>
        <w:t xml:space="preserve">                 0.019218   0.023368   0.822 0.413387    </w:t>
      </w:r>
    </w:p>
    <w:p w14:paraId="46B83F1A"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 xml:space="preserve">PopHealthcareExpGreaterThan10 -0.020303   0.009223  -2.201 0.030703 *  </w:t>
      </w:r>
    </w:p>
    <w:p w14:paraId="25599254"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RoadTrafficDeathRatePer100000 -0.041663   0.011996  -3.473 0.000848 ***</w:t>
      </w:r>
    </w:p>
    <w:p w14:paraId="784F57BC"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 xml:space="preserve">tobaccoAge15plus              -0.025841   0.007707  -3.353 0.001243 ** </w:t>
      </w:r>
    </w:p>
    <w:p w14:paraId="16E5C27B"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roofErr w:type="spellStart"/>
      <w:r w:rsidRPr="003964D6">
        <w:rPr>
          <w:rFonts w:ascii="Monaco" w:eastAsia="Times New Roman" w:hAnsi="Monaco" w:cs="Courier New"/>
          <w:color w:val="000000"/>
          <w:sz w:val="18"/>
          <w:szCs w:val="18"/>
          <w:lang w:val="en-US" w:eastAsia="en-US"/>
        </w:rPr>
        <w:t>uhcIndex</w:t>
      </w:r>
      <w:proofErr w:type="spellEnd"/>
      <w:r w:rsidRPr="003964D6">
        <w:rPr>
          <w:rFonts w:ascii="Monaco" w:eastAsia="Times New Roman" w:hAnsi="Monaco" w:cs="Courier New"/>
          <w:color w:val="000000"/>
          <w:sz w:val="18"/>
          <w:szCs w:val="18"/>
          <w:lang w:val="en-US" w:eastAsia="en-US"/>
        </w:rPr>
        <w:t xml:space="preserve">                      -0.001042   0.011233  -0.093 0.926357    </w:t>
      </w:r>
    </w:p>
    <w:p w14:paraId="0762B3D7"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w:t>
      </w:r>
    </w:p>
    <w:p w14:paraId="7099F9B2"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roofErr w:type="spellStart"/>
      <w:r w:rsidRPr="003964D6">
        <w:rPr>
          <w:rFonts w:ascii="Monaco" w:eastAsia="Times New Roman" w:hAnsi="Monaco" w:cs="Courier New"/>
          <w:color w:val="000000"/>
          <w:sz w:val="18"/>
          <w:szCs w:val="18"/>
          <w:lang w:val="en-US" w:eastAsia="en-US"/>
        </w:rPr>
        <w:t>Signif</w:t>
      </w:r>
      <w:proofErr w:type="spellEnd"/>
      <w:r w:rsidRPr="003964D6">
        <w:rPr>
          <w:rFonts w:ascii="Monaco" w:eastAsia="Times New Roman" w:hAnsi="Monaco" w:cs="Courier New"/>
          <w:color w:val="000000"/>
          <w:sz w:val="18"/>
          <w:szCs w:val="18"/>
          <w:lang w:val="en-US" w:eastAsia="en-US"/>
        </w:rPr>
        <w:t>. codes:  0 ‘***’ 0.001 ‘**’ 0.01 ‘*’ 0.05 ‘.’ 0.1 ‘ ’ 1</w:t>
      </w:r>
    </w:p>
    <w:p w14:paraId="5E0D2383"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p>
    <w:p w14:paraId="3918508D"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Residual standard error: 0.541 on 77 degrees of freedom</w:t>
      </w:r>
    </w:p>
    <w:p w14:paraId="74D703A4"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Multiple R-squared:  0.767,</w:t>
      </w:r>
      <w:r w:rsidRPr="003964D6">
        <w:rPr>
          <w:rFonts w:ascii="Monaco" w:eastAsia="Times New Roman" w:hAnsi="Monaco" w:cs="Courier New"/>
          <w:color w:val="000000"/>
          <w:sz w:val="18"/>
          <w:szCs w:val="18"/>
          <w:lang w:val="en-US" w:eastAsia="en-US"/>
        </w:rPr>
        <w:tab/>
        <w:t xml:space="preserve">Adjusted R-squared:  0.7428 </w:t>
      </w:r>
    </w:p>
    <w:p w14:paraId="77B3A349" w14:textId="77777777" w:rsidR="003964D6" w:rsidRPr="003964D6" w:rsidRDefault="003964D6" w:rsidP="0039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sz w:val="18"/>
          <w:szCs w:val="18"/>
          <w:lang w:val="en-US" w:eastAsia="en-US"/>
        </w:rPr>
      </w:pPr>
      <w:r w:rsidRPr="003964D6">
        <w:rPr>
          <w:rFonts w:ascii="Monaco" w:eastAsia="Times New Roman" w:hAnsi="Monaco" w:cs="Courier New"/>
          <w:color w:val="000000"/>
          <w:sz w:val="18"/>
          <w:szCs w:val="18"/>
          <w:lang w:val="en-US" w:eastAsia="en-US"/>
        </w:rPr>
        <w:t>F-statistic: 31.68 on 8 and 77 DF,  p-value: &lt; 2.2e-16</w:t>
      </w:r>
    </w:p>
    <w:p w14:paraId="0082E772" w14:textId="4365B133" w:rsidR="00405ECA" w:rsidRDefault="00405ECA" w:rsidP="00E3440B">
      <w:pPr>
        <w:rPr>
          <w:rFonts w:ascii="Times New Roman" w:eastAsia="Times New Roman" w:hAnsi="Times New Roman" w:cs="Times New Roman"/>
          <w:sz w:val="24"/>
          <w:szCs w:val="24"/>
          <w:lang w:val="en-US" w:eastAsia="en-US"/>
        </w:rPr>
      </w:pPr>
    </w:p>
    <w:p w14:paraId="5D4F91BC" w14:textId="3330BAC4" w:rsidR="00ED677E" w:rsidRDefault="00ED677E" w:rsidP="00E3440B">
      <w:r w:rsidRPr="00ED677E">
        <w:t>While</w:t>
      </w:r>
      <w:r>
        <w:t xml:space="preserve"> this is a fairly strong model, we see that a number of the selected variables are not significant at the .05 level. We need to take additional steps to fine tune the model and eliminate some variables which are not significant.</w:t>
      </w:r>
    </w:p>
    <w:p w14:paraId="01C23849" w14:textId="11082DEE" w:rsidR="00ED677E" w:rsidRDefault="00BB4BE9" w:rsidP="00BB4BE9">
      <w:pPr>
        <w:pStyle w:val="NoSpacing"/>
        <w:rPr>
          <w:b/>
          <w:bCs/>
          <w:u w:val="single"/>
        </w:rPr>
      </w:pPr>
      <w:r>
        <w:rPr>
          <w:b/>
          <w:bCs/>
          <w:u w:val="single"/>
        </w:rPr>
        <w:t>Fine-tuning</w:t>
      </w:r>
    </w:p>
    <w:p w14:paraId="01D6C314" w14:textId="4D1A6845" w:rsidR="00BB4BE9" w:rsidRPr="00BB4BE9" w:rsidRDefault="00BB4BE9" w:rsidP="00E3440B">
      <w:r>
        <w:t xml:space="preserve">First, we use </w:t>
      </w:r>
      <w:proofErr w:type="spellStart"/>
      <w:r>
        <w:t>regsubsets</w:t>
      </w:r>
      <w:proofErr w:type="spellEnd"/>
      <w:r>
        <w:t xml:space="preserve"> to fine tune our model, taking the predictors from our LASSO output and lowering the dimension. We then use Cp to cut the dimension further.</w:t>
      </w:r>
    </w:p>
    <w:p w14:paraId="678028FE" w14:textId="168AB5DB" w:rsidR="00405ECA" w:rsidRDefault="00BB4BE9" w:rsidP="00E3440B">
      <w:r>
        <w:rPr>
          <w:noProof/>
        </w:rPr>
        <w:lastRenderedPageBreak/>
        <w:drawing>
          <wp:inline distT="0" distB="0" distL="0" distR="0" wp14:anchorId="626F5C10" wp14:editId="201FBD64">
            <wp:extent cx="5731510" cy="3532505"/>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49223E47" w14:textId="576AA9C0" w:rsidR="00405ECA" w:rsidRDefault="00C1605A" w:rsidP="00E3440B">
      <w:r>
        <w:t>We choose to use the model that minimizes Cp, resulting in a model size of 6. We find the set of variables with min Cp and use these to fit the next model.</w:t>
      </w:r>
    </w:p>
    <w:p w14:paraId="22D8975B"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Call:</w:t>
      </w:r>
    </w:p>
    <w:p w14:paraId="6A3340E5" w14:textId="77777777" w:rsidR="00C1605A" w:rsidRDefault="00C1605A" w:rsidP="00C1605A">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lm</w:t>
      </w:r>
      <w:proofErr w:type="spellEnd"/>
      <w:r>
        <w:rPr>
          <w:rFonts w:ascii="Monaco" w:hAnsi="Monaco"/>
          <w:color w:val="000000"/>
          <w:sz w:val="18"/>
          <w:szCs w:val="18"/>
        </w:rPr>
        <w:t xml:space="preserve">(formula = </w:t>
      </w:r>
      <w:proofErr w:type="spellStart"/>
      <w:r>
        <w:rPr>
          <w:rFonts w:ascii="Monaco" w:hAnsi="Monaco"/>
          <w:color w:val="000000"/>
          <w:sz w:val="18"/>
          <w:szCs w:val="18"/>
        </w:rPr>
        <w:t>Happiness.Score</w:t>
      </w:r>
      <w:proofErr w:type="spellEnd"/>
      <w:r>
        <w:rPr>
          <w:rFonts w:ascii="Monaco" w:hAnsi="Monaco"/>
          <w:color w:val="000000"/>
          <w:sz w:val="18"/>
          <w:szCs w:val="18"/>
        </w:rPr>
        <w:t xml:space="preserve"> ~ ., data = </w:t>
      </w:r>
      <w:proofErr w:type="spellStart"/>
      <w:r>
        <w:rPr>
          <w:rFonts w:ascii="Monaco" w:hAnsi="Monaco"/>
          <w:color w:val="000000"/>
          <w:sz w:val="18"/>
          <w:szCs w:val="18"/>
        </w:rPr>
        <w:t>data.happiness</w:t>
      </w:r>
      <w:proofErr w:type="spellEnd"/>
      <w:r>
        <w:rPr>
          <w:rFonts w:ascii="Monaco" w:hAnsi="Monaco"/>
          <w:color w:val="000000"/>
          <w:sz w:val="18"/>
          <w:szCs w:val="18"/>
        </w:rPr>
        <w:t>[, c("</w:t>
      </w:r>
      <w:proofErr w:type="spellStart"/>
      <w:r>
        <w:rPr>
          <w:rFonts w:ascii="Monaco" w:hAnsi="Monaco"/>
          <w:color w:val="000000"/>
          <w:sz w:val="18"/>
          <w:szCs w:val="18"/>
        </w:rPr>
        <w:t>Happiness.Score</w:t>
      </w:r>
      <w:proofErr w:type="spellEnd"/>
      <w:r>
        <w:rPr>
          <w:rFonts w:ascii="Monaco" w:hAnsi="Monaco"/>
          <w:color w:val="000000"/>
          <w:sz w:val="18"/>
          <w:szCs w:val="18"/>
        </w:rPr>
        <w:t xml:space="preserve">", </w:t>
      </w:r>
    </w:p>
    <w:p w14:paraId="4B4D82EF"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cp.var</w:t>
      </w:r>
      <w:proofErr w:type="spellEnd"/>
      <w:r>
        <w:rPr>
          <w:rFonts w:ascii="Monaco" w:hAnsi="Monaco"/>
          <w:color w:val="000000"/>
          <w:sz w:val="18"/>
          <w:szCs w:val="18"/>
        </w:rPr>
        <w:t>)])</w:t>
      </w:r>
    </w:p>
    <w:p w14:paraId="77A4DA52" w14:textId="77777777" w:rsidR="00C1605A" w:rsidRDefault="00C1605A" w:rsidP="00C1605A">
      <w:pPr>
        <w:pStyle w:val="HTMLPreformatted"/>
        <w:shd w:val="clear" w:color="auto" w:fill="FFFFFF"/>
        <w:rPr>
          <w:rFonts w:ascii="Monaco" w:hAnsi="Monaco"/>
          <w:color w:val="000000"/>
          <w:sz w:val="18"/>
          <w:szCs w:val="18"/>
        </w:rPr>
      </w:pPr>
    </w:p>
    <w:p w14:paraId="0A587148"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Residuals:</w:t>
      </w:r>
    </w:p>
    <w:p w14:paraId="7DFE836F"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 xml:space="preserve">     Min       1Q   Median       3Q      Max </w:t>
      </w:r>
    </w:p>
    <w:p w14:paraId="280546F1"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 xml:space="preserve">-1.49571 -0.33069  0.05584  0.42266  0.93652 </w:t>
      </w:r>
    </w:p>
    <w:p w14:paraId="6D7F4AB6" w14:textId="77777777" w:rsidR="00C1605A" w:rsidRDefault="00C1605A" w:rsidP="00C1605A">
      <w:pPr>
        <w:pStyle w:val="HTMLPreformatted"/>
        <w:shd w:val="clear" w:color="auto" w:fill="FFFFFF"/>
        <w:rPr>
          <w:rFonts w:ascii="Monaco" w:hAnsi="Monaco"/>
          <w:color w:val="000000"/>
          <w:sz w:val="18"/>
          <w:szCs w:val="18"/>
        </w:rPr>
      </w:pPr>
    </w:p>
    <w:p w14:paraId="47622D0A"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Coefficients:</w:t>
      </w:r>
    </w:p>
    <w:p w14:paraId="1C66BB77"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 xml:space="preserve">                               Estimate Std. Error t value </w:t>
      </w:r>
      <w:proofErr w:type="spellStart"/>
      <w:r>
        <w:rPr>
          <w:rFonts w:ascii="Monaco" w:hAnsi="Monaco"/>
          <w:color w:val="000000"/>
          <w:sz w:val="18"/>
          <w:szCs w:val="18"/>
        </w:rPr>
        <w:t>Pr</w:t>
      </w:r>
      <w:proofErr w:type="spellEnd"/>
      <w:r>
        <w:rPr>
          <w:rFonts w:ascii="Monaco" w:hAnsi="Monaco"/>
          <w:color w:val="000000"/>
          <w:sz w:val="18"/>
          <w:szCs w:val="18"/>
        </w:rPr>
        <w:t xml:space="preserve">(&gt;|t|)    </w:t>
      </w:r>
    </w:p>
    <w:p w14:paraId="2C328E1C"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(Intercept)                    6.736043   0.399032  16.881  &lt; 2e-16 ***</w:t>
      </w:r>
    </w:p>
    <w:p w14:paraId="2A82A5C2" w14:textId="77777777" w:rsidR="00C1605A" w:rsidRDefault="00C1605A" w:rsidP="00C1605A">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probOfDyingFromDisease</w:t>
      </w:r>
      <w:proofErr w:type="spellEnd"/>
      <w:r>
        <w:rPr>
          <w:rFonts w:ascii="Monaco" w:hAnsi="Monaco"/>
          <w:color w:val="000000"/>
          <w:sz w:val="18"/>
          <w:szCs w:val="18"/>
        </w:rPr>
        <w:t xml:space="preserve">        -0.044038   0.013626  -3.232  0.00179 ** </w:t>
      </w:r>
    </w:p>
    <w:p w14:paraId="711DD84B" w14:textId="77777777" w:rsidR="00C1605A" w:rsidRDefault="00C1605A" w:rsidP="00C1605A">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alcoholSubstanceAbuse</w:t>
      </w:r>
      <w:proofErr w:type="spellEnd"/>
      <w:r>
        <w:rPr>
          <w:rFonts w:ascii="Monaco" w:hAnsi="Monaco"/>
          <w:color w:val="000000"/>
          <w:sz w:val="18"/>
          <w:szCs w:val="18"/>
        </w:rPr>
        <w:t xml:space="preserve">          0.045474   0.018308   2.484  0.01511 *  </w:t>
      </w:r>
    </w:p>
    <w:p w14:paraId="20FFA6C4" w14:textId="77777777" w:rsidR="00C1605A" w:rsidRDefault="00C1605A" w:rsidP="00C1605A">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cleanFuelAndTech</w:t>
      </w:r>
      <w:proofErr w:type="spellEnd"/>
      <w:r>
        <w:rPr>
          <w:rFonts w:ascii="Monaco" w:hAnsi="Monaco"/>
          <w:color w:val="000000"/>
          <w:sz w:val="18"/>
          <w:szCs w:val="18"/>
        </w:rPr>
        <w:t xml:space="preserve">               0.010324   0.002504   4.123 9.17e-05 ***</w:t>
      </w:r>
    </w:p>
    <w:p w14:paraId="0AAD67E0"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 xml:space="preserve">PopHealthcareExpGreaterThan10 -0.018938   0.008987  -2.107  0.03826 *  </w:t>
      </w:r>
    </w:p>
    <w:p w14:paraId="3976B878"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RoadTrafficDeathRatePer100000 -0.046325   0.010532  -4.399 3.37e-05 ***</w:t>
      </w:r>
    </w:p>
    <w:p w14:paraId="1A8FA0FF"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 xml:space="preserve">tobaccoAge15plus              -0.024630   0.007489  -3.289  0.00150 ** </w:t>
      </w:r>
    </w:p>
    <w:p w14:paraId="13202278"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w:t>
      </w:r>
    </w:p>
    <w:p w14:paraId="52D7022D" w14:textId="77777777" w:rsidR="00C1605A" w:rsidRDefault="00C1605A" w:rsidP="00C1605A">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codes:  0 ‘***’ 0.001 ‘**’ 0.01 ‘*’ 0.05 ‘.’ 0.1 ‘ ’ 1</w:t>
      </w:r>
    </w:p>
    <w:p w14:paraId="1D7B551C" w14:textId="77777777" w:rsidR="00C1605A" w:rsidRDefault="00C1605A" w:rsidP="00C1605A">
      <w:pPr>
        <w:pStyle w:val="HTMLPreformatted"/>
        <w:shd w:val="clear" w:color="auto" w:fill="FFFFFF"/>
        <w:rPr>
          <w:rFonts w:ascii="Monaco" w:hAnsi="Monaco"/>
          <w:color w:val="000000"/>
          <w:sz w:val="18"/>
          <w:szCs w:val="18"/>
        </w:rPr>
      </w:pPr>
    </w:p>
    <w:p w14:paraId="1F7CE811"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Residual standard error: 0.5366 on 79 degrees of freedom</w:t>
      </w:r>
    </w:p>
    <w:p w14:paraId="15DFA64D"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Multiple R-squared:  0.7648,</w:t>
      </w:r>
      <w:r>
        <w:rPr>
          <w:rFonts w:ascii="Monaco" w:hAnsi="Monaco"/>
          <w:color w:val="000000"/>
          <w:sz w:val="18"/>
          <w:szCs w:val="18"/>
        </w:rPr>
        <w:tab/>
        <w:t xml:space="preserve">Adjusted R-squared:  0.7469 </w:t>
      </w:r>
    </w:p>
    <w:p w14:paraId="3FFB8E72" w14:textId="77777777" w:rsidR="00C1605A" w:rsidRDefault="00C1605A" w:rsidP="00C1605A">
      <w:pPr>
        <w:pStyle w:val="HTMLPreformatted"/>
        <w:shd w:val="clear" w:color="auto" w:fill="FFFFFF"/>
        <w:rPr>
          <w:rFonts w:ascii="Monaco" w:hAnsi="Monaco"/>
          <w:color w:val="000000"/>
          <w:sz w:val="18"/>
          <w:szCs w:val="18"/>
        </w:rPr>
      </w:pPr>
      <w:r>
        <w:rPr>
          <w:rFonts w:ascii="Monaco" w:hAnsi="Monaco"/>
          <w:color w:val="000000"/>
          <w:sz w:val="18"/>
          <w:szCs w:val="18"/>
        </w:rPr>
        <w:t>F-statistic: 42.82 on 6 and 79 DF,  p-value: &lt; 2.2e-16</w:t>
      </w:r>
    </w:p>
    <w:p w14:paraId="1764267A" w14:textId="1EC8F6CE" w:rsidR="00E3440B" w:rsidRDefault="00E3440B" w:rsidP="00800624"/>
    <w:p w14:paraId="7A8689A1" w14:textId="1E150B26" w:rsidR="001B602D" w:rsidRDefault="00C1605A" w:rsidP="00800624">
      <w:r>
        <w:t xml:space="preserve">Our new model </w:t>
      </w:r>
      <w:r w:rsidR="004052A9">
        <w:t xml:space="preserve">includes 6 variables, which are all significant at the .05 level. As a result, we do not need to do any additional tuning to further eliminate insignificant variables. If </w:t>
      </w:r>
      <w:r w:rsidR="001B602D">
        <w:t>we still had insignificant variables at this stage, we would reduce the model further using a method such as backwards selection until all variables were significant.</w:t>
      </w:r>
      <w:r w:rsidR="006A5289">
        <w:t xml:space="preserve"> Since all variables are significant, we can take this as our final model.</w:t>
      </w:r>
    </w:p>
    <w:p w14:paraId="285979F0" w14:textId="17DD5275" w:rsidR="006A5289" w:rsidRDefault="006A5289" w:rsidP="00800624">
      <w:r>
        <w:lastRenderedPageBreak/>
        <w:t>We next do a quick model diagnosis to test our linear model assumptions.</w:t>
      </w:r>
    </w:p>
    <w:p w14:paraId="20B0FE7D" w14:textId="5F4868B1" w:rsidR="006A5289" w:rsidRDefault="006A5289" w:rsidP="00800624">
      <w:r>
        <w:rPr>
          <w:noProof/>
        </w:rPr>
        <w:drawing>
          <wp:inline distT="0" distB="0" distL="0" distR="0" wp14:anchorId="254AAFBC" wp14:editId="4F648B7F">
            <wp:extent cx="5731510" cy="3532505"/>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77E53B2B" w14:textId="3FA63FD0" w:rsidR="006A5289" w:rsidRDefault="006A5289" w:rsidP="00800624"/>
    <w:p w14:paraId="459B47C1" w14:textId="6119C2C5" w:rsidR="006A5289" w:rsidRDefault="006A5289" w:rsidP="00800624">
      <w:r>
        <w:rPr>
          <w:noProof/>
        </w:rPr>
        <w:drawing>
          <wp:inline distT="0" distB="0" distL="0" distR="0" wp14:anchorId="050D3D2B" wp14:editId="213AAD2B">
            <wp:extent cx="5731510" cy="3532505"/>
            <wp:effectExtent l="0" t="0" r="0" b="0"/>
            <wp:docPr id="34" name="Picture 3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05EB9C32" w14:textId="3AD3CD4E" w:rsidR="006A5289" w:rsidRDefault="006A5289" w:rsidP="00800624">
      <w:r>
        <w:t>Our residual plot does not show any clear pattern, and our normal Q-Q plot is for the most part linear, other than a slight deviation at the high end. While the linear model assumptions are not perfect, we can say from these plots that they are reasonably satisfied.</w:t>
      </w:r>
    </w:p>
    <w:p w14:paraId="50A8C546" w14:textId="6A780A71" w:rsidR="004052A9" w:rsidRPr="00EE4B3A" w:rsidRDefault="004052A9" w:rsidP="00EE4B3A">
      <w:pPr>
        <w:pStyle w:val="Heading2"/>
        <w:rPr>
          <w:b/>
          <w:bCs/>
        </w:rPr>
      </w:pPr>
      <w:r w:rsidRPr="00EE4B3A">
        <w:rPr>
          <w:b/>
          <w:bCs/>
        </w:rPr>
        <w:lastRenderedPageBreak/>
        <w:t>Model Interpretation</w:t>
      </w:r>
    </w:p>
    <w:p w14:paraId="4FAB7B84" w14:textId="084E5B31" w:rsidR="006A5289" w:rsidRDefault="006A5289" w:rsidP="006A5289">
      <w:pPr>
        <w:pStyle w:val="NoSpacing"/>
      </w:pPr>
      <w:r>
        <w:t>Our final model for predicting happiness based on health factors includes six variables:</w:t>
      </w:r>
    </w:p>
    <w:p w14:paraId="410D11E3" w14:textId="77777777" w:rsidR="006A5289" w:rsidRDefault="006A5289" w:rsidP="006A5289">
      <w:pPr>
        <w:pStyle w:val="NoSpacing"/>
      </w:pPr>
    </w:p>
    <w:p w14:paraId="1A357A7A" w14:textId="4F7EF1E1" w:rsidR="006A5289" w:rsidRDefault="006A5289" w:rsidP="006A5289">
      <w:pPr>
        <w:pStyle w:val="NoSpacing"/>
        <w:numPr>
          <w:ilvl w:val="0"/>
          <w:numId w:val="2"/>
        </w:numPr>
      </w:pPr>
      <w:r>
        <w:t>Probability of dying from common diseases between the ages of 30 and 70</w:t>
      </w:r>
    </w:p>
    <w:p w14:paraId="54121C7A" w14:textId="287E4AAA" w:rsidR="006A5289" w:rsidRDefault="006A5289" w:rsidP="006A5289">
      <w:pPr>
        <w:pStyle w:val="NoSpacing"/>
        <w:numPr>
          <w:ilvl w:val="0"/>
          <w:numId w:val="2"/>
        </w:numPr>
      </w:pPr>
      <w:r>
        <w:t>Alcohol substance abuse per capita</w:t>
      </w:r>
    </w:p>
    <w:p w14:paraId="7CD550D7" w14:textId="34178BE5" w:rsidR="006A5289" w:rsidRPr="006A5289" w:rsidRDefault="006A5289" w:rsidP="006A5289">
      <w:pPr>
        <w:pStyle w:val="ListParagraph"/>
        <w:numPr>
          <w:ilvl w:val="0"/>
          <w:numId w:val="2"/>
        </w:numPr>
        <w:spacing w:after="0" w:line="240" w:lineRule="auto"/>
      </w:pPr>
      <w:r w:rsidRPr="006A5289">
        <w:t>Proportion of population with primary reliance on clean fuels and technologies</w:t>
      </w:r>
    </w:p>
    <w:p w14:paraId="100314EE" w14:textId="101A17EF" w:rsidR="006A5289" w:rsidRDefault="006A5289" w:rsidP="006A5289">
      <w:pPr>
        <w:pStyle w:val="NoSpacing"/>
        <w:numPr>
          <w:ilvl w:val="0"/>
          <w:numId w:val="2"/>
        </w:numPr>
      </w:pPr>
      <w:r>
        <w:t>Proportion of population with household expenditures on health greater than 10% of total household income</w:t>
      </w:r>
    </w:p>
    <w:p w14:paraId="5414DAE1" w14:textId="6728CFAA" w:rsidR="006A5289" w:rsidRDefault="004170C9" w:rsidP="006A5289">
      <w:pPr>
        <w:pStyle w:val="NoSpacing"/>
        <w:numPr>
          <w:ilvl w:val="0"/>
          <w:numId w:val="2"/>
        </w:numPr>
      </w:pPr>
      <w:r>
        <w:t>Road traffic death rate</w:t>
      </w:r>
    </w:p>
    <w:p w14:paraId="23B39F7A" w14:textId="0905EFE7" w:rsidR="004170C9" w:rsidRDefault="004170C9" w:rsidP="006A5289">
      <w:pPr>
        <w:pStyle w:val="NoSpacing"/>
        <w:numPr>
          <w:ilvl w:val="0"/>
          <w:numId w:val="2"/>
        </w:numPr>
      </w:pPr>
      <w:r>
        <w:t>Prevalence of tobacco use among people 15 and older</w:t>
      </w:r>
    </w:p>
    <w:p w14:paraId="43D119AE" w14:textId="47D2FADB" w:rsidR="004170C9" w:rsidRDefault="004170C9" w:rsidP="004170C9">
      <w:pPr>
        <w:pStyle w:val="NoSpacing"/>
      </w:pPr>
    </w:p>
    <w:p w14:paraId="03EE8AD0" w14:textId="472CD7DD" w:rsidR="004170C9" w:rsidRDefault="00D61983" w:rsidP="004170C9">
      <w:pPr>
        <w:pStyle w:val="NoSpacing"/>
      </w:pPr>
      <w:r>
        <w:t>For the most part,</w:t>
      </w:r>
      <w:r w:rsidR="00D57472">
        <w:t xml:space="preserve"> these variables all impact </w:t>
      </w:r>
      <w:r>
        <w:t xml:space="preserve">happiness in our model in the way which we would expect. </w:t>
      </w:r>
      <w:r w:rsidR="002A72E8">
        <w:t xml:space="preserve">An increase in the use of clean fuel and technologies results in an increase in happiness. </w:t>
      </w:r>
      <w:r w:rsidR="00736E00">
        <w:t xml:space="preserve">While there are several reasons why this could be the case, </w:t>
      </w:r>
      <w:r w:rsidR="004718BE">
        <w:t xml:space="preserve">use of clean fuel and technologies could have an impact on overall health, as it most likely impacts pollution levels. It is possible that countries that use more clean fuel and technologies have lower levels </w:t>
      </w:r>
      <w:r w:rsidR="002E43BB">
        <w:t xml:space="preserve">of respiratory diseases. </w:t>
      </w:r>
      <w:r w:rsidR="00D9533B">
        <w:t>Countries that use clean technologies may also be more concerned with factors like the environment and citizen health, which could be related to higher happiness.</w:t>
      </w:r>
    </w:p>
    <w:p w14:paraId="1E620EEE" w14:textId="32E38B8A" w:rsidR="00D9533B" w:rsidRDefault="00D9533B" w:rsidP="004170C9">
      <w:pPr>
        <w:pStyle w:val="NoSpacing"/>
      </w:pPr>
    </w:p>
    <w:p w14:paraId="5E6D071F" w14:textId="47975BBF" w:rsidR="00D9533B" w:rsidRDefault="00D9533B" w:rsidP="004170C9">
      <w:pPr>
        <w:pStyle w:val="NoSpacing"/>
      </w:pPr>
      <w:r>
        <w:t xml:space="preserve">Increases in probability of dying from diseases, proportion of population with healthcare expenditures greater than 10% of total household income, road traffic death rate, and prevalence of tobacco use all resulted in decrease happiness. These are all fairly predictable, as decreasing any of these variables would generally lead to an expected increase in quality of life. </w:t>
      </w:r>
      <w:r w:rsidR="00B920E2">
        <w:t xml:space="preserve">There may also be some connection between these variables. For example, we might expect countries with higher tobacco use to spend more on healthcare. The </w:t>
      </w:r>
      <w:r w:rsidR="009E5B92">
        <w:t xml:space="preserve">largest negative coefficient </w:t>
      </w:r>
      <w:r w:rsidR="00B920E2">
        <w:t>was road traffic death rate</w:t>
      </w:r>
      <w:r w:rsidR="009E5B92">
        <w:t>. It is possible that a higher road traffic death rate could be linked to worse overall infrastructure</w:t>
      </w:r>
      <w:r w:rsidR="00222C11">
        <w:t xml:space="preserve">/development </w:t>
      </w:r>
      <w:r w:rsidR="009E5B92">
        <w:t>in a country</w:t>
      </w:r>
      <w:r w:rsidR="00222C11">
        <w:t>, which we would expect in less happy countries.</w:t>
      </w:r>
    </w:p>
    <w:p w14:paraId="14A79A10" w14:textId="7CCE0BF6" w:rsidR="00E66F00" w:rsidRDefault="00E66F00" w:rsidP="004170C9">
      <w:pPr>
        <w:pStyle w:val="NoSpacing"/>
      </w:pPr>
    </w:p>
    <w:p w14:paraId="606129E4" w14:textId="201B2B9F" w:rsidR="006A5289" w:rsidRPr="00DD5F4C" w:rsidRDefault="00E66F00" w:rsidP="00DD5F4C">
      <w:pPr>
        <w:pStyle w:val="NoSpacing"/>
      </w:pPr>
      <w:r>
        <w:t xml:space="preserve">The one interesting relationship we observe is that alcohol substance abuse has a positive relationship with happiness. </w:t>
      </w:r>
      <w:r w:rsidR="0073348F">
        <w:t xml:space="preserve">We would generally expect alcoholism to be more prevalent in countries that are unhappy, so this is surprising to observe. It is difficult to pinpoint the exact reason for this. This could be because of the interaction with the other variables, or it could be that </w:t>
      </w:r>
      <w:r w:rsidR="00DD5F4C">
        <w:t>richer countries generally consume more alcohol overall, and richer countries tend to be happier.</w:t>
      </w:r>
    </w:p>
    <w:p w14:paraId="17CA3729" w14:textId="3C6FA355" w:rsidR="00CD5C87" w:rsidRDefault="00CD5C87" w:rsidP="007972A8">
      <w:pPr>
        <w:pStyle w:val="NoSpacing"/>
      </w:pPr>
    </w:p>
    <w:p w14:paraId="7F9DB984" w14:textId="7619FB7B" w:rsidR="00CC35A1" w:rsidRDefault="00CC35A1" w:rsidP="00E800A1">
      <w:pPr>
        <w:pStyle w:val="NoSpacing"/>
      </w:pPr>
    </w:p>
    <w:p w14:paraId="5DD1A5E7" w14:textId="77777777" w:rsidR="00EE4B3A" w:rsidRDefault="00EE4B3A" w:rsidP="00E800A1">
      <w:pPr>
        <w:pStyle w:val="NoSpacing"/>
      </w:pPr>
    </w:p>
    <w:p w14:paraId="2C6697E2" w14:textId="76DD8E71" w:rsidR="00ED4651" w:rsidRDefault="00ED4651" w:rsidP="00E800A1">
      <w:pPr>
        <w:pStyle w:val="NoSpacing"/>
      </w:pPr>
    </w:p>
    <w:p w14:paraId="2CAE80FC" w14:textId="3D9707CF" w:rsidR="00ED4651" w:rsidRDefault="00ED4651" w:rsidP="00E800A1">
      <w:pPr>
        <w:pStyle w:val="NoSpacing"/>
      </w:pPr>
    </w:p>
    <w:p w14:paraId="661355E1" w14:textId="0ED29619" w:rsidR="00ED4651" w:rsidRDefault="00ED4651" w:rsidP="00E800A1">
      <w:pPr>
        <w:pStyle w:val="NoSpacing"/>
      </w:pPr>
    </w:p>
    <w:p w14:paraId="3FD4EC23" w14:textId="6673D740" w:rsidR="00ED4651" w:rsidRDefault="00ED4651" w:rsidP="00E800A1">
      <w:pPr>
        <w:pStyle w:val="NoSpacing"/>
      </w:pPr>
    </w:p>
    <w:p w14:paraId="0515989B" w14:textId="288C2A6F" w:rsidR="00ED4651" w:rsidRDefault="00ED4651" w:rsidP="00E800A1">
      <w:pPr>
        <w:pStyle w:val="NoSpacing"/>
      </w:pPr>
    </w:p>
    <w:p w14:paraId="244499AD" w14:textId="77777777" w:rsidR="00ED4651" w:rsidRDefault="00ED4651" w:rsidP="00E800A1">
      <w:pPr>
        <w:pStyle w:val="NoSpacing"/>
      </w:pPr>
    </w:p>
    <w:p w14:paraId="2AEF3D6B" w14:textId="46B57EF2" w:rsidR="00CC35A1" w:rsidRDefault="00CC35A1" w:rsidP="00E800A1">
      <w:pPr>
        <w:pStyle w:val="NoSpacing"/>
      </w:pPr>
    </w:p>
    <w:p w14:paraId="3BD3E3FA" w14:textId="4ADDD466" w:rsidR="00BF1F02" w:rsidRDefault="00BF1F02" w:rsidP="00E800A1">
      <w:pPr>
        <w:pStyle w:val="NoSpacing"/>
      </w:pPr>
    </w:p>
    <w:p w14:paraId="3B2A1A15" w14:textId="593766FA" w:rsidR="00BF1F02" w:rsidRDefault="00BF1F02" w:rsidP="00E800A1">
      <w:pPr>
        <w:pStyle w:val="NoSpacing"/>
      </w:pPr>
    </w:p>
    <w:p w14:paraId="3D766C5F" w14:textId="03285367" w:rsidR="00BF1F02" w:rsidRDefault="00BF1F02" w:rsidP="00E800A1">
      <w:pPr>
        <w:pStyle w:val="NoSpacing"/>
      </w:pPr>
    </w:p>
    <w:p w14:paraId="3D14568F" w14:textId="50497202" w:rsidR="00BF1F02" w:rsidRDefault="00BF1F02" w:rsidP="00E800A1">
      <w:pPr>
        <w:pStyle w:val="NoSpacing"/>
      </w:pPr>
    </w:p>
    <w:p w14:paraId="2CA7A133" w14:textId="35DFFFA3" w:rsidR="00BF1F02" w:rsidRDefault="00BF1F02" w:rsidP="00E800A1">
      <w:pPr>
        <w:pStyle w:val="NoSpacing"/>
      </w:pPr>
    </w:p>
    <w:p w14:paraId="6D5EEF72" w14:textId="6E14E372" w:rsidR="00BF1F02" w:rsidRDefault="00BF1F02" w:rsidP="00E800A1">
      <w:pPr>
        <w:pStyle w:val="NoSpacing"/>
      </w:pPr>
    </w:p>
    <w:p w14:paraId="32667025" w14:textId="77777777" w:rsidR="00BF1F02" w:rsidRDefault="00BF1F02" w:rsidP="00E800A1">
      <w:pPr>
        <w:pStyle w:val="NoSpacing"/>
      </w:pPr>
    </w:p>
    <w:p w14:paraId="1AE31833" w14:textId="195DC0E6" w:rsidR="00CC35A1" w:rsidRDefault="00CC35A1" w:rsidP="00CC35A1">
      <w:pPr>
        <w:pStyle w:val="NoSpacing"/>
        <w:rPr>
          <w:b/>
          <w:bCs/>
          <w:u w:val="single"/>
        </w:rPr>
      </w:pPr>
    </w:p>
    <w:p w14:paraId="3CBDECE7" w14:textId="6D386174" w:rsidR="00CC35A1" w:rsidRPr="00CC35A1" w:rsidRDefault="00CC35A1" w:rsidP="00CC35A1">
      <w:pPr>
        <w:pStyle w:val="Heading2"/>
        <w:rPr>
          <w:b/>
          <w:bCs/>
        </w:rPr>
      </w:pPr>
      <w:r w:rsidRPr="00CC35A1">
        <w:rPr>
          <w:b/>
          <w:bCs/>
        </w:rPr>
        <w:lastRenderedPageBreak/>
        <w:t>Appendix</w:t>
      </w:r>
    </w:p>
    <w:tbl>
      <w:tblPr>
        <w:tblStyle w:val="GridTable7Colorful"/>
        <w:tblpPr w:leftFromText="180" w:rightFromText="180" w:vertAnchor="text" w:horzAnchor="margin" w:tblpY="406"/>
        <w:tblW w:w="10255" w:type="dxa"/>
        <w:tblLook w:val="04A0" w:firstRow="1" w:lastRow="0" w:firstColumn="1" w:lastColumn="0" w:noHBand="0" w:noVBand="1"/>
      </w:tblPr>
      <w:tblGrid>
        <w:gridCol w:w="2035"/>
        <w:gridCol w:w="3405"/>
        <w:gridCol w:w="4815"/>
      </w:tblGrid>
      <w:tr w:rsidR="00CC35A1" w14:paraId="2D96DAFA" w14:textId="77777777" w:rsidTr="00CC35A1">
        <w:trPr>
          <w:cnfStyle w:val="100000000000" w:firstRow="1" w:lastRow="0" w:firstColumn="0" w:lastColumn="0" w:oddVBand="0" w:evenVBand="0" w:oddHBand="0" w:evenHBand="0" w:firstRowFirstColumn="0" w:firstRowLastColumn="0" w:lastRowFirstColumn="0" w:lastRowLastColumn="0"/>
          <w:trHeight w:val="271"/>
        </w:trPr>
        <w:tc>
          <w:tcPr>
            <w:cnfStyle w:val="001000000100" w:firstRow="0" w:lastRow="0" w:firstColumn="1" w:lastColumn="0" w:oddVBand="0" w:evenVBand="0" w:oddHBand="0" w:evenHBand="0" w:firstRowFirstColumn="1" w:firstRowLastColumn="0" w:lastRowFirstColumn="0" w:lastRowLastColumn="0"/>
            <w:tcW w:w="2035" w:type="dxa"/>
          </w:tcPr>
          <w:p w14:paraId="15242476" w14:textId="14D452C7" w:rsidR="00CC35A1" w:rsidRPr="0059332D" w:rsidRDefault="00CC35A1" w:rsidP="00CC35A1">
            <w:pPr>
              <w:pStyle w:val="NoSpacing"/>
            </w:pPr>
            <w:r w:rsidRPr="0059332D">
              <w:t>Subset</w:t>
            </w:r>
          </w:p>
        </w:tc>
        <w:tc>
          <w:tcPr>
            <w:tcW w:w="3405" w:type="dxa"/>
          </w:tcPr>
          <w:p w14:paraId="269784BB" w14:textId="77777777" w:rsidR="00CC35A1" w:rsidRPr="0059332D" w:rsidRDefault="00CC35A1" w:rsidP="00CC35A1">
            <w:pPr>
              <w:pStyle w:val="NoSpacing"/>
              <w:cnfStyle w:val="100000000000" w:firstRow="1" w:lastRow="0" w:firstColumn="0" w:lastColumn="0" w:oddVBand="0" w:evenVBand="0" w:oddHBand="0" w:evenHBand="0" w:firstRowFirstColumn="0" w:firstRowLastColumn="0" w:lastRowFirstColumn="0" w:lastRowLastColumn="0"/>
            </w:pPr>
            <w:r w:rsidRPr="0059332D">
              <w:t>Variable</w:t>
            </w:r>
          </w:p>
        </w:tc>
        <w:tc>
          <w:tcPr>
            <w:tcW w:w="4815" w:type="dxa"/>
          </w:tcPr>
          <w:p w14:paraId="1DCBC6D0" w14:textId="77777777" w:rsidR="00CC35A1" w:rsidRPr="0059332D" w:rsidRDefault="00CC35A1" w:rsidP="00CC35A1">
            <w:pPr>
              <w:pStyle w:val="NoSpacing"/>
              <w:cnfStyle w:val="100000000000" w:firstRow="1" w:lastRow="0" w:firstColumn="0" w:lastColumn="0" w:oddVBand="0" w:evenVBand="0" w:oddHBand="0" w:evenHBand="0" w:firstRowFirstColumn="0" w:firstRowLastColumn="0" w:lastRowFirstColumn="0" w:lastRowLastColumn="0"/>
            </w:pPr>
            <w:r w:rsidRPr="0059332D">
              <w:t>Definition</w:t>
            </w:r>
          </w:p>
        </w:tc>
      </w:tr>
      <w:tr w:rsidR="00CC35A1" w14:paraId="51A3BBDC" w14:textId="77777777" w:rsidTr="00CC35A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035" w:type="dxa"/>
            <w:vMerge w:val="restart"/>
          </w:tcPr>
          <w:p w14:paraId="0F5B7241" w14:textId="77777777" w:rsidR="00CC35A1" w:rsidRPr="00FF405A" w:rsidRDefault="00CC35A1" w:rsidP="00CC35A1">
            <w:pPr>
              <w:pStyle w:val="NoSpacing"/>
              <w:rPr>
                <w:b/>
                <w:bCs/>
              </w:rPr>
            </w:pPr>
            <w:r w:rsidRPr="00FF405A">
              <w:rPr>
                <w:b/>
                <w:bCs/>
              </w:rPr>
              <w:t>Life expectancy and Healthy life expectancy</w:t>
            </w:r>
          </w:p>
          <w:p w14:paraId="423ADB64" w14:textId="77777777" w:rsidR="00CC35A1" w:rsidRDefault="00CC35A1" w:rsidP="00CC35A1">
            <w:pPr>
              <w:pStyle w:val="NoSpacing"/>
            </w:pPr>
          </w:p>
        </w:tc>
        <w:tc>
          <w:tcPr>
            <w:tcW w:w="3405" w:type="dxa"/>
          </w:tcPr>
          <w:p w14:paraId="66FF5282"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proofErr w:type="spellStart"/>
            <w:r>
              <w:t>lifeExpectancyAtBirth</w:t>
            </w:r>
            <w:proofErr w:type="spellEnd"/>
          </w:p>
        </w:tc>
        <w:tc>
          <w:tcPr>
            <w:tcW w:w="4815" w:type="dxa"/>
          </w:tcPr>
          <w:p w14:paraId="6C0D347E"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Life expectancy at birth, country wise mentioned in age (years).</w:t>
            </w:r>
          </w:p>
        </w:tc>
      </w:tr>
      <w:tr w:rsidR="00CC35A1" w14:paraId="591EF2FC"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116ACAF4" w14:textId="77777777" w:rsidR="00CC35A1" w:rsidRDefault="00CC35A1" w:rsidP="00CC35A1">
            <w:pPr>
              <w:pStyle w:val="NoSpacing"/>
            </w:pPr>
          </w:p>
        </w:tc>
        <w:tc>
          <w:tcPr>
            <w:tcW w:w="3405" w:type="dxa"/>
          </w:tcPr>
          <w:p w14:paraId="48F8B8EC"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proofErr w:type="spellStart"/>
            <w:r>
              <w:t>HALElifeExpectancyAtBirth</w:t>
            </w:r>
            <w:proofErr w:type="spellEnd"/>
          </w:p>
        </w:tc>
        <w:tc>
          <w:tcPr>
            <w:tcW w:w="4815" w:type="dxa"/>
          </w:tcPr>
          <w:p w14:paraId="08DB1E1D"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Healthy life expectancy (HALE) at birth, country wise mentioned in age(years)</w:t>
            </w:r>
          </w:p>
        </w:tc>
      </w:tr>
      <w:tr w:rsidR="00CC35A1" w14:paraId="360207F2"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135C8D15" w14:textId="77777777" w:rsidR="00CC35A1" w:rsidRDefault="00CC35A1" w:rsidP="00CC35A1">
            <w:pPr>
              <w:pStyle w:val="NoSpacing"/>
            </w:pPr>
          </w:p>
        </w:tc>
        <w:tc>
          <w:tcPr>
            <w:tcW w:w="3405" w:type="dxa"/>
          </w:tcPr>
          <w:p w14:paraId="609D28CE"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proofErr w:type="spellStart"/>
            <w:r>
              <w:t>WHOregionLifeExpectancAtBirth</w:t>
            </w:r>
            <w:proofErr w:type="spellEnd"/>
          </w:p>
        </w:tc>
        <w:tc>
          <w:tcPr>
            <w:tcW w:w="4815" w:type="dxa"/>
          </w:tcPr>
          <w:p w14:paraId="0833604C"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Life expectancy at birth, Region wise mentioned in age (years).</w:t>
            </w:r>
          </w:p>
        </w:tc>
      </w:tr>
      <w:tr w:rsidR="00CC35A1" w14:paraId="53762BAF"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06F79B92" w14:textId="77777777" w:rsidR="00CC35A1" w:rsidRDefault="00CC35A1" w:rsidP="00CC35A1">
            <w:pPr>
              <w:pStyle w:val="NoSpacing"/>
            </w:pPr>
          </w:p>
        </w:tc>
        <w:tc>
          <w:tcPr>
            <w:tcW w:w="3405" w:type="dxa"/>
          </w:tcPr>
          <w:p w14:paraId="6417DC8B"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proofErr w:type="spellStart"/>
            <w:r>
              <w:t>HAleWHOregionLifeExpectancy</w:t>
            </w:r>
            <w:proofErr w:type="spellEnd"/>
          </w:p>
        </w:tc>
        <w:tc>
          <w:tcPr>
            <w:tcW w:w="4815" w:type="dxa"/>
          </w:tcPr>
          <w:p w14:paraId="0274BCA8"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Healthy life expectancy at birth, region wise mentioned in age(years)</w:t>
            </w:r>
          </w:p>
        </w:tc>
      </w:tr>
      <w:tr w:rsidR="00CC35A1" w14:paraId="46818E13"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7776AA52" w14:textId="77777777" w:rsidR="00CC35A1" w:rsidRDefault="00CC35A1" w:rsidP="00CC35A1">
            <w:pPr>
              <w:pStyle w:val="NoSpacing"/>
            </w:pPr>
          </w:p>
        </w:tc>
        <w:tc>
          <w:tcPr>
            <w:tcW w:w="3405" w:type="dxa"/>
          </w:tcPr>
          <w:p w14:paraId="1E710327"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HaleInLifeExpectancy</w:t>
            </w:r>
            <w:proofErr w:type="spellEnd"/>
          </w:p>
        </w:tc>
        <w:tc>
          <w:tcPr>
            <w:tcW w:w="4815" w:type="dxa"/>
          </w:tcPr>
          <w:p w14:paraId="7092B047"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Healthy life and life expectancy at birth with the % of HALE in life expectancy</w:t>
            </w:r>
          </w:p>
        </w:tc>
      </w:tr>
      <w:tr w:rsidR="00CC35A1" w14:paraId="2E6D0479" w14:textId="77777777" w:rsidTr="00CC35A1">
        <w:trPr>
          <w:trHeight w:val="271"/>
        </w:trPr>
        <w:tc>
          <w:tcPr>
            <w:cnfStyle w:val="001000000000" w:firstRow="0" w:lastRow="0" w:firstColumn="1" w:lastColumn="0" w:oddVBand="0" w:evenVBand="0" w:oddHBand="0" w:evenHBand="0" w:firstRowFirstColumn="0" w:firstRowLastColumn="0" w:lastRowFirstColumn="0" w:lastRowLastColumn="0"/>
            <w:tcW w:w="2035" w:type="dxa"/>
            <w:vMerge w:val="restart"/>
          </w:tcPr>
          <w:p w14:paraId="73345986" w14:textId="77777777" w:rsidR="00CC35A1" w:rsidRPr="00F11865" w:rsidRDefault="00CC35A1" w:rsidP="00CC35A1">
            <w:pPr>
              <w:pStyle w:val="NoSpacing"/>
              <w:rPr>
                <w:b/>
                <w:bCs/>
              </w:rPr>
            </w:pPr>
            <w:r w:rsidRPr="00F11865">
              <w:rPr>
                <w:b/>
                <w:bCs/>
              </w:rPr>
              <w:t xml:space="preserve">Maternal, </w:t>
            </w:r>
            <w:proofErr w:type="spellStart"/>
            <w:r w:rsidRPr="00F11865">
              <w:rPr>
                <w:b/>
                <w:bCs/>
              </w:rPr>
              <w:t>newborn</w:t>
            </w:r>
            <w:proofErr w:type="spellEnd"/>
            <w:r w:rsidRPr="00F11865">
              <w:rPr>
                <w:b/>
                <w:bCs/>
              </w:rPr>
              <w:t xml:space="preserve"> and child mortality</w:t>
            </w:r>
          </w:p>
        </w:tc>
        <w:tc>
          <w:tcPr>
            <w:tcW w:w="3405" w:type="dxa"/>
          </w:tcPr>
          <w:p w14:paraId="3A5B55BA"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proofErr w:type="spellStart"/>
            <w:r>
              <w:t>maternalMortalityRatio</w:t>
            </w:r>
            <w:proofErr w:type="spellEnd"/>
          </w:p>
        </w:tc>
        <w:tc>
          <w:tcPr>
            <w:tcW w:w="4815" w:type="dxa"/>
          </w:tcPr>
          <w:p w14:paraId="5CF497B6"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Maternal mortality ratio per 100,000 births</w:t>
            </w:r>
          </w:p>
        </w:tc>
      </w:tr>
      <w:tr w:rsidR="00CC35A1" w14:paraId="7B309BA7" w14:textId="77777777" w:rsidTr="00CC35A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35" w:type="dxa"/>
            <w:vMerge/>
          </w:tcPr>
          <w:p w14:paraId="27516A41" w14:textId="77777777" w:rsidR="00CC35A1" w:rsidRDefault="00CC35A1" w:rsidP="00CC35A1">
            <w:pPr>
              <w:pStyle w:val="NoSpacing"/>
            </w:pPr>
          </w:p>
        </w:tc>
        <w:tc>
          <w:tcPr>
            <w:tcW w:w="3405" w:type="dxa"/>
          </w:tcPr>
          <w:p w14:paraId="79660059"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proofErr w:type="spellStart"/>
            <w:r>
              <w:t>birthAttendedBySkilledPersonal</w:t>
            </w:r>
            <w:proofErr w:type="spellEnd"/>
          </w:p>
        </w:tc>
        <w:tc>
          <w:tcPr>
            <w:tcW w:w="4815" w:type="dxa"/>
          </w:tcPr>
          <w:p w14:paraId="59285423"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Births attended by skilled personals (percentile)</w:t>
            </w:r>
          </w:p>
        </w:tc>
      </w:tr>
      <w:tr w:rsidR="00CC35A1" w14:paraId="77C3FBFA" w14:textId="77777777" w:rsidTr="00CC35A1">
        <w:trPr>
          <w:trHeight w:val="552"/>
        </w:trPr>
        <w:tc>
          <w:tcPr>
            <w:cnfStyle w:val="001000000000" w:firstRow="0" w:lastRow="0" w:firstColumn="1" w:lastColumn="0" w:oddVBand="0" w:evenVBand="0" w:oddHBand="0" w:evenHBand="0" w:firstRowFirstColumn="0" w:firstRowLastColumn="0" w:lastRowFirstColumn="0" w:lastRowLastColumn="0"/>
            <w:tcW w:w="2035" w:type="dxa"/>
            <w:vMerge/>
          </w:tcPr>
          <w:p w14:paraId="12D046D0" w14:textId="77777777" w:rsidR="00CC35A1" w:rsidRDefault="00CC35A1" w:rsidP="00CC35A1">
            <w:pPr>
              <w:pStyle w:val="NoSpacing"/>
            </w:pPr>
          </w:p>
        </w:tc>
        <w:tc>
          <w:tcPr>
            <w:tcW w:w="3405" w:type="dxa"/>
          </w:tcPr>
          <w:p w14:paraId="5B3957D4"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proofErr w:type="spellStart"/>
            <w:r>
              <w:t>infantMortalityRate</w:t>
            </w:r>
            <w:proofErr w:type="spellEnd"/>
          </w:p>
        </w:tc>
        <w:tc>
          <w:tcPr>
            <w:tcW w:w="4815" w:type="dxa"/>
          </w:tcPr>
          <w:p w14:paraId="41EB37AF"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Probability of dying between birth and age 1 per 1000 live births.</w:t>
            </w:r>
          </w:p>
        </w:tc>
      </w:tr>
      <w:tr w:rsidR="00CC35A1" w14:paraId="5CE1C49D"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34A6A9FF" w14:textId="77777777" w:rsidR="00CC35A1" w:rsidRDefault="00CC35A1" w:rsidP="00CC35A1">
            <w:pPr>
              <w:pStyle w:val="NoSpacing"/>
            </w:pPr>
          </w:p>
        </w:tc>
        <w:tc>
          <w:tcPr>
            <w:tcW w:w="3405" w:type="dxa"/>
          </w:tcPr>
          <w:p w14:paraId="78D45EFE"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proofErr w:type="spellStart"/>
            <w:r>
              <w:t>neonatalMortalityRate</w:t>
            </w:r>
            <w:proofErr w:type="spellEnd"/>
          </w:p>
        </w:tc>
        <w:tc>
          <w:tcPr>
            <w:tcW w:w="4815" w:type="dxa"/>
          </w:tcPr>
          <w:p w14:paraId="064D41CB"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Probability of children dying in the first 28 days of life.</w:t>
            </w:r>
          </w:p>
        </w:tc>
      </w:tr>
      <w:tr w:rsidR="00CC35A1" w14:paraId="29582190"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5C4099E5" w14:textId="77777777" w:rsidR="00CC35A1" w:rsidRDefault="00CC35A1" w:rsidP="00CC35A1">
            <w:pPr>
              <w:pStyle w:val="NoSpacing"/>
            </w:pPr>
          </w:p>
        </w:tc>
        <w:tc>
          <w:tcPr>
            <w:tcW w:w="3405" w:type="dxa"/>
          </w:tcPr>
          <w:p w14:paraId="355CBE62"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under5MortalityRate</w:t>
            </w:r>
          </w:p>
        </w:tc>
        <w:tc>
          <w:tcPr>
            <w:tcW w:w="4815" w:type="dxa"/>
          </w:tcPr>
          <w:p w14:paraId="4200876C"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Probability of children dying below the age of 5 per 1000 live births.</w:t>
            </w:r>
          </w:p>
        </w:tc>
      </w:tr>
      <w:tr w:rsidR="00CC35A1" w14:paraId="327589C1" w14:textId="77777777" w:rsidTr="00CC35A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35" w:type="dxa"/>
            <w:vMerge w:val="restart"/>
          </w:tcPr>
          <w:p w14:paraId="350C574C" w14:textId="77777777" w:rsidR="00CC35A1" w:rsidRPr="00F11865" w:rsidRDefault="00CC35A1" w:rsidP="00CC35A1">
            <w:pPr>
              <w:pStyle w:val="NoSpacing"/>
              <w:rPr>
                <w:b/>
                <w:bCs/>
              </w:rPr>
            </w:pPr>
            <w:r w:rsidRPr="00F11865">
              <w:rPr>
                <w:b/>
                <w:bCs/>
              </w:rPr>
              <w:t>Communicable Diseases</w:t>
            </w:r>
          </w:p>
          <w:p w14:paraId="357DCB1D" w14:textId="77777777" w:rsidR="00CC35A1" w:rsidRPr="00F11865" w:rsidRDefault="00CC35A1" w:rsidP="00CC35A1">
            <w:pPr>
              <w:pStyle w:val="NoSpacing"/>
              <w:rPr>
                <w:b/>
                <w:bCs/>
              </w:rPr>
            </w:pPr>
          </w:p>
        </w:tc>
        <w:tc>
          <w:tcPr>
            <w:tcW w:w="3405" w:type="dxa"/>
          </w:tcPr>
          <w:p w14:paraId="35E5DC78" w14:textId="77777777" w:rsidR="00CC35A1" w:rsidRPr="00BD5D46" w:rsidRDefault="00CC35A1" w:rsidP="00CC35A1">
            <w:pPr>
              <w:pStyle w:val="NoSpacing"/>
              <w:cnfStyle w:val="000000100000" w:firstRow="0" w:lastRow="0" w:firstColumn="0" w:lastColumn="0" w:oddVBand="0" w:evenVBand="0" w:oddHBand="1" w:evenHBand="0" w:firstRowFirstColumn="0" w:firstRowLastColumn="0" w:lastRowFirstColumn="0" w:lastRowLastColumn="0"/>
              <w:rPr>
                <w:color w:val="FF0000"/>
              </w:rPr>
            </w:pPr>
            <w:proofErr w:type="spellStart"/>
            <w:r w:rsidRPr="00BD5D46">
              <w:rPr>
                <w:color w:val="FF0000"/>
              </w:rPr>
              <w:t>incedenceOfMalaria</w:t>
            </w:r>
            <w:proofErr w:type="spellEnd"/>
          </w:p>
        </w:tc>
        <w:tc>
          <w:tcPr>
            <w:tcW w:w="4815" w:type="dxa"/>
          </w:tcPr>
          <w:p w14:paraId="4E47C5A1" w14:textId="77777777" w:rsidR="00CC35A1" w:rsidRPr="00BD5D46" w:rsidRDefault="00CC35A1" w:rsidP="00CC35A1">
            <w:pPr>
              <w:pStyle w:val="NoSpacing"/>
              <w:cnfStyle w:val="000000100000" w:firstRow="0" w:lastRow="0" w:firstColumn="0" w:lastColumn="0" w:oddVBand="0" w:evenVBand="0" w:oddHBand="1" w:evenHBand="0" w:firstRowFirstColumn="0" w:firstRowLastColumn="0" w:lastRowFirstColumn="0" w:lastRowLastColumn="0"/>
              <w:rPr>
                <w:color w:val="FF0000"/>
              </w:rPr>
            </w:pPr>
            <w:r w:rsidRPr="00BD5D46">
              <w:rPr>
                <w:color w:val="FF0000"/>
              </w:rPr>
              <w:t>Malaria incidence per 1000 population at risk</w:t>
            </w:r>
          </w:p>
        </w:tc>
      </w:tr>
      <w:tr w:rsidR="00CC35A1" w14:paraId="06A82F88" w14:textId="77777777" w:rsidTr="00CC35A1">
        <w:trPr>
          <w:trHeight w:val="282"/>
        </w:trPr>
        <w:tc>
          <w:tcPr>
            <w:cnfStyle w:val="001000000000" w:firstRow="0" w:lastRow="0" w:firstColumn="1" w:lastColumn="0" w:oddVBand="0" w:evenVBand="0" w:oddHBand="0" w:evenHBand="0" w:firstRowFirstColumn="0" w:firstRowLastColumn="0" w:lastRowFirstColumn="0" w:lastRowLastColumn="0"/>
            <w:tcW w:w="2035" w:type="dxa"/>
            <w:vMerge/>
          </w:tcPr>
          <w:p w14:paraId="623289E7" w14:textId="77777777" w:rsidR="00CC35A1" w:rsidRPr="00F11865" w:rsidRDefault="00CC35A1" w:rsidP="00CC35A1">
            <w:pPr>
              <w:pStyle w:val="NoSpacing"/>
              <w:rPr>
                <w:b/>
                <w:bCs/>
              </w:rPr>
            </w:pPr>
          </w:p>
        </w:tc>
        <w:tc>
          <w:tcPr>
            <w:tcW w:w="3405" w:type="dxa"/>
          </w:tcPr>
          <w:p w14:paraId="47E1461F"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proofErr w:type="spellStart"/>
            <w:r>
              <w:t>incedenceOfTuberculosis</w:t>
            </w:r>
            <w:proofErr w:type="spellEnd"/>
          </w:p>
        </w:tc>
        <w:tc>
          <w:tcPr>
            <w:tcW w:w="4815" w:type="dxa"/>
          </w:tcPr>
          <w:p w14:paraId="284BFFFC"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Incidence of TB per 100,000 population per year.</w:t>
            </w:r>
          </w:p>
        </w:tc>
      </w:tr>
      <w:tr w:rsidR="00CC35A1" w14:paraId="741B6A7F"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7D3424BB" w14:textId="77777777" w:rsidR="00CC35A1" w:rsidRPr="00F11865" w:rsidRDefault="00CC35A1" w:rsidP="00CC35A1">
            <w:pPr>
              <w:pStyle w:val="NoSpacing"/>
              <w:rPr>
                <w:b/>
                <w:bCs/>
              </w:rPr>
            </w:pPr>
          </w:p>
        </w:tc>
        <w:tc>
          <w:tcPr>
            <w:tcW w:w="3405" w:type="dxa"/>
          </w:tcPr>
          <w:p w14:paraId="54722034"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proofErr w:type="spellStart"/>
            <w:r>
              <w:t>hepatitusBsurfaceAntigen</w:t>
            </w:r>
            <w:proofErr w:type="spellEnd"/>
          </w:p>
        </w:tc>
        <w:tc>
          <w:tcPr>
            <w:tcW w:w="4815" w:type="dxa"/>
          </w:tcPr>
          <w:p w14:paraId="394A57E9"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Hepatitis B surface antigen (HBsAg) prevalence among children under 5 years)</w:t>
            </w:r>
          </w:p>
        </w:tc>
      </w:tr>
      <w:tr w:rsidR="00CC35A1" w14:paraId="783A3C10"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5AD176B5" w14:textId="77777777" w:rsidR="00CC35A1" w:rsidRPr="00F11865" w:rsidRDefault="00CC35A1" w:rsidP="00CC35A1">
            <w:pPr>
              <w:pStyle w:val="NoSpacing"/>
              <w:rPr>
                <w:b/>
                <w:bCs/>
              </w:rPr>
            </w:pPr>
          </w:p>
        </w:tc>
        <w:tc>
          <w:tcPr>
            <w:tcW w:w="3405" w:type="dxa"/>
          </w:tcPr>
          <w:p w14:paraId="30C3DF3D"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proofErr w:type="spellStart"/>
            <w:r>
              <w:t>interventionAgianstNTD's</w:t>
            </w:r>
            <w:proofErr w:type="spellEnd"/>
          </w:p>
        </w:tc>
        <w:tc>
          <w:tcPr>
            <w:tcW w:w="4815" w:type="dxa"/>
          </w:tcPr>
          <w:p w14:paraId="6557E6B3"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Reported number of people requiring interventions against NTDs.</w:t>
            </w:r>
          </w:p>
        </w:tc>
      </w:tr>
      <w:tr w:rsidR="00CC35A1" w14:paraId="16EAD980"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6D1F2640" w14:textId="77777777" w:rsidR="00CC35A1" w:rsidRPr="00F11865" w:rsidRDefault="00CC35A1" w:rsidP="00CC35A1">
            <w:pPr>
              <w:pStyle w:val="NoSpacing"/>
              <w:rPr>
                <w:b/>
                <w:bCs/>
              </w:rPr>
            </w:pPr>
          </w:p>
        </w:tc>
        <w:tc>
          <w:tcPr>
            <w:tcW w:w="3405" w:type="dxa"/>
          </w:tcPr>
          <w:p w14:paraId="5F0B4994" w14:textId="77777777" w:rsidR="00CC35A1" w:rsidRPr="00BD5D46" w:rsidRDefault="00CC35A1" w:rsidP="00CC35A1">
            <w:pPr>
              <w:pStyle w:val="NoSpacing"/>
              <w:cnfStyle w:val="000000100000" w:firstRow="0" w:lastRow="0" w:firstColumn="0" w:lastColumn="0" w:oddVBand="0" w:evenVBand="0" w:oddHBand="1" w:evenHBand="0" w:firstRowFirstColumn="0" w:firstRowLastColumn="0" w:lastRowFirstColumn="0" w:lastRowLastColumn="0"/>
              <w:rPr>
                <w:color w:val="FF0000"/>
              </w:rPr>
            </w:pPr>
            <w:proofErr w:type="spellStart"/>
            <w:r w:rsidRPr="00BD5D46">
              <w:rPr>
                <w:color w:val="FF0000"/>
              </w:rPr>
              <w:t>newHivInfections</w:t>
            </w:r>
            <w:proofErr w:type="spellEnd"/>
          </w:p>
        </w:tc>
        <w:tc>
          <w:tcPr>
            <w:tcW w:w="4815" w:type="dxa"/>
          </w:tcPr>
          <w:p w14:paraId="4F1294FF" w14:textId="77777777" w:rsidR="00CC35A1" w:rsidRPr="00BD5D46" w:rsidRDefault="00CC35A1" w:rsidP="00CC35A1">
            <w:pPr>
              <w:pStyle w:val="NoSpacing"/>
              <w:cnfStyle w:val="000000100000" w:firstRow="0" w:lastRow="0" w:firstColumn="0" w:lastColumn="0" w:oddVBand="0" w:evenVBand="0" w:oddHBand="1" w:evenHBand="0" w:firstRowFirstColumn="0" w:firstRowLastColumn="0" w:lastRowFirstColumn="0" w:lastRowLastColumn="0"/>
              <w:rPr>
                <w:color w:val="FF0000"/>
              </w:rPr>
            </w:pPr>
            <w:r w:rsidRPr="00BD5D46">
              <w:rPr>
                <w:color w:val="FF0000"/>
              </w:rPr>
              <w:t>New HIV infections per 1000 uninfected population</w:t>
            </w:r>
          </w:p>
        </w:tc>
      </w:tr>
      <w:tr w:rsidR="00CC35A1" w14:paraId="607EA4A0" w14:textId="77777777" w:rsidTr="00CC35A1">
        <w:trPr>
          <w:trHeight w:val="1072"/>
        </w:trPr>
        <w:tc>
          <w:tcPr>
            <w:cnfStyle w:val="001000000000" w:firstRow="0" w:lastRow="0" w:firstColumn="1" w:lastColumn="0" w:oddVBand="0" w:evenVBand="0" w:oddHBand="0" w:evenHBand="0" w:firstRowFirstColumn="0" w:firstRowLastColumn="0" w:lastRowFirstColumn="0" w:lastRowLastColumn="0"/>
            <w:tcW w:w="2035" w:type="dxa"/>
            <w:vMerge w:val="restart"/>
          </w:tcPr>
          <w:p w14:paraId="4AA6B554" w14:textId="77777777" w:rsidR="00CC35A1" w:rsidRPr="009C2344" w:rsidRDefault="00CC35A1" w:rsidP="00CC35A1">
            <w:pPr>
              <w:pStyle w:val="NoSpacing"/>
              <w:rPr>
                <w:b/>
                <w:bCs/>
              </w:rPr>
            </w:pPr>
            <w:r w:rsidRPr="009C2344">
              <w:rPr>
                <w:b/>
                <w:bCs/>
              </w:rPr>
              <w:t>Noncommunicable diseases and mental health</w:t>
            </w:r>
          </w:p>
          <w:p w14:paraId="78872956" w14:textId="77777777" w:rsidR="00CC35A1" w:rsidRPr="00F11865" w:rsidRDefault="00CC35A1" w:rsidP="00CC35A1">
            <w:pPr>
              <w:pStyle w:val="NoSpacing"/>
              <w:rPr>
                <w:b/>
                <w:bCs/>
              </w:rPr>
            </w:pPr>
          </w:p>
        </w:tc>
        <w:tc>
          <w:tcPr>
            <w:tcW w:w="3405" w:type="dxa"/>
          </w:tcPr>
          <w:p w14:paraId="7449AF91"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30-70cancerChdEtc</w:t>
            </w:r>
          </w:p>
        </w:tc>
        <w:tc>
          <w:tcPr>
            <w:tcW w:w="4815" w:type="dxa"/>
          </w:tcPr>
          <w:p w14:paraId="49E13A19"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Probability of dying between the age of 30 and exact age of 70 from any of the cardiovascular disease, cancer, diabetes, or chronic respiratory disease.</w:t>
            </w:r>
          </w:p>
        </w:tc>
      </w:tr>
      <w:tr w:rsidR="00CC35A1" w14:paraId="253F023F" w14:textId="77777777" w:rsidTr="00CC35A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35" w:type="dxa"/>
            <w:vMerge/>
          </w:tcPr>
          <w:p w14:paraId="757E7C44" w14:textId="77777777" w:rsidR="00CC35A1" w:rsidRPr="00F11865" w:rsidRDefault="00CC35A1" w:rsidP="00CC35A1">
            <w:pPr>
              <w:pStyle w:val="NoSpacing"/>
              <w:rPr>
                <w:b/>
                <w:bCs/>
              </w:rPr>
            </w:pPr>
          </w:p>
        </w:tc>
        <w:tc>
          <w:tcPr>
            <w:tcW w:w="3405" w:type="dxa"/>
          </w:tcPr>
          <w:p w14:paraId="10723D5C"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proofErr w:type="spellStart"/>
            <w:r>
              <w:t>crudeSuicideRates</w:t>
            </w:r>
            <w:proofErr w:type="spellEnd"/>
          </w:p>
        </w:tc>
        <w:tc>
          <w:tcPr>
            <w:tcW w:w="4815" w:type="dxa"/>
          </w:tcPr>
          <w:p w14:paraId="09A8A141"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Crude suicide rates per 100,000 population</w:t>
            </w:r>
          </w:p>
        </w:tc>
      </w:tr>
      <w:tr w:rsidR="00CC35A1" w14:paraId="2A1A744A" w14:textId="77777777" w:rsidTr="00CC35A1">
        <w:trPr>
          <w:trHeight w:val="531"/>
        </w:trPr>
        <w:tc>
          <w:tcPr>
            <w:cnfStyle w:val="001000000000" w:firstRow="0" w:lastRow="0" w:firstColumn="1" w:lastColumn="0" w:oddVBand="0" w:evenVBand="0" w:oddHBand="0" w:evenHBand="0" w:firstRowFirstColumn="0" w:firstRowLastColumn="0" w:lastRowFirstColumn="0" w:lastRowLastColumn="0"/>
            <w:tcW w:w="2035" w:type="dxa"/>
          </w:tcPr>
          <w:p w14:paraId="7D45F73C" w14:textId="77777777" w:rsidR="00CC35A1" w:rsidRPr="0059332D" w:rsidRDefault="00CC35A1" w:rsidP="00CC35A1">
            <w:pPr>
              <w:pStyle w:val="NoSpacing"/>
              <w:rPr>
                <w:b/>
                <w:bCs/>
              </w:rPr>
            </w:pPr>
            <w:r w:rsidRPr="0059332D">
              <w:rPr>
                <w:b/>
                <w:bCs/>
              </w:rPr>
              <w:t>Substance abuse</w:t>
            </w:r>
          </w:p>
          <w:p w14:paraId="002ABC86" w14:textId="77777777" w:rsidR="00CC35A1" w:rsidRPr="0059332D" w:rsidRDefault="00CC35A1" w:rsidP="00CC35A1">
            <w:pPr>
              <w:pStyle w:val="NoSpacing"/>
              <w:rPr>
                <w:b/>
                <w:bCs/>
              </w:rPr>
            </w:pPr>
          </w:p>
        </w:tc>
        <w:tc>
          <w:tcPr>
            <w:tcW w:w="3405" w:type="dxa"/>
          </w:tcPr>
          <w:p w14:paraId="028F20BF"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proofErr w:type="spellStart"/>
            <w:r>
              <w:t>AlcoholSubstanceAbuse</w:t>
            </w:r>
            <w:proofErr w:type="spellEnd"/>
          </w:p>
        </w:tc>
        <w:tc>
          <w:tcPr>
            <w:tcW w:w="4815" w:type="dxa"/>
          </w:tcPr>
          <w:p w14:paraId="47E7FE7A" w14:textId="77777777" w:rsidR="00CC35A1" w:rsidRDefault="00CC35A1" w:rsidP="00CC35A1">
            <w:pPr>
              <w:pStyle w:val="NoSpacing"/>
              <w:cnfStyle w:val="000000000000" w:firstRow="0" w:lastRow="0" w:firstColumn="0" w:lastColumn="0" w:oddVBand="0" w:evenVBand="0" w:oddHBand="0" w:evenHBand="0" w:firstRowFirstColumn="0" w:firstRowLastColumn="0" w:lastRowFirstColumn="0" w:lastRowLastColumn="0"/>
            </w:pPr>
            <w:r>
              <w:t>Total (recorded + unrecorded) alcohol per capita (15 +) consumption’s</w:t>
            </w:r>
          </w:p>
        </w:tc>
      </w:tr>
      <w:tr w:rsidR="00CC35A1" w14:paraId="7C9F39B3"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tcPr>
          <w:p w14:paraId="53EBF69A" w14:textId="77777777" w:rsidR="00CC35A1" w:rsidRPr="0059332D" w:rsidRDefault="00CC35A1" w:rsidP="00CC35A1">
            <w:pPr>
              <w:pStyle w:val="NoSpacing"/>
              <w:rPr>
                <w:b/>
                <w:bCs/>
              </w:rPr>
            </w:pPr>
            <w:r w:rsidRPr="0059332D">
              <w:rPr>
                <w:b/>
                <w:bCs/>
              </w:rPr>
              <w:t>Road Traffic Injuries</w:t>
            </w:r>
          </w:p>
        </w:tc>
        <w:tc>
          <w:tcPr>
            <w:tcW w:w="3405" w:type="dxa"/>
          </w:tcPr>
          <w:p w14:paraId="1E6042DF"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proofErr w:type="spellStart"/>
            <w:r>
              <w:t>roadTrafficDeaths</w:t>
            </w:r>
            <w:proofErr w:type="spellEnd"/>
          </w:p>
        </w:tc>
        <w:tc>
          <w:tcPr>
            <w:tcW w:w="4815" w:type="dxa"/>
          </w:tcPr>
          <w:p w14:paraId="6DF21F14"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Estimated road traffic death rate per 100,000 population</w:t>
            </w:r>
          </w:p>
        </w:tc>
      </w:tr>
      <w:tr w:rsidR="00CC35A1" w14:paraId="2A7476CB" w14:textId="77777777" w:rsidTr="00CC35A1">
        <w:trPr>
          <w:trHeight w:val="790"/>
        </w:trPr>
        <w:tc>
          <w:tcPr>
            <w:cnfStyle w:val="001000000000" w:firstRow="0" w:lastRow="0" w:firstColumn="1" w:lastColumn="0" w:oddVBand="0" w:evenVBand="0" w:oddHBand="0" w:evenHBand="0" w:firstRowFirstColumn="0" w:firstRowLastColumn="0" w:lastRowFirstColumn="0" w:lastRowLastColumn="0"/>
            <w:tcW w:w="2035" w:type="dxa"/>
            <w:vMerge w:val="restart"/>
          </w:tcPr>
          <w:p w14:paraId="0375768D" w14:textId="77777777" w:rsidR="00CC35A1" w:rsidRPr="0059332D" w:rsidRDefault="00CC35A1" w:rsidP="00CC35A1">
            <w:pPr>
              <w:pStyle w:val="NoSpacing"/>
              <w:rPr>
                <w:b/>
                <w:bCs/>
              </w:rPr>
            </w:pPr>
            <w:r w:rsidRPr="0059332D">
              <w:rPr>
                <w:b/>
                <w:bCs/>
              </w:rPr>
              <w:t>Sexual and reproductive health</w:t>
            </w:r>
          </w:p>
        </w:tc>
        <w:tc>
          <w:tcPr>
            <w:tcW w:w="3405" w:type="dxa"/>
          </w:tcPr>
          <w:p w14:paraId="4C51AFB3" w14:textId="77777777" w:rsidR="00CC35A1" w:rsidRPr="00BD5D46" w:rsidRDefault="00CC35A1" w:rsidP="00CC35A1">
            <w:pPr>
              <w:pStyle w:val="NoSpacing"/>
              <w:cnfStyle w:val="000000000000" w:firstRow="0" w:lastRow="0" w:firstColumn="0" w:lastColumn="0" w:oddVBand="0" w:evenVBand="0" w:oddHBand="0" w:evenHBand="0" w:firstRowFirstColumn="0" w:firstRowLastColumn="0" w:lastRowFirstColumn="0" w:lastRowLastColumn="0"/>
              <w:rPr>
                <w:color w:val="FF0000"/>
              </w:rPr>
            </w:pPr>
            <w:proofErr w:type="spellStart"/>
            <w:r w:rsidRPr="00BD5D46">
              <w:rPr>
                <w:color w:val="FF0000"/>
              </w:rPr>
              <w:t>reproductiveAgeWomen</w:t>
            </w:r>
            <w:proofErr w:type="spellEnd"/>
          </w:p>
        </w:tc>
        <w:tc>
          <w:tcPr>
            <w:tcW w:w="4815" w:type="dxa"/>
          </w:tcPr>
          <w:p w14:paraId="74CE53DF" w14:textId="77777777" w:rsidR="00CC35A1" w:rsidRPr="00BD5D46" w:rsidRDefault="00CC35A1" w:rsidP="00CC35A1">
            <w:pPr>
              <w:pStyle w:val="NoSpacing"/>
              <w:cnfStyle w:val="000000000000" w:firstRow="0" w:lastRow="0" w:firstColumn="0" w:lastColumn="0" w:oddVBand="0" w:evenVBand="0" w:oddHBand="0" w:evenHBand="0" w:firstRowFirstColumn="0" w:firstRowLastColumn="0" w:lastRowFirstColumn="0" w:lastRowLastColumn="0"/>
              <w:rPr>
                <w:color w:val="FF0000"/>
              </w:rPr>
            </w:pPr>
            <w:r w:rsidRPr="00BD5D46">
              <w:rPr>
                <w:color w:val="FF0000"/>
              </w:rPr>
              <w:t>Married or in-union women of reproductive age who have their need for family planning satisfied with modern methods (%)</w:t>
            </w:r>
          </w:p>
        </w:tc>
      </w:tr>
      <w:tr w:rsidR="00CC35A1" w14:paraId="440C35C0"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50FE090F" w14:textId="77777777" w:rsidR="00CC35A1" w:rsidRDefault="00CC35A1" w:rsidP="00CC35A1">
            <w:pPr>
              <w:pStyle w:val="NoSpacing"/>
            </w:pPr>
          </w:p>
        </w:tc>
        <w:tc>
          <w:tcPr>
            <w:tcW w:w="3405" w:type="dxa"/>
          </w:tcPr>
          <w:p w14:paraId="3CAE70F2"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proofErr w:type="spellStart"/>
            <w:r>
              <w:t>adolescentBirthRate</w:t>
            </w:r>
            <w:proofErr w:type="spellEnd"/>
          </w:p>
        </w:tc>
        <w:tc>
          <w:tcPr>
            <w:tcW w:w="4815" w:type="dxa"/>
          </w:tcPr>
          <w:p w14:paraId="0B2FCE5B" w14:textId="77777777" w:rsidR="00CC35A1" w:rsidRDefault="00CC35A1" w:rsidP="00CC35A1">
            <w:pPr>
              <w:pStyle w:val="NoSpacing"/>
              <w:cnfStyle w:val="000000100000" w:firstRow="0" w:lastRow="0" w:firstColumn="0" w:lastColumn="0" w:oddVBand="0" w:evenVBand="0" w:oddHBand="1" w:evenHBand="0" w:firstRowFirstColumn="0" w:firstRowLastColumn="0" w:lastRowFirstColumn="0" w:lastRowLastColumn="0"/>
            </w:pPr>
            <w:r>
              <w:t>Adolescent birth rate per 1000 women aged 15-19 years</w:t>
            </w:r>
          </w:p>
        </w:tc>
      </w:tr>
      <w:tr w:rsidR="00ED3FC8" w14:paraId="552E9EB9"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val="restart"/>
          </w:tcPr>
          <w:p w14:paraId="5573D54F" w14:textId="77777777" w:rsidR="00ED3FC8" w:rsidRPr="00394950" w:rsidRDefault="00ED3FC8" w:rsidP="00ED3FC8">
            <w:pPr>
              <w:pStyle w:val="NoSpacing"/>
              <w:rPr>
                <w:b/>
                <w:bCs/>
              </w:rPr>
            </w:pPr>
            <w:r w:rsidRPr="00394950">
              <w:rPr>
                <w:b/>
                <w:bCs/>
              </w:rPr>
              <w:t xml:space="preserve">Achieve universal health coverage (UHC) including </w:t>
            </w:r>
            <w:r w:rsidRPr="00394950">
              <w:rPr>
                <w:b/>
                <w:bCs/>
              </w:rPr>
              <w:lastRenderedPageBreak/>
              <w:t>financial risk protection</w:t>
            </w:r>
          </w:p>
          <w:p w14:paraId="25EDA523" w14:textId="77777777" w:rsidR="00ED3FC8" w:rsidRDefault="00ED3FC8" w:rsidP="00ED3FC8">
            <w:pPr>
              <w:pStyle w:val="NoSpacing"/>
            </w:pPr>
          </w:p>
        </w:tc>
        <w:tc>
          <w:tcPr>
            <w:tcW w:w="3405" w:type="dxa"/>
          </w:tcPr>
          <w:p w14:paraId="28E505E2" w14:textId="57CB0E04"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proofErr w:type="spellStart"/>
            <w:r>
              <w:lastRenderedPageBreak/>
              <w:t>uhcCoverage</w:t>
            </w:r>
            <w:proofErr w:type="spellEnd"/>
          </w:p>
        </w:tc>
        <w:tc>
          <w:tcPr>
            <w:tcW w:w="4815" w:type="dxa"/>
          </w:tcPr>
          <w:p w14:paraId="751F8498" w14:textId="23E592E3"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t>UHC index of service coverage (SCI)</w:t>
            </w:r>
          </w:p>
        </w:tc>
      </w:tr>
      <w:tr w:rsidR="00ED3FC8" w14:paraId="0569DA75"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51C74F49" w14:textId="77777777" w:rsidR="00ED3FC8" w:rsidRDefault="00ED3FC8" w:rsidP="00ED3FC8">
            <w:pPr>
              <w:pStyle w:val="NoSpacing"/>
            </w:pPr>
          </w:p>
        </w:tc>
        <w:tc>
          <w:tcPr>
            <w:tcW w:w="3405" w:type="dxa"/>
          </w:tcPr>
          <w:p w14:paraId="6639829A" w14:textId="3940C35D"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proofErr w:type="spellStart"/>
            <w:r>
              <w:t>dataAvailibilityForUhc</w:t>
            </w:r>
            <w:proofErr w:type="spellEnd"/>
          </w:p>
        </w:tc>
        <w:tc>
          <w:tcPr>
            <w:tcW w:w="4815" w:type="dxa"/>
          </w:tcPr>
          <w:p w14:paraId="47543B0A" w14:textId="0493A9C5"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Data availability of UHC index of essential service coverage (%)</w:t>
            </w:r>
          </w:p>
        </w:tc>
      </w:tr>
      <w:tr w:rsidR="00ED3FC8" w14:paraId="05EE7C41"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75C3910A" w14:textId="77777777" w:rsidR="00ED3FC8" w:rsidRDefault="00ED3FC8" w:rsidP="00ED3FC8">
            <w:pPr>
              <w:pStyle w:val="NoSpacing"/>
            </w:pPr>
          </w:p>
        </w:tc>
        <w:tc>
          <w:tcPr>
            <w:tcW w:w="3405" w:type="dxa"/>
          </w:tcPr>
          <w:p w14:paraId="6AA030EF" w14:textId="2FE49C05"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t>population10%SDG3.8.2</w:t>
            </w:r>
          </w:p>
        </w:tc>
        <w:tc>
          <w:tcPr>
            <w:tcW w:w="4815" w:type="dxa"/>
          </w:tcPr>
          <w:p w14:paraId="1E82406E" w14:textId="70424128"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t>Population with household expenditures on health greater than 10% of total household expenditure or income (SDG indicator 3.8.2) (%)</w:t>
            </w:r>
          </w:p>
        </w:tc>
      </w:tr>
      <w:tr w:rsidR="00ED3FC8" w14:paraId="365E4364"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7A43353B" w14:textId="77777777" w:rsidR="00ED3FC8" w:rsidRDefault="00ED3FC8" w:rsidP="00ED3FC8">
            <w:pPr>
              <w:pStyle w:val="NoSpacing"/>
            </w:pPr>
          </w:p>
        </w:tc>
        <w:tc>
          <w:tcPr>
            <w:tcW w:w="3405" w:type="dxa"/>
          </w:tcPr>
          <w:p w14:paraId="7F5E10B1" w14:textId="38CA9777"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population25%SDG3.8.2</w:t>
            </w:r>
          </w:p>
        </w:tc>
        <w:tc>
          <w:tcPr>
            <w:tcW w:w="4815" w:type="dxa"/>
          </w:tcPr>
          <w:p w14:paraId="56B344AB" w14:textId="4F21747D"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Population with household expenditures on health greater than 25% of total household expenditure or income (SDG indicator 3.8.2) (%)</w:t>
            </w:r>
          </w:p>
        </w:tc>
      </w:tr>
      <w:tr w:rsidR="00ED3FC8" w14:paraId="1C5C0CAC"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val="restart"/>
          </w:tcPr>
          <w:p w14:paraId="517ECB75" w14:textId="77777777" w:rsidR="00ED3FC8" w:rsidRPr="00394950" w:rsidRDefault="00ED3FC8" w:rsidP="00ED3FC8">
            <w:pPr>
              <w:pStyle w:val="NoSpacing"/>
              <w:rPr>
                <w:b/>
                <w:bCs/>
              </w:rPr>
            </w:pPr>
            <w:r w:rsidRPr="00394950">
              <w:rPr>
                <w:b/>
                <w:bCs/>
              </w:rPr>
              <w:t>Mortality from environment pollution</w:t>
            </w:r>
          </w:p>
          <w:p w14:paraId="19266A12" w14:textId="77777777" w:rsidR="00ED3FC8" w:rsidRDefault="00ED3FC8" w:rsidP="00ED3FC8">
            <w:pPr>
              <w:pStyle w:val="NoSpacing"/>
            </w:pPr>
          </w:p>
        </w:tc>
        <w:tc>
          <w:tcPr>
            <w:tcW w:w="3405" w:type="dxa"/>
          </w:tcPr>
          <w:p w14:paraId="71BFE8FC" w14:textId="08501E80"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proofErr w:type="spellStart"/>
            <w:r>
              <w:t>airPollutionDeathRate</w:t>
            </w:r>
            <w:proofErr w:type="spellEnd"/>
          </w:p>
        </w:tc>
        <w:tc>
          <w:tcPr>
            <w:tcW w:w="4815" w:type="dxa"/>
          </w:tcPr>
          <w:p w14:paraId="6A5A1171" w14:textId="04AEC38F"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t xml:space="preserve">Ambient and household air pollution attributable death rate per 100,00 population and the same data with </w:t>
            </w:r>
            <w:proofErr w:type="gramStart"/>
            <w:r>
              <w:t>age-standardized</w:t>
            </w:r>
            <w:proofErr w:type="gramEnd"/>
            <w:r>
              <w:t>.</w:t>
            </w:r>
          </w:p>
        </w:tc>
      </w:tr>
      <w:tr w:rsidR="00ED3FC8" w14:paraId="28B349E2"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34D68A04" w14:textId="77777777" w:rsidR="00ED3FC8" w:rsidRDefault="00ED3FC8" w:rsidP="00ED3FC8">
            <w:pPr>
              <w:pStyle w:val="NoSpacing"/>
            </w:pPr>
          </w:p>
        </w:tc>
        <w:tc>
          <w:tcPr>
            <w:tcW w:w="3405" w:type="dxa"/>
          </w:tcPr>
          <w:p w14:paraId="25797CA5" w14:textId="3F90FB1F"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proofErr w:type="spellStart"/>
            <w:r>
              <w:t>mortalityRateUnsafeWash</w:t>
            </w:r>
            <w:proofErr w:type="spellEnd"/>
          </w:p>
        </w:tc>
        <w:tc>
          <w:tcPr>
            <w:tcW w:w="4815" w:type="dxa"/>
          </w:tcPr>
          <w:p w14:paraId="40AF85F8" w14:textId="37FEBA9D"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Mortality rate attributed to exposure to unsafe WASH services per 100,000 population SDG3.9.2</w:t>
            </w:r>
          </w:p>
        </w:tc>
      </w:tr>
      <w:tr w:rsidR="00ED3FC8" w14:paraId="438CEAE9"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6BF69B4A" w14:textId="77777777" w:rsidR="00ED3FC8" w:rsidRDefault="00ED3FC8" w:rsidP="00ED3FC8">
            <w:pPr>
              <w:pStyle w:val="NoSpacing"/>
            </w:pPr>
          </w:p>
        </w:tc>
        <w:tc>
          <w:tcPr>
            <w:tcW w:w="3405" w:type="dxa"/>
          </w:tcPr>
          <w:p w14:paraId="6EB05E07" w14:textId="4249F785"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proofErr w:type="spellStart"/>
            <w:r>
              <w:t>mortalityRatePoisoning</w:t>
            </w:r>
            <w:proofErr w:type="spellEnd"/>
          </w:p>
        </w:tc>
        <w:tc>
          <w:tcPr>
            <w:tcW w:w="4815" w:type="dxa"/>
          </w:tcPr>
          <w:p w14:paraId="7F14299A" w14:textId="2AA98508"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t>Mortality rate attributed to unintentional poisoning per 100,000 population</w:t>
            </w:r>
          </w:p>
        </w:tc>
      </w:tr>
      <w:tr w:rsidR="00ED3FC8" w14:paraId="53D5C049"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tcPr>
          <w:p w14:paraId="5E5678D0" w14:textId="446143F8" w:rsidR="00ED3FC8" w:rsidRDefault="00ED3FC8" w:rsidP="00ED3FC8">
            <w:pPr>
              <w:pStyle w:val="NoSpacing"/>
            </w:pPr>
            <w:r w:rsidRPr="00604810">
              <w:rPr>
                <w:b/>
                <w:bCs/>
              </w:rPr>
              <w:t>Tobacco control</w:t>
            </w:r>
          </w:p>
        </w:tc>
        <w:tc>
          <w:tcPr>
            <w:tcW w:w="3405" w:type="dxa"/>
          </w:tcPr>
          <w:p w14:paraId="3665B455" w14:textId="6279668B"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tobaccoAge15</w:t>
            </w:r>
          </w:p>
        </w:tc>
        <w:tc>
          <w:tcPr>
            <w:tcW w:w="4815" w:type="dxa"/>
          </w:tcPr>
          <w:p w14:paraId="76C3E283" w14:textId="665FE073"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Prevalence of current tobacco use among persons aged 15 years and older (age- standardized rate)</w:t>
            </w:r>
          </w:p>
        </w:tc>
      </w:tr>
      <w:tr w:rsidR="00ED3FC8" w14:paraId="2AAD819A"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val="restart"/>
          </w:tcPr>
          <w:p w14:paraId="084016C6" w14:textId="07328295" w:rsidR="00ED3FC8" w:rsidRDefault="00ED3FC8" w:rsidP="00ED3FC8">
            <w:pPr>
              <w:pStyle w:val="NoSpacing"/>
            </w:pPr>
            <w:r w:rsidRPr="00604810">
              <w:rPr>
                <w:b/>
                <w:bCs/>
              </w:rPr>
              <w:t>Health Workforce</w:t>
            </w:r>
          </w:p>
        </w:tc>
        <w:tc>
          <w:tcPr>
            <w:tcW w:w="3405" w:type="dxa"/>
          </w:tcPr>
          <w:p w14:paraId="1DB669B2" w14:textId="37C849B3"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proofErr w:type="spellStart"/>
            <w:r>
              <w:t>medicalDoctors</w:t>
            </w:r>
            <w:proofErr w:type="spellEnd"/>
          </w:p>
        </w:tc>
        <w:tc>
          <w:tcPr>
            <w:tcW w:w="4815" w:type="dxa"/>
          </w:tcPr>
          <w:p w14:paraId="7A019B3E" w14:textId="19C01B04"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t>Medical doctors per 10,000 population.</w:t>
            </w:r>
          </w:p>
        </w:tc>
      </w:tr>
      <w:tr w:rsidR="00ED3FC8" w14:paraId="2722E2C6"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022610F1" w14:textId="77777777" w:rsidR="00ED3FC8" w:rsidRDefault="00ED3FC8" w:rsidP="00ED3FC8">
            <w:pPr>
              <w:pStyle w:val="NoSpacing"/>
            </w:pPr>
          </w:p>
        </w:tc>
        <w:tc>
          <w:tcPr>
            <w:tcW w:w="3405" w:type="dxa"/>
          </w:tcPr>
          <w:p w14:paraId="09648DB3" w14:textId="79D92AC3"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proofErr w:type="spellStart"/>
            <w:r>
              <w:t>nursingAndMidwife</w:t>
            </w:r>
            <w:proofErr w:type="spellEnd"/>
          </w:p>
        </w:tc>
        <w:tc>
          <w:tcPr>
            <w:tcW w:w="4815" w:type="dxa"/>
          </w:tcPr>
          <w:p w14:paraId="719CCAF4" w14:textId="1B4A7187"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Nursing and midwifery personnel per 10,000 population.</w:t>
            </w:r>
          </w:p>
        </w:tc>
      </w:tr>
      <w:tr w:rsidR="00ED3FC8" w14:paraId="69F7A448"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61BF8B15" w14:textId="77777777" w:rsidR="00ED3FC8" w:rsidRDefault="00ED3FC8" w:rsidP="00ED3FC8">
            <w:pPr>
              <w:pStyle w:val="NoSpacing"/>
            </w:pPr>
          </w:p>
        </w:tc>
        <w:tc>
          <w:tcPr>
            <w:tcW w:w="3405" w:type="dxa"/>
          </w:tcPr>
          <w:p w14:paraId="0C4781C5" w14:textId="11F21718"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t>Dentists</w:t>
            </w:r>
          </w:p>
        </w:tc>
        <w:tc>
          <w:tcPr>
            <w:tcW w:w="4815" w:type="dxa"/>
          </w:tcPr>
          <w:p w14:paraId="2E4A0D94" w14:textId="0F6CBF66"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t>Dentists available per 10,000 population</w:t>
            </w:r>
          </w:p>
        </w:tc>
      </w:tr>
      <w:tr w:rsidR="00ED3FC8" w14:paraId="4B0D7A30"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vMerge/>
          </w:tcPr>
          <w:p w14:paraId="7178E8C2" w14:textId="77777777" w:rsidR="00ED3FC8" w:rsidRDefault="00ED3FC8" w:rsidP="00ED3FC8">
            <w:pPr>
              <w:pStyle w:val="NoSpacing"/>
            </w:pPr>
          </w:p>
        </w:tc>
        <w:tc>
          <w:tcPr>
            <w:tcW w:w="3405" w:type="dxa"/>
          </w:tcPr>
          <w:p w14:paraId="46864DDE" w14:textId="59F77110"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Pharmacists</w:t>
            </w:r>
          </w:p>
        </w:tc>
        <w:tc>
          <w:tcPr>
            <w:tcW w:w="4815" w:type="dxa"/>
          </w:tcPr>
          <w:p w14:paraId="29660D00" w14:textId="04B957D2"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Pharmacists per 10,000 population</w:t>
            </w:r>
          </w:p>
        </w:tc>
      </w:tr>
      <w:tr w:rsidR="00ED3FC8" w14:paraId="15B85658"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tcPr>
          <w:p w14:paraId="556AC112" w14:textId="77777777" w:rsidR="00ED3FC8" w:rsidRPr="00604810" w:rsidRDefault="00ED3FC8" w:rsidP="00ED3FC8">
            <w:pPr>
              <w:pStyle w:val="NoSpacing"/>
              <w:rPr>
                <w:b/>
                <w:bCs/>
              </w:rPr>
            </w:pPr>
            <w:r w:rsidRPr="00604810">
              <w:rPr>
                <w:b/>
                <w:bCs/>
              </w:rPr>
              <w:t>Eliminate violence Against women and girls</w:t>
            </w:r>
          </w:p>
          <w:p w14:paraId="4628E8D3" w14:textId="77777777" w:rsidR="00ED3FC8" w:rsidRDefault="00ED3FC8" w:rsidP="00ED3FC8">
            <w:pPr>
              <w:pStyle w:val="NoSpacing"/>
            </w:pPr>
          </w:p>
        </w:tc>
        <w:tc>
          <w:tcPr>
            <w:tcW w:w="3405" w:type="dxa"/>
          </w:tcPr>
          <w:p w14:paraId="2A78CDD5" w14:textId="7B7DA8B3"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proofErr w:type="spellStart"/>
            <w:r>
              <w:t>eliminateViolenceAgainstWomen</w:t>
            </w:r>
            <w:proofErr w:type="spellEnd"/>
          </w:p>
        </w:tc>
        <w:tc>
          <w:tcPr>
            <w:tcW w:w="4815" w:type="dxa"/>
          </w:tcPr>
          <w:p w14:paraId="777D1C6C" w14:textId="1EBDE114"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t>Proportion of ever-partnered women and girls aged 15-49 years subjected to physical and/or sexual violence by a current or former intimate partner in previous 12 months.</w:t>
            </w:r>
          </w:p>
        </w:tc>
      </w:tr>
      <w:tr w:rsidR="00ED3FC8" w14:paraId="3934EED9"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tcPr>
          <w:p w14:paraId="6F34203E" w14:textId="75706E17" w:rsidR="00ED3FC8" w:rsidRDefault="00ED3FC8" w:rsidP="00ED3FC8">
            <w:pPr>
              <w:pStyle w:val="NoSpacing"/>
            </w:pPr>
            <w:r w:rsidRPr="00CC03EF">
              <w:rPr>
                <w:b/>
                <w:bCs/>
              </w:rPr>
              <w:t>Drinking Water</w:t>
            </w:r>
          </w:p>
        </w:tc>
        <w:tc>
          <w:tcPr>
            <w:tcW w:w="3405" w:type="dxa"/>
          </w:tcPr>
          <w:p w14:paraId="3DC5ED6C" w14:textId="753C608A"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proofErr w:type="spellStart"/>
            <w:r>
              <w:t>basicDrinkingWaterServices</w:t>
            </w:r>
            <w:proofErr w:type="spellEnd"/>
          </w:p>
        </w:tc>
        <w:tc>
          <w:tcPr>
            <w:tcW w:w="4815" w:type="dxa"/>
          </w:tcPr>
          <w:p w14:paraId="6D322EA9" w14:textId="28507576"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Population using at least basic drinking water services (%)</w:t>
            </w:r>
          </w:p>
        </w:tc>
      </w:tr>
      <w:tr w:rsidR="00ED3FC8" w14:paraId="000D88B9"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tcPr>
          <w:p w14:paraId="4B69FD48" w14:textId="31B6F5ED" w:rsidR="00ED3FC8" w:rsidRDefault="00ED3FC8" w:rsidP="00ED3FC8">
            <w:pPr>
              <w:pStyle w:val="NoSpacing"/>
            </w:pPr>
            <w:r w:rsidRPr="00CC03EF">
              <w:rPr>
                <w:b/>
                <w:bCs/>
              </w:rPr>
              <w:t>Sanitation and Hygiene</w:t>
            </w:r>
          </w:p>
        </w:tc>
        <w:tc>
          <w:tcPr>
            <w:tcW w:w="3405" w:type="dxa"/>
          </w:tcPr>
          <w:p w14:paraId="3C2694CA" w14:textId="53055891"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proofErr w:type="spellStart"/>
            <w:r w:rsidRPr="00BD5D46">
              <w:rPr>
                <w:color w:val="FF0000"/>
              </w:rPr>
              <w:t>atLeastBasicSanitizationServices</w:t>
            </w:r>
            <w:proofErr w:type="spellEnd"/>
          </w:p>
        </w:tc>
        <w:tc>
          <w:tcPr>
            <w:tcW w:w="4815" w:type="dxa"/>
          </w:tcPr>
          <w:p w14:paraId="2F26D6DC" w14:textId="0F2399DB"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rsidRPr="00BD5D46">
              <w:rPr>
                <w:color w:val="FF0000"/>
              </w:rPr>
              <w:t>Population using at least basic sanitation services (%)</w:t>
            </w:r>
          </w:p>
        </w:tc>
      </w:tr>
      <w:tr w:rsidR="00ED3FC8" w14:paraId="4D81C3C9"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tcPr>
          <w:p w14:paraId="551A35AC" w14:textId="77777777" w:rsidR="00ED3FC8" w:rsidRDefault="00ED3FC8" w:rsidP="00ED3FC8">
            <w:pPr>
              <w:pStyle w:val="NoSpacing"/>
            </w:pPr>
          </w:p>
        </w:tc>
        <w:tc>
          <w:tcPr>
            <w:tcW w:w="3405" w:type="dxa"/>
          </w:tcPr>
          <w:p w14:paraId="6989F76D" w14:textId="63D21E9A"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proofErr w:type="spellStart"/>
            <w:r>
              <w:t>safelySanitization</w:t>
            </w:r>
            <w:proofErr w:type="spellEnd"/>
          </w:p>
        </w:tc>
        <w:tc>
          <w:tcPr>
            <w:tcW w:w="4815" w:type="dxa"/>
          </w:tcPr>
          <w:p w14:paraId="6CE5F8AC" w14:textId="0EECF50E"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Population using safe sanitation services (%)</w:t>
            </w:r>
          </w:p>
        </w:tc>
      </w:tr>
      <w:tr w:rsidR="00ED3FC8" w14:paraId="394B32D0" w14:textId="77777777" w:rsidTr="00CC35A1">
        <w:trPr>
          <w:trHeight w:val="541"/>
        </w:trPr>
        <w:tc>
          <w:tcPr>
            <w:cnfStyle w:val="001000000000" w:firstRow="0" w:lastRow="0" w:firstColumn="1" w:lastColumn="0" w:oddVBand="0" w:evenVBand="0" w:oddHBand="0" w:evenHBand="0" w:firstRowFirstColumn="0" w:firstRowLastColumn="0" w:lastRowFirstColumn="0" w:lastRowLastColumn="0"/>
            <w:tcW w:w="2035" w:type="dxa"/>
          </w:tcPr>
          <w:p w14:paraId="338CB1B1" w14:textId="77777777" w:rsidR="00ED3FC8" w:rsidRDefault="00ED3FC8" w:rsidP="00ED3FC8">
            <w:pPr>
              <w:pStyle w:val="NoSpacing"/>
            </w:pPr>
          </w:p>
        </w:tc>
        <w:tc>
          <w:tcPr>
            <w:tcW w:w="3405" w:type="dxa"/>
          </w:tcPr>
          <w:p w14:paraId="37899144" w14:textId="24D03350"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proofErr w:type="spellStart"/>
            <w:r w:rsidRPr="00BD5D46">
              <w:rPr>
                <w:color w:val="FF0000"/>
              </w:rPr>
              <w:t>basicHandWashing</w:t>
            </w:r>
            <w:proofErr w:type="spellEnd"/>
          </w:p>
        </w:tc>
        <w:tc>
          <w:tcPr>
            <w:tcW w:w="4815" w:type="dxa"/>
          </w:tcPr>
          <w:p w14:paraId="3396BFDC" w14:textId="624D4D6A" w:rsidR="00ED3FC8" w:rsidRDefault="00ED3FC8" w:rsidP="00ED3FC8">
            <w:pPr>
              <w:pStyle w:val="NoSpacing"/>
              <w:cnfStyle w:val="000000000000" w:firstRow="0" w:lastRow="0" w:firstColumn="0" w:lastColumn="0" w:oddVBand="0" w:evenVBand="0" w:oddHBand="0" w:evenHBand="0" w:firstRowFirstColumn="0" w:firstRowLastColumn="0" w:lastRowFirstColumn="0" w:lastRowLastColumn="0"/>
            </w:pPr>
            <w:r w:rsidRPr="00BD5D46">
              <w:rPr>
                <w:color w:val="FF0000"/>
              </w:rPr>
              <w:t>Population with basic handwashing facilities at home (%)</w:t>
            </w:r>
          </w:p>
        </w:tc>
      </w:tr>
      <w:tr w:rsidR="00ED3FC8" w14:paraId="4103EA9D" w14:textId="77777777" w:rsidTr="00CC35A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35" w:type="dxa"/>
          </w:tcPr>
          <w:p w14:paraId="3E7EF74E" w14:textId="4A9FD50B" w:rsidR="00ED3FC8" w:rsidRDefault="00ED3FC8" w:rsidP="00ED3FC8">
            <w:pPr>
              <w:pStyle w:val="NoSpacing"/>
            </w:pPr>
            <w:r w:rsidRPr="00CC03EF">
              <w:rPr>
                <w:b/>
                <w:bCs/>
              </w:rPr>
              <w:t>Clean household energy</w:t>
            </w:r>
          </w:p>
        </w:tc>
        <w:tc>
          <w:tcPr>
            <w:tcW w:w="3405" w:type="dxa"/>
          </w:tcPr>
          <w:p w14:paraId="27E235F8" w14:textId="70BCD24C"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proofErr w:type="spellStart"/>
            <w:r>
              <w:t>cleanFuelAndTech</w:t>
            </w:r>
            <w:proofErr w:type="spellEnd"/>
          </w:p>
        </w:tc>
        <w:tc>
          <w:tcPr>
            <w:tcW w:w="4815" w:type="dxa"/>
          </w:tcPr>
          <w:p w14:paraId="2C3D26BD" w14:textId="16DC9C82" w:rsidR="00ED3FC8" w:rsidRDefault="00ED3FC8" w:rsidP="00ED3FC8">
            <w:pPr>
              <w:pStyle w:val="NoSpacing"/>
              <w:cnfStyle w:val="000000100000" w:firstRow="0" w:lastRow="0" w:firstColumn="0" w:lastColumn="0" w:oddVBand="0" w:evenVBand="0" w:oddHBand="1" w:evenHBand="0" w:firstRowFirstColumn="0" w:firstRowLastColumn="0" w:lastRowFirstColumn="0" w:lastRowLastColumn="0"/>
            </w:pPr>
            <w:r>
              <w:t>Proportion of population with primary reliance on clean fuels and technologies (%)</w:t>
            </w:r>
          </w:p>
        </w:tc>
      </w:tr>
    </w:tbl>
    <w:p w14:paraId="2F5221D8" w14:textId="7E0754AB" w:rsidR="00CC35A1" w:rsidRDefault="00CC35A1" w:rsidP="00CC35A1"/>
    <w:p w14:paraId="51446740" w14:textId="77777777" w:rsidR="00CC35A1" w:rsidRDefault="00CC35A1" w:rsidP="00CC35A1">
      <w:pPr>
        <w:pStyle w:val="NoSpacing"/>
      </w:pPr>
      <w:r>
        <w:t>Source: Kaggle &amp; WHO</w:t>
      </w:r>
    </w:p>
    <w:p w14:paraId="36B11B00" w14:textId="4365A94A" w:rsidR="00CC35A1" w:rsidRDefault="00CC35A1" w:rsidP="00E800A1">
      <w:pPr>
        <w:pStyle w:val="NoSpacing"/>
      </w:pPr>
    </w:p>
    <w:p w14:paraId="2E1C5101" w14:textId="77777777" w:rsidR="00CC35A1" w:rsidRDefault="00CC35A1" w:rsidP="00E800A1">
      <w:pPr>
        <w:pStyle w:val="NoSpacing"/>
      </w:pPr>
    </w:p>
    <w:sectPr w:rsidR="00CC35A1" w:rsidSect="002D2B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78ADC" w14:textId="77777777" w:rsidR="00017D70" w:rsidRDefault="00017D70" w:rsidP="00896D79">
      <w:pPr>
        <w:spacing w:after="0" w:line="240" w:lineRule="auto"/>
      </w:pPr>
      <w:r>
        <w:separator/>
      </w:r>
    </w:p>
  </w:endnote>
  <w:endnote w:type="continuationSeparator" w:id="0">
    <w:p w14:paraId="53FF56AF" w14:textId="77777777" w:rsidR="00017D70" w:rsidRDefault="00017D70" w:rsidP="00896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onaco">
    <w:altName w:val="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BED58" w14:textId="77777777" w:rsidR="00017D70" w:rsidRDefault="00017D70" w:rsidP="00896D79">
      <w:pPr>
        <w:spacing w:after="0" w:line="240" w:lineRule="auto"/>
      </w:pPr>
      <w:r>
        <w:separator/>
      </w:r>
    </w:p>
  </w:footnote>
  <w:footnote w:type="continuationSeparator" w:id="0">
    <w:p w14:paraId="5F5EE839" w14:textId="77777777" w:rsidR="00017D70" w:rsidRDefault="00017D70" w:rsidP="00896D79">
      <w:pPr>
        <w:spacing w:after="0" w:line="240" w:lineRule="auto"/>
      </w:pPr>
      <w:r>
        <w:continuationSeparator/>
      </w:r>
    </w:p>
  </w:footnote>
  <w:footnote w:id="1">
    <w:p w14:paraId="4B574964" w14:textId="501D9603" w:rsidR="00896D79" w:rsidRDefault="00896D79">
      <w:pPr>
        <w:pStyle w:val="FootnoteText"/>
      </w:pPr>
      <w:r>
        <w:rPr>
          <w:rStyle w:val="FootnoteReference"/>
        </w:rPr>
        <w:footnoteRef/>
      </w:r>
      <w:r>
        <w:t xml:space="preserve"> World Bank, </w:t>
      </w:r>
      <w:hyperlink r:id="rId1" w:history="1">
        <w:r w:rsidRPr="005D79EA">
          <w:rPr>
            <w:rStyle w:val="Hyperlink"/>
          </w:rPr>
          <w:t>https://blogs.worldbank.org/arabvoices/developing-growing-less-happy-what-explains-paradox-arab-world</w:t>
        </w:r>
      </w:hyperlink>
    </w:p>
  </w:footnote>
  <w:footnote w:id="2">
    <w:p w14:paraId="655BA444" w14:textId="66C97377" w:rsidR="00896D79" w:rsidRPr="00896D79" w:rsidRDefault="00896D79">
      <w:pPr>
        <w:pStyle w:val="FootnoteText"/>
      </w:pPr>
      <w:r>
        <w:rPr>
          <w:rStyle w:val="FootnoteReference"/>
        </w:rPr>
        <w:footnoteRef/>
      </w:r>
      <w:r>
        <w:t xml:space="preserve"> National Research University Higher School of Economics, </w:t>
      </w:r>
      <w:r w:rsidRPr="00896D79">
        <w:t>https://phys.org/news/2019-12-happiness-arab.html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3AD9"/>
    <w:multiLevelType w:val="hybridMultilevel"/>
    <w:tmpl w:val="A93E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3670DC"/>
    <w:multiLevelType w:val="hybridMultilevel"/>
    <w:tmpl w:val="EA767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EC31C6"/>
    <w:multiLevelType w:val="hybridMultilevel"/>
    <w:tmpl w:val="492A2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1"/>
    <w:rsid w:val="00017D70"/>
    <w:rsid w:val="000574B3"/>
    <w:rsid w:val="000C107D"/>
    <w:rsid w:val="000C431C"/>
    <w:rsid w:val="000D1AE0"/>
    <w:rsid w:val="000E7ACC"/>
    <w:rsid w:val="00110C76"/>
    <w:rsid w:val="001564F7"/>
    <w:rsid w:val="001B602D"/>
    <w:rsid w:val="00202980"/>
    <w:rsid w:val="00222C11"/>
    <w:rsid w:val="00264791"/>
    <w:rsid w:val="00290A61"/>
    <w:rsid w:val="002A72E8"/>
    <w:rsid w:val="002C7881"/>
    <w:rsid w:val="002D2B5A"/>
    <w:rsid w:val="002D468E"/>
    <w:rsid w:val="002E36AA"/>
    <w:rsid w:val="002E43BB"/>
    <w:rsid w:val="002E45E1"/>
    <w:rsid w:val="003271A0"/>
    <w:rsid w:val="003323E0"/>
    <w:rsid w:val="00360669"/>
    <w:rsid w:val="00394950"/>
    <w:rsid w:val="003964D6"/>
    <w:rsid w:val="003C61C0"/>
    <w:rsid w:val="003E2DB0"/>
    <w:rsid w:val="003F4A11"/>
    <w:rsid w:val="004052A9"/>
    <w:rsid w:val="00405ECA"/>
    <w:rsid w:val="004170C9"/>
    <w:rsid w:val="004339D0"/>
    <w:rsid w:val="00444778"/>
    <w:rsid w:val="004718BE"/>
    <w:rsid w:val="004B7040"/>
    <w:rsid w:val="004C11CB"/>
    <w:rsid w:val="0050757F"/>
    <w:rsid w:val="00512769"/>
    <w:rsid w:val="0052105F"/>
    <w:rsid w:val="005231B9"/>
    <w:rsid w:val="0053352C"/>
    <w:rsid w:val="005761E8"/>
    <w:rsid w:val="00577FA7"/>
    <w:rsid w:val="0059332D"/>
    <w:rsid w:val="005B6B87"/>
    <w:rsid w:val="005D086C"/>
    <w:rsid w:val="00604810"/>
    <w:rsid w:val="00656369"/>
    <w:rsid w:val="006800D3"/>
    <w:rsid w:val="006972B3"/>
    <w:rsid w:val="006A0218"/>
    <w:rsid w:val="006A0378"/>
    <w:rsid w:val="006A5289"/>
    <w:rsid w:val="006B2018"/>
    <w:rsid w:val="00700AA8"/>
    <w:rsid w:val="0073348F"/>
    <w:rsid w:val="00736E00"/>
    <w:rsid w:val="007972A8"/>
    <w:rsid w:val="007A51D8"/>
    <w:rsid w:val="007C3C1D"/>
    <w:rsid w:val="007D0D55"/>
    <w:rsid w:val="00800624"/>
    <w:rsid w:val="008120CF"/>
    <w:rsid w:val="008245CD"/>
    <w:rsid w:val="00843751"/>
    <w:rsid w:val="008666C8"/>
    <w:rsid w:val="00896D79"/>
    <w:rsid w:val="009501B1"/>
    <w:rsid w:val="009756BA"/>
    <w:rsid w:val="009C2344"/>
    <w:rsid w:val="009E5B92"/>
    <w:rsid w:val="009E7FAA"/>
    <w:rsid w:val="009F0D5C"/>
    <w:rsid w:val="00A31B5E"/>
    <w:rsid w:val="00A60917"/>
    <w:rsid w:val="00A80F39"/>
    <w:rsid w:val="00A94167"/>
    <w:rsid w:val="00AC3342"/>
    <w:rsid w:val="00AE54E7"/>
    <w:rsid w:val="00AE62CE"/>
    <w:rsid w:val="00AF4F12"/>
    <w:rsid w:val="00B920E2"/>
    <w:rsid w:val="00BA55F5"/>
    <w:rsid w:val="00BB4BE9"/>
    <w:rsid w:val="00BC59C0"/>
    <w:rsid w:val="00BD5D46"/>
    <w:rsid w:val="00BF1F02"/>
    <w:rsid w:val="00C1605A"/>
    <w:rsid w:val="00CB48A4"/>
    <w:rsid w:val="00CC03EF"/>
    <w:rsid w:val="00CC2571"/>
    <w:rsid w:val="00CC35A1"/>
    <w:rsid w:val="00CC533B"/>
    <w:rsid w:val="00CC640B"/>
    <w:rsid w:val="00CD5C87"/>
    <w:rsid w:val="00D57472"/>
    <w:rsid w:val="00D61983"/>
    <w:rsid w:val="00D66B74"/>
    <w:rsid w:val="00D9533B"/>
    <w:rsid w:val="00DD5F4C"/>
    <w:rsid w:val="00E214C5"/>
    <w:rsid w:val="00E223C5"/>
    <w:rsid w:val="00E3440B"/>
    <w:rsid w:val="00E5085B"/>
    <w:rsid w:val="00E6079F"/>
    <w:rsid w:val="00E66F00"/>
    <w:rsid w:val="00E800A1"/>
    <w:rsid w:val="00EA2B48"/>
    <w:rsid w:val="00ED3FC8"/>
    <w:rsid w:val="00ED4651"/>
    <w:rsid w:val="00ED6192"/>
    <w:rsid w:val="00ED677E"/>
    <w:rsid w:val="00EE4B3A"/>
    <w:rsid w:val="00EE7D0D"/>
    <w:rsid w:val="00EF3A86"/>
    <w:rsid w:val="00F11865"/>
    <w:rsid w:val="00F134E0"/>
    <w:rsid w:val="00F41851"/>
    <w:rsid w:val="00F466B5"/>
    <w:rsid w:val="00F576D0"/>
    <w:rsid w:val="00FC6BBD"/>
    <w:rsid w:val="00FF405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54AA2"/>
  <w15:chartTrackingRefBased/>
  <w15:docId w15:val="{B4D1AA69-48D3-48C2-AE2C-447205B04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F40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800A1"/>
    <w:pPr>
      <w:spacing w:after="0" w:line="240" w:lineRule="auto"/>
    </w:pPr>
  </w:style>
  <w:style w:type="character" w:customStyle="1" w:styleId="Heading2Char">
    <w:name w:val="Heading 2 Char"/>
    <w:basedOn w:val="DefaultParagraphFont"/>
    <w:link w:val="Heading2"/>
    <w:uiPriority w:val="9"/>
    <w:rsid w:val="00FF405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4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5933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933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C03E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50757F"/>
    <w:rPr>
      <w:color w:val="0563C1" w:themeColor="hyperlink"/>
      <w:u w:val="single"/>
    </w:rPr>
  </w:style>
  <w:style w:type="character" w:styleId="UnresolvedMention">
    <w:name w:val="Unresolved Mention"/>
    <w:basedOn w:val="DefaultParagraphFont"/>
    <w:uiPriority w:val="99"/>
    <w:semiHidden/>
    <w:unhideWhenUsed/>
    <w:rsid w:val="0050757F"/>
    <w:rPr>
      <w:color w:val="605E5C"/>
      <w:shd w:val="clear" w:color="auto" w:fill="E1DFDD"/>
    </w:rPr>
  </w:style>
  <w:style w:type="paragraph" w:styleId="FootnoteText">
    <w:name w:val="footnote text"/>
    <w:basedOn w:val="Normal"/>
    <w:link w:val="FootnoteTextChar"/>
    <w:uiPriority w:val="99"/>
    <w:semiHidden/>
    <w:unhideWhenUsed/>
    <w:rsid w:val="00896D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6D79"/>
    <w:rPr>
      <w:sz w:val="20"/>
      <w:szCs w:val="20"/>
    </w:rPr>
  </w:style>
  <w:style w:type="character" w:styleId="FootnoteReference">
    <w:name w:val="footnote reference"/>
    <w:basedOn w:val="DefaultParagraphFont"/>
    <w:uiPriority w:val="99"/>
    <w:semiHidden/>
    <w:unhideWhenUsed/>
    <w:rsid w:val="00896D79"/>
    <w:rPr>
      <w:vertAlign w:val="superscript"/>
    </w:rPr>
  </w:style>
  <w:style w:type="character" w:customStyle="1" w:styleId="mi">
    <w:name w:val="mi"/>
    <w:basedOn w:val="DefaultParagraphFont"/>
    <w:rsid w:val="003964D6"/>
  </w:style>
  <w:style w:type="paragraph" w:styleId="HTMLPreformatted">
    <w:name w:val="HTML Preformatted"/>
    <w:basedOn w:val="Normal"/>
    <w:link w:val="HTMLPreformattedChar"/>
    <w:uiPriority w:val="99"/>
    <w:semiHidden/>
    <w:unhideWhenUsed/>
    <w:rsid w:val="0039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3964D6"/>
    <w:rPr>
      <w:rFonts w:ascii="Courier New" w:eastAsia="Times New Roman" w:hAnsi="Courier New" w:cs="Courier New"/>
      <w:sz w:val="20"/>
      <w:szCs w:val="20"/>
      <w:lang w:val="en-US" w:eastAsia="en-US"/>
    </w:rPr>
  </w:style>
  <w:style w:type="paragraph" w:styleId="ListParagraph">
    <w:name w:val="List Paragraph"/>
    <w:basedOn w:val="Normal"/>
    <w:uiPriority w:val="34"/>
    <w:qFormat/>
    <w:rsid w:val="006A52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175497">
      <w:bodyDiv w:val="1"/>
      <w:marLeft w:val="0"/>
      <w:marRight w:val="0"/>
      <w:marTop w:val="0"/>
      <w:marBottom w:val="0"/>
      <w:divBdr>
        <w:top w:val="none" w:sz="0" w:space="0" w:color="auto"/>
        <w:left w:val="none" w:sz="0" w:space="0" w:color="auto"/>
        <w:bottom w:val="none" w:sz="0" w:space="0" w:color="auto"/>
        <w:right w:val="none" w:sz="0" w:space="0" w:color="auto"/>
      </w:divBdr>
    </w:div>
    <w:div w:id="621571615">
      <w:bodyDiv w:val="1"/>
      <w:marLeft w:val="0"/>
      <w:marRight w:val="0"/>
      <w:marTop w:val="0"/>
      <w:marBottom w:val="0"/>
      <w:divBdr>
        <w:top w:val="none" w:sz="0" w:space="0" w:color="auto"/>
        <w:left w:val="none" w:sz="0" w:space="0" w:color="auto"/>
        <w:bottom w:val="none" w:sz="0" w:space="0" w:color="auto"/>
        <w:right w:val="none" w:sz="0" w:space="0" w:color="auto"/>
      </w:divBdr>
    </w:div>
    <w:div w:id="910309338">
      <w:bodyDiv w:val="1"/>
      <w:marLeft w:val="0"/>
      <w:marRight w:val="0"/>
      <w:marTop w:val="0"/>
      <w:marBottom w:val="0"/>
      <w:divBdr>
        <w:top w:val="none" w:sz="0" w:space="0" w:color="auto"/>
        <w:left w:val="none" w:sz="0" w:space="0" w:color="auto"/>
        <w:bottom w:val="none" w:sz="0" w:space="0" w:color="auto"/>
        <w:right w:val="none" w:sz="0" w:space="0" w:color="auto"/>
      </w:divBdr>
    </w:div>
    <w:div w:id="1113205267">
      <w:bodyDiv w:val="1"/>
      <w:marLeft w:val="0"/>
      <w:marRight w:val="0"/>
      <w:marTop w:val="0"/>
      <w:marBottom w:val="0"/>
      <w:divBdr>
        <w:top w:val="none" w:sz="0" w:space="0" w:color="auto"/>
        <w:left w:val="none" w:sz="0" w:space="0" w:color="auto"/>
        <w:bottom w:val="none" w:sz="0" w:space="0" w:color="auto"/>
        <w:right w:val="none" w:sz="0" w:space="0" w:color="auto"/>
      </w:divBdr>
      <w:divsChild>
        <w:div w:id="55249788">
          <w:marLeft w:val="0"/>
          <w:marRight w:val="0"/>
          <w:marTop w:val="0"/>
          <w:marBottom w:val="0"/>
          <w:divBdr>
            <w:top w:val="none" w:sz="0" w:space="0" w:color="auto"/>
            <w:left w:val="none" w:sz="0" w:space="0" w:color="auto"/>
            <w:bottom w:val="none" w:sz="0" w:space="0" w:color="auto"/>
            <w:right w:val="none" w:sz="0" w:space="0" w:color="auto"/>
          </w:divBdr>
          <w:divsChild>
            <w:div w:id="1278872647">
              <w:marLeft w:val="150"/>
              <w:marRight w:val="150"/>
              <w:marTop w:val="150"/>
              <w:marBottom w:val="150"/>
              <w:divBdr>
                <w:top w:val="none" w:sz="0" w:space="0" w:color="auto"/>
                <w:left w:val="none" w:sz="0" w:space="0" w:color="auto"/>
                <w:bottom w:val="none" w:sz="0" w:space="0" w:color="auto"/>
                <w:right w:val="none" w:sz="0" w:space="0" w:color="auto"/>
              </w:divBdr>
              <w:divsChild>
                <w:div w:id="3354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60381">
          <w:marLeft w:val="0"/>
          <w:marRight w:val="0"/>
          <w:marTop w:val="0"/>
          <w:marBottom w:val="0"/>
          <w:divBdr>
            <w:top w:val="none" w:sz="0" w:space="0" w:color="auto"/>
            <w:left w:val="none" w:sz="0" w:space="0" w:color="auto"/>
            <w:bottom w:val="none" w:sz="0" w:space="0" w:color="auto"/>
            <w:right w:val="none" w:sz="0" w:space="0" w:color="auto"/>
          </w:divBdr>
          <w:divsChild>
            <w:div w:id="270166972">
              <w:marLeft w:val="150"/>
              <w:marRight w:val="150"/>
              <w:marTop w:val="150"/>
              <w:marBottom w:val="150"/>
              <w:divBdr>
                <w:top w:val="none" w:sz="0" w:space="0" w:color="auto"/>
                <w:left w:val="none" w:sz="0" w:space="0" w:color="auto"/>
                <w:bottom w:val="none" w:sz="0" w:space="0" w:color="auto"/>
                <w:right w:val="none" w:sz="0" w:space="0" w:color="auto"/>
              </w:divBdr>
              <w:divsChild>
                <w:div w:id="3850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3308">
          <w:marLeft w:val="0"/>
          <w:marRight w:val="0"/>
          <w:marTop w:val="0"/>
          <w:marBottom w:val="0"/>
          <w:divBdr>
            <w:top w:val="none" w:sz="0" w:space="0" w:color="auto"/>
            <w:left w:val="none" w:sz="0" w:space="0" w:color="auto"/>
            <w:bottom w:val="none" w:sz="0" w:space="0" w:color="auto"/>
            <w:right w:val="none" w:sz="0" w:space="0" w:color="auto"/>
          </w:divBdr>
          <w:divsChild>
            <w:div w:id="1952936634">
              <w:marLeft w:val="150"/>
              <w:marRight w:val="150"/>
              <w:marTop w:val="150"/>
              <w:marBottom w:val="150"/>
              <w:divBdr>
                <w:top w:val="none" w:sz="0" w:space="0" w:color="auto"/>
                <w:left w:val="none" w:sz="0" w:space="0" w:color="auto"/>
                <w:bottom w:val="none" w:sz="0" w:space="0" w:color="auto"/>
                <w:right w:val="none" w:sz="0" w:space="0" w:color="auto"/>
              </w:divBdr>
              <w:divsChild>
                <w:div w:id="11849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2694">
          <w:marLeft w:val="0"/>
          <w:marRight w:val="0"/>
          <w:marTop w:val="0"/>
          <w:marBottom w:val="0"/>
          <w:divBdr>
            <w:top w:val="none" w:sz="0" w:space="0" w:color="auto"/>
            <w:left w:val="none" w:sz="0" w:space="0" w:color="auto"/>
            <w:bottom w:val="none" w:sz="0" w:space="0" w:color="auto"/>
            <w:right w:val="none" w:sz="0" w:space="0" w:color="auto"/>
          </w:divBdr>
          <w:divsChild>
            <w:div w:id="866914245">
              <w:marLeft w:val="150"/>
              <w:marRight w:val="150"/>
              <w:marTop w:val="150"/>
              <w:marBottom w:val="150"/>
              <w:divBdr>
                <w:top w:val="none" w:sz="0" w:space="0" w:color="auto"/>
                <w:left w:val="none" w:sz="0" w:space="0" w:color="auto"/>
                <w:bottom w:val="none" w:sz="0" w:space="0" w:color="auto"/>
                <w:right w:val="none" w:sz="0" w:space="0" w:color="auto"/>
              </w:divBdr>
              <w:divsChild>
                <w:div w:id="5419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3408">
          <w:marLeft w:val="0"/>
          <w:marRight w:val="0"/>
          <w:marTop w:val="0"/>
          <w:marBottom w:val="0"/>
          <w:divBdr>
            <w:top w:val="none" w:sz="0" w:space="0" w:color="auto"/>
            <w:left w:val="none" w:sz="0" w:space="0" w:color="auto"/>
            <w:bottom w:val="none" w:sz="0" w:space="0" w:color="auto"/>
            <w:right w:val="none" w:sz="0" w:space="0" w:color="auto"/>
          </w:divBdr>
          <w:divsChild>
            <w:div w:id="1599215516">
              <w:marLeft w:val="150"/>
              <w:marRight w:val="150"/>
              <w:marTop w:val="150"/>
              <w:marBottom w:val="150"/>
              <w:divBdr>
                <w:top w:val="none" w:sz="0" w:space="0" w:color="auto"/>
                <w:left w:val="none" w:sz="0" w:space="0" w:color="auto"/>
                <w:bottom w:val="none" w:sz="0" w:space="0" w:color="auto"/>
                <w:right w:val="none" w:sz="0" w:space="0" w:color="auto"/>
              </w:divBdr>
              <w:divsChild>
                <w:div w:id="1774088659">
                  <w:marLeft w:val="0"/>
                  <w:marRight w:val="0"/>
                  <w:marTop w:val="0"/>
                  <w:marBottom w:val="0"/>
                  <w:divBdr>
                    <w:top w:val="none" w:sz="0" w:space="0" w:color="auto"/>
                    <w:left w:val="none" w:sz="0" w:space="0" w:color="auto"/>
                    <w:bottom w:val="none" w:sz="0" w:space="0" w:color="auto"/>
                    <w:right w:val="none" w:sz="0" w:space="0" w:color="auto"/>
                  </w:divBdr>
                  <w:divsChild>
                    <w:div w:id="411195795">
                      <w:marLeft w:val="0"/>
                      <w:marRight w:val="0"/>
                      <w:marTop w:val="0"/>
                      <w:marBottom w:val="0"/>
                      <w:divBdr>
                        <w:top w:val="none" w:sz="0" w:space="0" w:color="auto"/>
                        <w:left w:val="none" w:sz="0" w:space="0" w:color="auto"/>
                        <w:bottom w:val="none" w:sz="0" w:space="0" w:color="auto"/>
                        <w:right w:val="none" w:sz="0" w:space="0" w:color="auto"/>
                      </w:divBdr>
                      <w:divsChild>
                        <w:div w:id="2070954148">
                          <w:marLeft w:val="150"/>
                          <w:marRight w:val="150"/>
                          <w:marTop w:val="15"/>
                          <w:marBottom w:val="150"/>
                          <w:divBdr>
                            <w:top w:val="none" w:sz="0" w:space="0" w:color="auto"/>
                            <w:left w:val="none" w:sz="0" w:space="0" w:color="auto"/>
                            <w:bottom w:val="none" w:sz="0" w:space="0" w:color="auto"/>
                            <w:right w:val="none" w:sz="0" w:space="0" w:color="auto"/>
                          </w:divBdr>
                          <w:divsChild>
                            <w:div w:id="2060127610">
                              <w:marLeft w:val="0"/>
                              <w:marRight w:val="0"/>
                              <w:marTop w:val="0"/>
                              <w:marBottom w:val="0"/>
                              <w:divBdr>
                                <w:top w:val="none" w:sz="0" w:space="0" w:color="auto"/>
                                <w:left w:val="none" w:sz="0" w:space="0" w:color="auto"/>
                                <w:bottom w:val="none" w:sz="0" w:space="0" w:color="auto"/>
                                <w:right w:val="none" w:sz="0" w:space="0" w:color="auto"/>
                              </w:divBdr>
                              <w:divsChild>
                                <w:div w:id="17703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8836">
                          <w:marLeft w:val="135"/>
                          <w:marRight w:val="135"/>
                          <w:marTop w:val="0"/>
                          <w:marBottom w:val="135"/>
                          <w:divBdr>
                            <w:top w:val="none" w:sz="0" w:space="0" w:color="auto"/>
                            <w:left w:val="none" w:sz="0" w:space="0" w:color="auto"/>
                            <w:bottom w:val="none" w:sz="0" w:space="0" w:color="auto"/>
                            <w:right w:val="none" w:sz="0" w:space="0" w:color="auto"/>
                          </w:divBdr>
                          <w:divsChild>
                            <w:div w:id="1010988304">
                              <w:marLeft w:val="0"/>
                              <w:marRight w:val="0"/>
                              <w:marTop w:val="0"/>
                              <w:marBottom w:val="0"/>
                              <w:divBdr>
                                <w:top w:val="none" w:sz="0" w:space="0" w:color="auto"/>
                                <w:left w:val="none" w:sz="0" w:space="0" w:color="auto"/>
                                <w:bottom w:val="none" w:sz="0" w:space="0" w:color="auto"/>
                                <w:right w:val="none" w:sz="0" w:space="0" w:color="auto"/>
                              </w:divBdr>
                              <w:divsChild>
                                <w:div w:id="21225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43047">
                      <w:marLeft w:val="0"/>
                      <w:marRight w:val="0"/>
                      <w:marTop w:val="0"/>
                      <w:marBottom w:val="0"/>
                      <w:divBdr>
                        <w:top w:val="none" w:sz="0" w:space="0" w:color="auto"/>
                        <w:left w:val="none" w:sz="0" w:space="0" w:color="auto"/>
                        <w:bottom w:val="none" w:sz="0" w:space="0" w:color="auto"/>
                        <w:right w:val="none" w:sz="0" w:space="0" w:color="auto"/>
                      </w:divBdr>
                      <w:divsChild>
                        <w:div w:id="933906048">
                          <w:marLeft w:val="0"/>
                          <w:marRight w:val="0"/>
                          <w:marTop w:val="0"/>
                          <w:marBottom w:val="0"/>
                          <w:divBdr>
                            <w:top w:val="none" w:sz="0" w:space="0" w:color="auto"/>
                            <w:left w:val="none" w:sz="0" w:space="0" w:color="auto"/>
                            <w:bottom w:val="none" w:sz="0" w:space="0" w:color="auto"/>
                            <w:right w:val="none" w:sz="0" w:space="0" w:color="auto"/>
                          </w:divBdr>
                          <w:divsChild>
                            <w:div w:id="664864276">
                              <w:marLeft w:val="0"/>
                              <w:marRight w:val="0"/>
                              <w:marTop w:val="0"/>
                              <w:marBottom w:val="0"/>
                              <w:divBdr>
                                <w:top w:val="none" w:sz="0" w:space="0" w:color="auto"/>
                                <w:left w:val="none" w:sz="0" w:space="0" w:color="auto"/>
                                <w:bottom w:val="none" w:sz="0" w:space="0" w:color="auto"/>
                                <w:right w:val="none" w:sz="0" w:space="0" w:color="auto"/>
                              </w:divBdr>
                              <w:divsChild>
                                <w:div w:id="19577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621849">
      <w:bodyDiv w:val="1"/>
      <w:marLeft w:val="0"/>
      <w:marRight w:val="0"/>
      <w:marTop w:val="0"/>
      <w:marBottom w:val="0"/>
      <w:divBdr>
        <w:top w:val="none" w:sz="0" w:space="0" w:color="auto"/>
        <w:left w:val="none" w:sz="0" w:space="0" w:color="auto"/>
        <w:bottom w:val="none" w:sz="0" w:space="0" w:color="auto"/>
        <w:right w:val="none" w:sz="0" w:space="0" w:color="auto"/>
      </w:divBdr>
    </w:div>
    <w:div w:id="1363364575">
      <w:bodyDiv w:val="1"/>
      <w:marLeft w:val="0"/>
      <w:marRight w:val="0"/>
      <w:marTop w:val="0"/>
      <w:marBottom w:val="0"/>
      <w:divBdr>
        <w:top w:val="none" w:sz="0" w:space="0" w:color="auto"/>
        <w:left w:val="none" w:sz="0" w:space="0" w:color="auto"/>
        <w:bottom w:val="none" w:sz="0" w:space="0" w:color="auto"/>
        <w:right w:val="none" w:sz="0" w:space="0" w:color="auto"/>
      </w:divBdr>
    </w:div>
    <w:div w:id="1550915678">
      <w:bodyDiv w:val="1"/>
      <w:marLeft w:val="0"/>
      <w:marRight w:val="0"/>
      <w:marTop w:val="0"/>
      <w:marBottom w:val="0"/>
      <w:divBdr>
        <w:top w:val="none" w:sz="0" w:space="0" w:color="auto"/>
        <w:left w:val="none" w:sz="0" w:space="0" w:color="auto"/>
        <w:bottom w:val="none" w:sz="0" w:space="0" w:color="auto"/>
        <w:right w:val="none" w:sz="0" w:space="0" w:color="auto"/>
      </w:divBdr>
    </w:div>
    <w:div w:id="1575774386">
      <w:bodyDiv w:val="1"/>
      <w:marLeft w:val="0"/>
      <w:marRight w:val="0"/>
      <w:marTop w:val="0"/>
      <w:marBottom w:val="0"/>
      <w:divBdr>
        <w:top w:val="none" w:sz="0" w:space="0" w:color="auto"/>
        <w:left w:val="none" w:sz="0" w:space="0" w:color="auto"/>
        <w:bottom w:val="none" w:sz="0" w:space="0" w:color="auto"/>
        <w:right w:val="none" w:sz="0" w:space="0" w:color="auto"/>
      </w:divBdr>
    </w:div>
    <w:div w:id="1657536899">
      <w:bodyDiv w:val="1"/>
      <w:marLeft w:val="0"/>
      <w:marRight w:val="0"/>
      <w:marTop w:val="0"/>
      <w:marBottom w:val="0"/>
      <w:divBdr>
        <w:top w:val="none" w:sz="0" w:space="0" w:color="auto"/>
        <w:left w:val="none" w:sz="0" w:space="0" w:color="auto"/>
        <w:bottom w:val="none" w:sz="0" w:space="0" w:color="auto"/>
        <w:right w:val="none" w:sz="0" w:space="0" w:color="auto"/>
      </w:divBdr>
    </w:div>
    <w:div w:id="1665010485">
      <w:bodyDiv w:val="1"/>
      <w:marLeft w:val="0"/>
      <w:marRight w:val="0"/>
      <w:marTop w:val="0"/>
      <w:marBottom w:val="0"/>
      <w:divBdr>
        <w:top w:val="none" w:sz="0" w:space="0" w:color="auto"/>
        <w:left w:val="none" w:sz="0" w:space="0" w:color="auto"/>
        <w:bottom w:val="none" w:sz="0" w:space="0" w:color="auto"/>
        <w:right w:val="none" w:sz="0" w:space="0" w:color="auto"/>
      </w:divBdr>
    </w:div>
    <w:div w:id="18508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ldhappiness.report/"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www.kaggle.com/unsdsn/world-happines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news.gallup.com/poll/266057/gallup-global-happiness-center.aspx" TargetMode="Externa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blogs.worldbank.org/arabvoices/developing-growing-less-happy-what-explains-paradox-arab-world"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cha\Downloads\stat571FinalProject-main\data\2015-2020.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cha\Downloads\stat571FinalProject-main\data\2015-2020.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GB" b="1"/>
              <a:t>World Happiness Average</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lineChart>
        <c:grouping val="standard"/>
        <c:varyColors val="0"/>
        <c:ser>
          <c:idx val="0"/>
          <c:order val="0"/>
          <c:tx>
            <c:strRef>
              <c:f>'2015-2020'!$I$2</c:f>
              <c:strCache>
                <c:ptCount val="1"/>
                <c:pt idx="0">
                  <c:v>Mean</c:v>
                </c:pt>
              </c:strCache>
            </c:strRef>
          </c:tx>
          <c:spPr>
            <a:ln w="28575" cap="rnd">
              <a:solidFill>
                <a:schemeClr val="accent1"/>
              </a:solidFill>
              <a:round/>
            </a:ln>
            <a:effectLst/>
          </c:spPr>
          <c:marker>
            <c:symbol val="none"/>
          </c:marker>
          <c:cat>
            <c:numRef>
              <c:f>'2015-2020'!$J$1:$O$1</c:f>
              <c:numCache>
                <c:formatCode>General</c:formatCode>
                <c:ptCount val="6"/>
                <c:pt idx="0">
                  <c:v>2015</c:v>
                </c:pt>
                <c:pt idx="1">
                  <c:v>2016</c:v>
                </c:pt>
                <c:pt idx="2">
                  <c:v>2017</c:v>
                </c:pt>
                <c:pt idx="3">
                  <c:v>2018</c:v>
                </c:pt>
                <c:pt idx="4">
                  <c:v>2019</c:v>
                </c:pt>
                <c:pt idx="5">
                  <c:v>2020</c:v>
                </c:pt>
              </c:numCache>
            </c:numRef>
          </c:cat>
          <c:val>
            <c:numRef>
              <c:f>'2015-2020'!$J$2:$O$2</c:f>
              <c:numCache>
                <c:formatCode>0.00</c:formatCode>
                <c:ptCount val="6"/>
                <c:pt idx="0">
                  <c:v>5.3849863945578234</c:v>
                </c:pt>
                <c:pt idx="1">
                  <c:v>5.3845517241379328</c:v>
                </c:pt>
                <c:pt idx="2">
                  <c:v>5.3776326536321317</c:v>
                </c:pt>
                <c:pt idx="3">
                  <c:v>5.3858965517241364</c:v>
                </c:pt>
                <c:pt idx="4">
                  <c:v>5.4072176870748319</c:v>
                </c:pt>
                <c:pt idx="5">
                  <c:v>5.4732398628496721</c:v>
                </c:pt>
              </c:numCache>
            </c:numRef>
          </c:val>
          <c:smooth val="0"/>
          <c:extLst>
            <c:ext xmlns:c16="http://schemas.microsoft.com/office/drawing/2014/chart" uri="{C3380CC4-5D6E-409C-BE32-E72D297353CC}">
              <c16:uniqueId val="{00000000-02CA-47B2-9553-C40B6D7491A2}"/>
            </c:ext>
          </c:extLst>
        </c:ser>
        <c:ser>
          <c:idx val="2"/>
          <c:order val="1"/>
          <c:tx>
            <c:strRef>
              <c:f>'2015-2020'!$I$4</c:f>
              <c:strCache>
                <c:ptCount val="1"/>
                <c:pt idx="0">
                  <c:v>+1 STD</c:v>
                </c:pt>
              </c:strCache>
            </c:strRef>
          </c:tx>
          <c:spPr>
            <a:ln w="28575" cap="rnd">
              <a:solidFill>
                <a:schemeClr val="accent1"/>
              </a:solidFill>
              <a:prstDash val="sysDash"/>
              <a:round/>
            </a:ln>
            <a:effectLst/>
          </c:spPr>
          <c:marker>
            <c:symbol val="none"/>
          </c:marker>
          <c:cat>
            <c:numRef>
              <c:f>'2015-2020'!$J$1:$O$1</c:f>
              <c:numCache>
                <c:formatCode>General</c:formatCode>
                <c:ptCount val="6"/>
                <c:pt idx="0">
                  <c:v>2015</c:v>
                </c:pt>
                <c:pt idx="1">
                  <c:v>2016</c:v>
                </c:pt>
                <c:pt idx="2">
                  <c:v>2017</c:v>
                </c:pt>
                <c:pt idx="3">
                  <c:v>2018</c:v>
                </c:pt>
                <c:pt idx="4">
                  <c:v>2019</c:v>
                </c:pt>
                <c:pt idx="5">
                  <c:v>2020</c:v>
                </c:pt>
              </c:numCache>
            </c:numRef>
          </c:cat>
          <c:val>
            <c:numRef>
              <c:f>'2015-2020'!$J$4:$O$4</c:f>
              <c:numCache>
                <c:formatCode>0.00</c:formatCode>
                <c:ptCount val="6"/>
                <c:pt idx="0">
                  <c:v>6.5294341406997063</c:v>
                </c:pt>
                <c:pt idx="1">
                  <c:v>6.5276097202061321</c:v>
                </c:pt>
                <c:pt idx="2">
                  <c:v>6.5121618743366749</c:v>
                </c:pt>
                <c:pt idx="3">
                  <c:v>6.5131023813221329</c:v>
                </c:pt>
                <c:pt idx="4">
                  <c:v>6.5324878373906801</c:v>
                </c:pt>
                <c:pt idx="5">
                  <c:v>6.5855100365277588</c:v>
                </c:pt>
              </c:numCache>
            </c:numRef>
          </c:val>
          <c:smooth val="0"/>
          <c:extLst>
            <c:ext xmlns:c16="http://schemas.microsoft.com/office/drawing/2014/chart" uri="{C3380CC4-5D6E-409C-BE32-E72D297353CC}">
              <c16:uniqueId val="{00000001-02CA-47B2-9553-C40B6D7491A2}"/>
            </c:ext>
          </c:extLst>
        </c:ser>
        <c:ser>
          <c:idx val="3"/>
          <c:order val="2"/>
          <c:tx>
            <c:strRef>
              <c:f>'2015-2020'!$I$5</c:f>
              <c:strCache>
                <c:ptCount val="1"/>
                <c:pt idx="0">
                  <c:v>-1 STD</c:v>
                </c:pt>
              </c:strCache>
            </c:strRef>
          </c:tx>
          <c:spPr>
            <a:ln w="28575" cap="rnd">
              <a:solidFill>
                <a:schemeClr val="accent1"/>
              </a:solidFill>
              <a:prstDash val="sysDash"/>
              <a:round/>
            </a:ln>
            <a:effectLst/>
          </c:spPr>
          <c:marker>
            <c:symbol val="none"/>
          </c:marker>
          <c:cat>
            <c:numRef>
              <c:f>'2015-2020'!$J$1:$O$1</c:f>
              <c:numCache>
                <c:formatCode>General</c:formatCode>
                <c:ptCount val="6"/>
                <c:pt idx="0">
                  <c:v>2015</c:v>
                </c:pt>
                <c:pt idx="1">
                  <c:v>2016</c:v>
                </c:pt>
                <c:pt idx="2">
                  <c:v>2017</c:v>
                </c:pt>
                <c:pt idx="3">
                  <c:v>2018</c:v>
                </c:pt>
                <c:pt idx="4">
                  <c:v>2019</c:v>
                </c:pt>
                <c:pt idx="5">
                  <c:v>2020</c:v>
                </c:pt>
              </c:numCache>
            </c:numRef>
          </c:cat>
          <c:val>
            <c:numRef>
              <c:f>'2015-2020'!$J$5:$O$5</c:f>
              <c:numCache>
                <c:formatCode>0.00</c:formatCode>
                <c:ptCount val="6"/>
                <c:pt idx="0">
                  <c:v>4.2405386484159404</c:v>
                </c:pt>
                <c:pt idx="1">
                  <c:v>4.2414937280697336</c:v>
                </c:pt>
                <c:pt idx="2">
                  <c:v>4.2431034329275885</c:v>
                </c:pt>
                <c:pt idx="3">
                  <c:v>4.2586907221261399</c:v>
                </c:pt>
                <c:pt idx="4">
                  <c:v>4.2819475367589837</c:v>
                </c:pt>
                <c:pt idx="5">
                  <c:v>4.3609696891715855</c:v>
                </c:pt>
              </c:numCache>
            </c:numRef>
          </c:val>
          <c:smooth val="0"/>
          <c:extLst>
            <c:ext xmlns:c16="http://schemas.microsoft.com/office/drawing/2014/chart" uri="{C3380CC4-5D6E-409C-BE32-E72D297353CC}">
              <c16:uniqueId val="{00000002-02CA-47B2-9553-C40B6D7491A2}"/>
            </c:ext>
          </c:extLst>
        </c:ser>
        <c:dLbls>
          <c:showLegendKey val="0"/>
          <c:showVal val="0"/>
          <c:showCatName val="0"/>
          <c:showSerName val="0"/>
          <c:showPercent val="0"/>
          <c:showBubbleSize val="0"/>
        </c:dLbls>
        <c:smooth val="0"/>
        <c:axId val="1503296528"/>
        <c:axId val="1503298192"/>
      </c:lineChart>
      <c:catAx>
        <c:axId val="1503296528"/>
        <c:scaling>
          <c:orientation val="minMax"/>
        </c:scaling>
        <c:delete val="0"/>
        <c:axPos val="b"/>
        <c:numFmt formatCode="General" sourceLinked="1"/>
        <c:majorTickMark val="none"/>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503298192"/>
        <c:crosses val="autoZero"/>
        <c:auto val="1"/>
        <c:lblAlgn val="ctr"/>
        <c:lblOffset val="100"/>
        <c:noMultiLvlLbl val="0"/>
      </c:catAx>
      <c:valAx>
        <c:axId val="1503298192"/>
        <c:scaling>
          <c:orientation val="minMax"/>
          <c:min val="4"/>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503296528"/>
        <c:crosses val="autoZero"/>
        <c:crossBetween val="between"/>
      </c:valAx>
      <c:spPr>
        <a:noFill/>
        <a:ln>
          <a:solidFill>
            <a:schemeClr val="bg1">
              <a:lumMod val="50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GB" b="1"/>
              <a:t>World Happiness by Region over Time</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v>2015</c:v>
          </c:tx>
          <c:spPr>
            <a:solidFill>
              <a:schemeClr val="accent1"/>
            </a:solidFill>
            <a:ln>
              <a:noFill/>
            </a:ln>
            <a:effectLst/>
          </c:spPr>
          <c:invertIfNegative val="0"/>
          <c:cat>
            <c:strRef>
              <c:f>'2015-2020'!$I$7:$I$16</c:f>
              <c:strCache>
                <c:ptCount val="10"/>
                <c:pt idx="0">
                  <c:v>South Asia</c:v>
                </c:pt>
                <c:pt idx="1">
                  <c:v>Central and Eastern Europe</c:v>
                </c:pt>
                <c:pt idx="2">
                  <c:v>Middle East and North Africa</c:v>
                </c:pt>
                <c:pt idx="3">
                  <c:v>Latin America and Caribbean</c:v>
                </c:pt>
                <c:pt idx="4">
                  <c:v>Commonwealth of Independent States</c:v>
                </c:pt>
                <c:pt idx="5">
                  <c:v>North America and ANZ</c:v>
                </c:pt>
                <c:pt idx="6">
                  <c:v>Western Europe</c:v>
                </c:pt>
                <c:pt idx="7">
                  <c:v>Sub-Saharan Africa</c:v>
                </c:pt>
                <c:pt idx="8">
                  <c:v>Southeast Asia</c:v>
                </c:pt>
                <c:pt idx="9">
                  <c:v>East Asia</c:v>
                </c:pt>
              </c:strCache>
            </c:strRef>
          </c:cat>
          <c:val>
            <c:numRef>
              <c:f>'2015-2020'!$J$7:$J$16</c:f>
              <c:numCache>
                <c:formatCode>0.00</c:formatCode>
                <c:ptCount val="10"/>
                <c:pt idx="0">
                  <c:v>4.4688333333333334</c:v>
                </c:pt>
                <c:pt idx="1">
                  <c:v>5.365823529411764</c:v>
                </c:pt>
                <c:pt idx="2">
                  <c:v>5.392235294117647</c:v>
                </c:pt>
                <c:pt idx="3">
                  <c:v>6.1387619047619042</c:v>
                </c:pt>
                <c:pt idx="4">
                  <c:v>5.2863333333333342</c:v>
                </c:pt>
                <c:pt idx="5">
                  <c:v>7.2789999999999999</c:v>
                </c:pt>
                <c:pt idx="6">
                  <c:v>6.6896190476190478</c:v>
                </c:pt>
                <c:pt idx="7">
                  <c:v>4.1695277777777786</c:v>
                </c:pt>
                <c:pt idx="8">
                  <c:v>5.317444444444444</c:v>
                </c:pt>
                <c:pt idx="9">
                  <c:v>5.4962499999999999</c:v>
                </c:pt>
              </c:numCache>
            </c:numRef>
          </c:val>
          <c:extLst>
            <c:ext xmlns:c16="http://schemas.microsoft.com/office/drawing/2014/chart" uri="{C3380CC4-5D6E-409C-BE32-E72D297353CC}">
              <c16:uniqueId val="{00000000-FDA9-49E0-A906-BA7E7975C8D2}"/>
            </c:ext>
          </c:extLst>
        </c:ser>
        <c:ser>
          <c:idx val="1"/>
          <c:order val="1"/>
          <c:tx>
            <c:v>2016</c:v>
          </c:tx>
          <c:spPr>
            <a:solidFill>
              <a:schemeClr val="accent2"/>
            </a:solidFill>
            <a:ln>
              <a:noFill/>
            </a:ln>
            <a:effectLst/>
          </c:spPr>
          <c:invertIfNegative val="0"/>
          <c:cat>
            <c:strRef>
              <c:f>'2015-2020'!$I$7:$I$16</c:f>
              <c:strCache>
                <c:ptCount val="10"/>
                <c:pt idx="0">
                  <c:v>South Asia</c:v>
                </c:pt>
                <c:pt idx="1">
                  <c:v>Central and Eastern Europe</c:v>
                </c:pt>
                <c:pt idx="2">
                  <c:v>Middle East and North Africa</c:v>
                </c:pt>
                <c:pt idx="3">
                  <c:v>Latin America and Caribbean</c:v>
                </c:pt>
                <c:pt idx="4">
                  <c:v>Commonwealth of Independent States</c:v>
                </c:pt>
                <c:pt idx="5">
                  <c:v>North America and ANZ</c:v>
                </c:pt>
                <c:pt idx="6">
                  <c:v>Western Europe</c:v>
                </c:pt>
                <c:pt idx="7">
                  <c:v>Sub-Saharan Africa</c:v>
                </c:pt>
                <c:pt idx="8">
                  <c:v>Southeast Asia</c:v>
                </c:pt>
                <c:pt idx="9">
                  <c:v>East Asia</c:v>
                </c:pt>
              </c:strCache>
            </c:strRef>
          </c:cat>
          <c:val>
            <c:numRef>
              <c:f>'2015-2020'!$K$7:$K$16</c:f>
              <c:numCache>
                <c:formatCode>0.00</c:formatCode>
                <c:ptCount val="10"/>
                <c:pt idx="0">
                  <c:v>4.4578333333333333</c:v>
                </c:pt>
                <c:pt idx="1">
                  <c:v>5.4248823529411769</c:v>
                </c:pt>
                <c:pt idx="2">
                  <c:v>5.4641764705882352</c:v>
                </c:pt>
                <c:pt idx="3">
                  <c:v>6.0560952380952386</c:v>
                </c:pt>
                <c:pt idx="4">
                  <c:v>5.293916666666667</c:v>
                </c:pt>
                <c:pt idx="5">
                  <c:v>7.2887499999999994</c:v>
                </c:pt>
                <c:pt idx="6">
                  <c:v>6.6856666666666671</c:v>
                </c:pt>
                <c:pt idx="7">
                  <c:v>4.0788823529411751</c:v>
                </c:pt>
                <c:pt idx="8">
                  <c:v>5.3388888888888895</c:v>
                </c:pt>
                <c:pt idx="9">
                  <c:v>5.4770000000000003</c:v>
                </c:pt>
              </c:numCache>
            </c:numRef>
          </c:val>
          <c:extLst>
            <c:ext xmlns:c16="http://schemas.microsoft.com/office/drawing/2014/chart" uri="{C3380CC4-5D6E-409C-BE32-E72D297353CC}">
              <c16:uniqueId val="{00000001-FDA9-49E0-A906-BA7E7975C8D2}"/>
            </c:ext>
          </c:extLst>
        </c:ser>
        <c:ser>
          <c:idx val="2"/>
          <c:order val="2"/>
          <c:tx>
            <c:v>2017</c:v>
          </c:tx>
          <c:spPr>
            <a:solidFill>
              <a:schemeClr val="accent3"/>
            </a:solidFill>
            <a:ln>
              <a:noFill/>
            </a:ln>
            <a:effectLst/>
          </c:spPr>
          <c:invertIfNegative val="0"/>
          <c:cat>
            <c:strRef>
              <c:f>'2015-2020'!$I$7:$I$16</c:f>
              <c:strCache>
                <c:ptCount val="10"/>
                <c:pt idx="0">
                  <c:v>South Asia</c:v>
                </c:pt>
                <c:pt idx="1">
                  <c:v>Central and Eastern Europe</c:v>
                </c:pt>
                <c:pt idx="2">
                  <c:v>Middle East and North Africa</c:v>
                </c:pt>
                <c:pt idx="3">
                  <c:v>Latin America and Caribbean</c:v>
                </c:pt>
                <c:pt idx="4">
                  <c:v>Commonwealth of Independent States</c:v>
                </c:pt>
                <c:pt idx="5">
                  <c:v>North America and ANZ</c:v>
                </c:pt>
                <c:pt idx="6">
                  <c:v>Western Europe</c:v>
                </c:pt>
                <c:pt idx="7">
                  <c:v>Sub-Saharan Africa</c:v>
                </c:pt>
                <c:pt idx="8">
                  <c:v>Southeast Asia</c:v>
                </c:pt>
                <c:pt idx="9">
                  <c:v>East Asia</c:v>
                </c:pt>
              </c:strCache>
            </c:strRef>
          </c:cat>
          <c:val>
            <c:numRef>
              <c:f>'2015-2020'!$L$7:$L$16</c:f>
              <c:numCache>
                <c:formatCode>0.00</c:formatCode>
                <c:ptCount val="10"/>
                <c:pt idx="0">
                  <c:v>4.5646666288375846</c:v>
                </c:pt>
                <c:pt idx="1">
                  <c:v>5.5217059079338524</c:v>
                </c:pt>
                <c:pt idx="2">
                  <c:v>5.4227646939894711</c:v>
                </c:pt>
                <c:pt idx="3">
                  <c:v>5.9579047816140314</c:v>
                </c:pt>
                <c:pt idx="4">
                  <c:v>5.2515832980473842</c:v>
                </c:pt>
                <c:pt idx="5">
                  <c:v>7.2267500162124652</c:v>
                </c:pt>
                <c:pt idx="6">
                  <c:v>6.7037143026079447</c:v>
                </c:pt>
                <c:pt idx="7">
                  <c:v>4.0911388927035865</c:v>
                </c:pt>
                <c:pt idx="8">
                  <c:v>5.444875001907346</c:v>
                </c:pt>
                <c:pt idx="9">
                  <c:v>5.6815999031066893</c:v>
                </c:pt>
              </c:numCache>
            </c:numRef>
          </c:val>
          <c:extLst>
            <c:ext xmlns:c16="http://schemas.microsoft.com/office/drawing/2014/chart" uri="{C3380CC4-5D6E-409C-BE32-E72D297353CC}">
              <c16:uniqueId val="{00000002-FDA9-49E0-A906-BA7E7975C8D2}"/>
            </c:ext>
          </c:extLst>
        </c:ser>
        <c:ser>
          <c:idx val="3"/>
          <c:order val="3"/>
          <c:tx>
            <c:v>2018</c:v>
          </c:tx>
          <c:spPr>
            <a:solidFill>
              <a:schemeClr val="accent4"/>
            </a:solidFill>
            <a:ln>
              <a:noFill/>
            </a:ln>
            <a:effectLst/>
          </c:spPr>
          <c:invertIfNegative val="0"/>
          <c:cat>
            <c:strRef>
              <c:f>'2015-2020'!$I$7:$I$16</c:f>
              <c:strCache>
                <c:ptCount val="10"/>
                <c:pt idx="0">
                  <c:v>South Asia</c:v>
                </c:pt>
                <c:pt idx="1">
                  <c:v>Central and Eastern Europe</c:v>
                </c:pt>
                <c:pt idx="2">
                  <c:v>Middle East and North Africa</c:v>
                </c:pt>
                <c:pt idx="3">
                  <c:v>Latin America and Caribbean</c:v>
                </c:pt>
                <c:pt idx="4">
                  <c:v>Commonwealth of Independent States</c:v>
                </c:pt>
                <c:pt idx="5">
                  <c:v>North America and ANZ</c:v>
                </c:pt>
                <c:pt idx="6">
                  <c:v>Western Europe</c:v>
                </c:pt>
                <c:pt idx="7">
                  <c:v>Sub-Saharan Africa</c:v>
                </c:pt>
                <c:pt idx="8">
                  <c:v>Southeast Asia</c:v>
                </c:pt>
                <c:pt idx="9">
                  <c:v>East Asia</c:v>
                </c:pt>
              </c:strCache>
            </c:strRef>
          </c:cat>
          <c:val>
            <c:numRef>
              <c:f>'2015-2020'!$M$7:$M$16</c:f>
              <c:numCache>
                <c:formatCode>0.00</c:formatCode>
                <c:ptCount val="10"/>
                <c:pt idx="0">
                  <c:v>4.5241666666666669</c:v>
                </c:pt>
                <c:pt idx="1">
                  <c:v>5.6297058823529422</c:v>
                </c:pt>
                <c:pt idx="2">
                  <c:v>5.3256470588235292</c:v>
                </c:pt>
                <c:pt idx="3">
                  <c:v>5.9377499999999994</c:v>
                </c:pt>
                <c:pt idx="4">
                  <c:v>5.229166666666667</c:v>
                </c:pt>
                <c:pt idx="5">
                  <c:v>7.2024999999999997</c:v>
                </c:pt>
                <c:pt idx="6">
                  <c:v>6.8290999999999986</c:v>
                </c:pt>
                <c:pt idx="7">
                  <c:v>4.185833333333334</c:v>
                </c:pt>
                <c:pt idx="8">
                  <c:v>5.3134444444444453</c:v>
                </c:pt>
                <c:pt idx="9">
                  <c:v>5.5402500000000003</c:v>
                </c:pt>
              </c:numCache>
            </c:numRef>
          </c:val>
          <c:extLst>
            <c:ext xmlns:c16="http://schemas.microsoft.com/office/drawing/2014/chart" uri="{C3380CC4-5D6E-409C-BE32-E72D297353CC}">
              <c16:uniqueId val="{00000003-FDA9-49E0-A906-BA7E7975C8D2}"/>
            </c:ext>
          </c:extLst>
        </c:ser>
        <c:ser>
          <c:idx val="4"/>
          <c:order val="4"/>
          <c:tx>
            <c:v>2019</c:v>
          </c:tx>
          <c:spPr>
            <a:solidFill>
              <a:schemeClr val="accent5"/>
            </a:solidFill>
            <a:ln>
              <a:noFill/>
            </a:ln>
            <a:effectLst/>
          </c:spPr>
          <c:invertIfNegative val="0"/>
          <c:cat>
            <c:strRef>
              <c:f>'2015-2020'!$I$7:$I$16</c:f>
              <c:strCache>
                <c:ptCount val="10"/>
                <c:pt idx="0">
                  <c:v>South Asia</c:v>
                </c:pt>
                <c:pt idx="1">
                  <c:v>Central and Eastern Europe</c:v>
                </c:pt>
                <c:pt idx="2">
                  <c:v>Middle East and North Africa</c:v>
                </c:pt>
                <c:pt idx="3">
                  <c:v>Latin America and Caribbean</c:v>
                </c:pt>
                <c:pt idx="4">
                  <c:v>Commonwealth of Independent States</c:v>
                </c:pt>
                <c:pt idx="5">
                  <c:v>North America and ANZ</c:v>
                </c:pt>
                <c:pt idx="6">
                  <c:v>Western Europe</c:v>
                </c:pt>
                <c:pt idx="7">
                  <c:v>Sub-Saharan Africa</c:v>
                </c:pt>
                <c:pt idx="8">
                  <c:v>Southeast Asia</c:v>
                </c:pt>
                <c:pt idx="9">
                  <c:v>East Asia</c:v>
                </c:pt>
              </c:strCache>
            </c:strRef>
          </c:cat>
          <c:val>
            <c:numRef>
              <c:f>'2015-2020'!$N$7:$N$16</c:f>
              <c:numCache>
                <c:formatCode>0.00</c:formatCode>
                <c:ptCount val="10"/>
                <c:pt idx="0">
                  <c:v>4.434333333333333</c:v>
                </c:pt>
                <c:pt idx="1">
                  <c:v>5.8083749999999998</c:v>
                </c:pt>
                <c:pt idx="2">
                  <c:v>5.2745294117647061</c:v>
                </c:pt>
                <c:pt idx="3">
                  <c:v>5.9425499999999989</c:v>
                </c:pt>
                <c:pt idx="4">
                  <c:v>5.2563333333333331</c:v>
                </c:pt>
                <c:pt idx="5">
                  <c:v>7.1762500000000005</c:v>
                </c:pt>
                <c:pt idx="6">
                  <c:v>6.8983999999999996</c:v>
                </c:pt>
                <c:pt idx="7">
                  <c:v>4.2906153846153847</c:v>
                </c:pt>
                <c:pt idx="8">
                  <c:v>5.2736666666666672</c:v>
                </c:pt>
                <c:pt idx="9">
                  <c:v>5.5642500000000004</c:v>
                </c:pt>
              </c:numCache>
            </c:numRef>
          </c:val>
          <c:extLst>
            <c:ext xmlns:c16="http://schemas.microsoft.com/office/drawing/2014/chart" uri="{C3380CC4-5D6E-409C-BE32-E72D297353CC}">
              <c16:uniqueId val="{00000004-FDA9-49E0-A906-BA7E7975C8D2}"/>
            </c:ext>
          </c:extLst>
        </c:ser>
        <c:ser>
          <c:idx val="5"/>
          <c:order val="5"/>
          <c:tx>
            <c:v>2020</c:v>
          </c:tx>
          <c:spPr>
            <a:solidFill>
              <a:schemeClr val="accent6"/>
            </a:solidFill>
            <a:ln>
              <a:noFill/>
            </a:ln>
            <a:effectLst/>
          </c:spPr>
          <c:invertIfNegative val="0"/>
          <c:cat>
            <c:strRef>
              <c:f>'2015-2020'!$I$7:$I$16</c:f>
              <c:strCache>
                <c:ptCount val="10"/>
                <c:pt idx="0">
                  <c:v>South Asia</c:v>
                </c:pt>
                <c:pt idx="1">
                  <c:v>Central and Eastern Europe</c:v>
                </c:pt>
                <c:pt idx="2">
                  <c:v>Middle East and North Africa</c:v>
                </c:pt>
                <c:pt idx="3">
                  <c:v>Latin America and Caribbean</c:v>
                </c:pt>
                <c:pt idx="4">
                  <c:v>Commonwealth of Independent States</c:v>
                </c:pt>
                <c:pt idx="5">
                  <c:v>North America and ANZ</c:v>
                </c:pt>
                <c:pt idx="6">
                  <c:v>Western Europe</c:v>
                </c:pt>
                <c:pt idx="7">
                  <c:v>Sub-Saharan Africa</c:v>
                </c:pt>
                <c:pt idx="8">
                  <c:v>Southeast Asia</c:v>
                </c:pt>
                <c:pt idx="9">
                  <c:v>East Asia</c:v>
                </c:pt>
              </c:strCache>
            </c:strRef>
          </c:cat>
          <c:val>
            <c:numRef>
              <c:f>'2015-2020'!$O$7:$O$16</c:f>
              <c:numCache>
                <c:formatCode>0.00</c:formatCode>
                <c:ptCount val="10"/>
                <c:pt idx="0">
                  <c:v>4.4754427841428575</c:v>
                </c:pt>
                <c:pt idx="1">
                  <c:v>5.8838176727058826</c:v>
                </c:pt>
                <c:pt idx="2">
                  <c:v>5.2271588550588239</c:v>
                </c:pt>
                <c:pt idx="3">
                  <c:v>5.9817857060952386</c:v>
                </c:pt>
                <c:pt idx="4">
                  <c:v>5.3583416144166662</c:v>
                </c:pt>
                <c:pt idx="5">
                  <c:v>7.1735249757500004</c:v>
                </c:pt>
                <c:pt idx="6">
                  <c:v>6.8992190361428554</c:v>
                </c:pt>
                <c:pt idx="7">
                  <c:v>4.3834948662051278</c:v>
                </c:pt>
                <c:pt idx="8">
                  <c:v>5.3833666907777777</c:v>
                </c:pt>
                <c:pt idx="9">
                  <c:v>5.7148499488333329</c:v>
                </c:pt>
              </c:numCache>
            </c:numRef>
          </c:val>
          <c:extLst>
            <c:ext xmlns:c16="http://schemas.microsoft.com/office/drawing/2014/chart" uri="{C3380CC4-5D6E-409C-BE32-E72D297353CC}">
              <c16:uniqueId val="{00000005-FDA9-49E0-A906-BA7E7975C8D2}"/>
            </c:ext>
          </c:extLst>
        </c:ser>
        <c:dLbls>
          <c:showLegendKey val="0"/>
          <c:showVal val="0"/>
          <c:showCatName val="0"/>
          <c:showSerName val="0"/>
          <c:showPercent val="0"/>
          <c:showBubbleSize val="0"/>
        </c:dLbls>
        <c:gapWidth val="219"/>
        <c:overlap val="-27"/>
        <c:axId val="1507024160"/>
        <c:axId val="2099172736"/>
      </c:barChart>
      <c:catAx>
        <c:axId val="1507024160"/>
        <c:scaling>
          <c:orientation val="minMax"/>
        </c:scaling>
        <c:delete val="0"/>
        <c:axPos val="b"/>
        <c:numFmt formatCode="General" sourceLinked="1"/>
        <c:majorTickMark val="none"/>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099172736"/>
        <c:crosses val="autoZero"/>
        <c:auto val="1"/>
        <c:lblAlgn val="ctr"/>
        <c:lblOffset val="100"/>
        <c:noMultiLvlLbl val="0"/>
      </c:catAx>
      <c:valAx>
        <c:axId val="2099172736"/>
        <c:scaling>
          <c:orientation val="minMax"/>
          <c:min val="3"/>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507024160"/>
        <c:crosses val="autoZero"/>
        <c:crossBetween val="between"/>
      </c:valAx>
      <c:spPr>
        <a:noFill/>
        <a:ln>
          <a:solidFill>
            <a:schemeClr val="bg1">
              <a:lumMod val="50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C46E7-1E56-4C92-AE82-13A1F73D2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15</Pages>
  <Words>2791</Words>
  <Characters>15914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Sobierajski</dc:creator>
  <cp:keywords/>
  <dc:description/>
  <cp:lastModifiedBy>Sriram, Vivek</cp:lastModifiedBy>
  <cp:revision>91</cp:revision>
  <dcterms:created xsi:type="dcterms:W3CDTF">2021-05-05T13:45:00Z</dcterms:created>
  <dcterms:modified xsi:type="dcterms:W3CDTF">2021-05-09T20:40:00Z</dcterms:modified>
</cp:coreProperties>
</file>