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E50914"/>
          <w:sz w:val="72"/>
          <w:szCs w:val="72"/>
        </w:rPr>
        <w:t xml:space="preserve">NETFLIX</w:t>
      </w:r>
    </w:p>
    <w:p>
      <w:pPr>
        <w:spacing w:after="400" w:before="100"/>
        <w:jc w:val="center"/>
      </w:pPr>
      <w:r>
        <w:rPr>
          <w:b/>
          <w:bCs/>
          <w:color w:val="221F1F"/>
          <w:sz w:val="40"/>
          <w:szCs w:val="40"/>
        </w:rPr>
        <w:t xml:space="preserve">MOVIES &amp; TV SHOWS DATA ANALYSIS</w:t>
      </w:r>
    </w:p>
    <w:p>
      <w:pPr>
        <w:spacing w:after="800"/>
        <w:jc w:val="center"/>
      </w:pPr>
      <w:r>
        <w:rPr>
          <w:i/>
          <w:iCs/>
          <w:color w:val="595959"/>
          <w:sz w:val="26"/>
          <w:szCs w:val="26"/>
        </w:rPr>
        <w:t xml:space="preserve">A Beginner-Friendly Exploratory Data Analysis (EDA) Project</w:t>
      </w:r>
    </w:p>
    <w:p>
      <w:pPr>
        <w:spacing w:before="1200"/>
        <w:jc w:val="center"/>
      </w:pPr>
      <w:r>
        <w:rPr>
          <w:color w:val="E50914"/>
          <w:sz w:val="22"/>
          <w:szCs w:val="22"/>
        </w:rPr>
        <w:t xml:space="preserve">________________________________________</w:t>
      </w:r>
    </w:p>
    <w:p>
      <w:pPr>
        <w:spacing w:after="400"/>
      </w:pPr>
    </w:p>
    <w:p>
      <w:pPr>
        <w:spacing w:after="160"/>
        <w:jc w:val="center"/>
      </w:pPr>
      <w:r>
        <w:rPr>
          <w:b/>
          <w:bCs/>
          <w:color w:val="221F1F"/>
          <w:sz w:val="24"/>
          <w:szCs w:val="24"/>
        </w:rPr>
        <w:t xml:space="preserve">Prepared By:  </w:t>
      </w:r>
      <w:r>
        <w:rPr>
          <w:color w:val="000000"/>
          <w:sz w:val="24"/>
          <w:szCs w:val="24"/>
        </w:rPr>
        <w:t xml:space="preserve">[Your Name]</w:t>
      </w:r>
    </w:p>
    <w:p>
      <w:pPr>
        <w:spacing w:after="160"/>
        <w:jc w:val="center"/>
      </w:pPr>
      <w:r>
        <w:rPr>
          <w:b/>
          <w:bCs/>
          <w:color w:val="221F1F"/>
          <w:sz w:val="24"/>
          <w:szCs w:val="24"/>
        </w:rPr>
        <w:t xml:space="preserve">Organization / Institute:  </w:t>
      </w:r>
      <w:r>
        <w:rPr>
          <w:color w:val="000000"/>
          <w:sz w:val="24"/>
          <w:szCs w:val="24"/>
        </w:rPr>
        <w:t xml:space="preserve">[Your College / Organization Name]</w:t>
      </w:r>
    </w:p>
    <w:p>
      <w:pPr>
        <w:spacing w:after="160"/>
        <w:jc w:val="center"/>
      </w:pPr>
      <w:r>
        <w:rPr>
          <w:b/>
          <w:bCs/>
          <w:color w:val="221F1F"/>
          <w:sz w:val="24"/>
          <w:szCs w:val="24"/>
        </w:rPr>
        <w:t xml:space="preserve">Date:  </w:t>
      </w:r>
      <w:r>
        <w:rPr>
          <w:color w:val="000000"/>
          <w:sz w:val="24"/>
          <w:szCs w:val="24"/>
        </w:rPr>
        <w:t xml:space="preserve">26 August 2026</w:t>
      </w:r>
    </w:p>
    <w:p>
      <w:pPr>
        <w:spacing w:after="160"/>
        <w:jc w:val="center"/>
      </w:pPr>
      <w:r>
        <w:rPr>
          <w:b/>
          <w:bCs/>
          <w:color w:val="221F1F"/>
          <w:sz w:val="24"/>
          <w:szCs w:val="24"/>
        </w:rPr>
        <w:t xml:space="preserve">Dataset:  </w:t>
      </w:r>
      <w:r>
        <w:rPr>
          <w:color w:val="000000"/>
          <w:sz w:val="24"/>
          <w:szCs w:val="24"/>
        </w:rPr>
        <w:t xml:space="preserve">Netflix Movies and TV Shows (netflix_titles.csv)</w:t>
      </w:r>
    </w:p>
    <w:p>
      <w:pPr>
        <w:spacing w:after="160"/>
        <w:jc w:val="center"/>
      </w:pPr>
      <w:r>
        <w:rPr>
          <w:b/>
          <w:bCs/>
          <w:color w:val="221F1F"/>
          <w:sz w:val="24"/>
          <w:szCs w:val="24"/>
        </w:rPr>
        <w:t xml:space="preserve">Tools Used:  </w:t>
      </w:r>
      <w:r>
        <w:rPr>
          <w:color w:val="000000"/>
          <w:sz w:val="24"/>
          <w:szCs w:val="24"/>
        </w:rPr>
        <w:t xml:space="preserve">Python, Pandas, NumPy, Matplotlib, Seaborn</w:t>
      </w:r>
    </w:p>
    <w:p>
      <w:pPr>
        <w:spacing w:after="160"/>
        <w:jc w:val="center"/>
      </w:pPr>
      <w:r>
        <w:rPr>
          <w:b/>
          <w:bCs/>
          <w:color w:val="221F1F"/>
          <w:sz w:val="24"/>
          <w:szCs w:val="24"/>
        </w:rPr>
        <w:t xml:space="preserve">Environment:  </w:t>
      </w:r>
      <w:r>
        <w:rPr>
          <w:color w:val="000000"/>
          <w:sz w:val="24"/>
          <w:szCs w:val="24"/>
        </w:rPr>
        <w:t xml:space="preserve">Jupyter Notebook / VS Code / Google Colab</w:t>
      </w:r>
    </w:p>
    <w:p>
      <w:r>
        <w:br w:type="page"/>
      </w:r>
    </w:p>
    <w:p>
      <w:pPr>
        <w:sectPr>
          <w:pgSz w:w="12240" w:h="15840" w:orient="portrait"/>
          <w:pgMar w:top="1080" w:right="1080" w:bottom="1080" w:left="1080" w:header="708" w:footer="708" w:gutter="0"/>
          <w:pgNumType/>
          <w:docGrid w:linePitch="360"/>
        </w:sectPr>
      </w:pPr>
    </w:p>
    <w:p>
      <w:pPr>
        <w:pStyle w:val="Heading1"/>
        <w:pBdr>
          <w:bottom w:val="single" w:color="E50914" w:sz="8" w:space="4"/>
        </w:pBdr>
        <w:spacing w:after="200" w:before="400"/>
      </w:pPr>
      <w:r>
        <w:rPr>
          <w:b/>
          <w:bCs/>
          <w:color w:val="221F1F"/>
          <w:sz w:val="32"/>
          <w:szCs w:val="32"/>
        </w:rPr>
        <w:t xml:space="preserve">Table of Contents</w:t>
      </w:r>
    </w:p>
    <w:p>
      <w:pPr>
        <w:spacing w:after="200"/>
      </w:pPr>
    </w:p>
    <w:p>
      <w:pPr>
        <w:tabs>
          <w:tab w:val="right" w:pos="9350" w:leader="dot"/>
        </w:tabs>
        <w:spacing w:after="160"/>
        <w:ind w:left="0"/>
      </w:pPr>
      <w:r>
        <w:rPr>
          <w:b/>
          <w:bCs/>
          <w:color w:val="221F1F"/>
          <w:sz w:val="22"/>
          <w:szCs w:val="22"/>
        </w:rPr>
        <w:t xml:space="preserve">1.  Cover Page	1</w:t>
      </w:r>
    </w:p>
    <w:p>
      <w:pPr>
        <w:tabs>
          <w:tab w:val="right" w:pos="9350" w:leader="dot"/>
        </w:tabs>
        <w:spacing w:after="160"/>
        <w:ind w:left="0"/>
      </w:pPr>
      <w:r>
        <w:rPr>
          <w:b/>
          <w:bCs/>
          <w:color w:val="221F1F"/>
          <w:sz w:val="22"/>
          <w:szCs w:val="22"/>
        </w:rPr>
        <w:t xml:space="preserve">2.  Executive Summary	3</w:t>
      </w:r>
    </w:p>
    <w:p>
      <w:pPr>
        <w:tabs>
          <w:tab w:val="right" w:pos="9350" w:leader="dot"/>
        </w:tabs>
        <w:spacing w:after="160"/>
        <w:ind w:left="0"/>
      </w:pPr>
      <w:r>
        <w:rPr>
          <w:b/>
          <w:bCs/>
          <w:color w:val="221F1F"/>
          <w:sz w:val="22"/>
          <w:szCs w:val="22"/>
        </w:rPr>
        <w:t xml:space="preserve">3.  Introduction	4</w:t>
      </w:r>
    </w:p>
    <w:p>
      <w:pPr>
        <w:tabs>
          <w:tab w:val="right" w:pos="9350" w:leader="dot"/>
        </w:tabs>
        <w:spacing w:after="160"/>
        <w:ind w:left="0"/>
      </w:pPr>
      <w:r>
        <w:rPr>
          <w:b/>
          <w:bCs/>
          <w:color w:val="221F1F"/>
          <w:sz w:val="22"/>
          <w:szCs w:val="22"/>
        </w:rPr>
        <w:t xml:space="preserve">4.  Problem Statement	5</w:t>
      </w:r>
    </w:p>
    <w:p>
      <w:pPr>
        <w:tabs>
          <w:tab w:val="right" w:pos="9350" w:leader="dot"/>
        </w:tabs>
        <w:spacing w:after="160"/>
        <w:ind w:left="0"/>
      </w:pPr>
      <w:r>
        <w:rPr>
          <w:b/>
          <w:bCs/>
          <w:color w:val="221F1F"/>
          <w:sz w:val="22"/>
          <w:szCs w:val="22"/>
        </w:rPr>
        <w:t xml:space="preserve">5.  Project Objectives	6</w:t>
      </w:r>
    </w:p>
    <w:p>
      <w:pPr>
        <w:tabs>
          <w:tab w:val="right" w:pos="9350" w:leader="dot"/>
        </w:tabs>
        <w:spacing w:after="160"/>
        <w:ind w:left="0"/>
      </w:pPr>
      <w:r>
        <w:rPr>
          <w:b/>
          <w:bCs/>
          <w:color w:val="221F1F"/>
          <w:sz w:val="22"/>
          <w:szCs w:val="22"/>
        </w:rPr>
        <w:t xml:space="preserve">6.  Dataset Description	7</w:t>
      </w:r>
    </w:p>
    <w:p>
      <w:pPr>
        <w:tabs>
          <w:tab w:val="right" w:pos="9350" w:leader="dot"/>
        </w:tabs>
        <w:spacing w:after="160"/>
        <w:ind w:left="0"/>
      </w:pPr>
      <w:r>
        <w:rPr>
          <w:b/>
          <w:bCs/>
          <w:color w:val="221F1F"/>
          <w:sz w:val="22"/>
          <w:szCs w:val="22"/>
        </w:rPr>
        <w:t xml:space="preserve">7.  Business Questions	8</w:t>
      </w:r>
    </w:p>
    <w:p>
      <w:pPr>
        <w:tabs>
          <w:tab w:val="right" w:pos="9350" w:leader="dot"/>
        </w:tabs>
        <w:spacing w:after="160"/>
        <w:ind w:left="0"/>
      </w:pPr>
      <w:r>
        <w:rPr>
          <w:b/>
          <w:bCs/>
          <w:color w:val="221F1F"/>
          <w:sz w:val="22"/>
          <w:szCs w:val="22"/>
        </w:rPr>
        <w:t xml:space="preserve">8.  Tools and Technologies	9</w:t>
      </w:r>
    </w:p>
    <w:p>
      <w:pPr>
        <w:tabs>
          <w:tab w:val="right" w:pos="9350" w:leader="dot"/>
        </w:tabs>
        <w:spacing w:after="160"/>
        <w:ind w:left="0"/>
      </w:pPr>
      <w:r>
        <w:rPr>
          <w:b/>
          <w:bCs/>
          <w:color w:val="221F1F"/>
          <w:sz w:val="22"/>
          <w:szCs w:val="22"/>
        </w:rPr>
        <w:t xml:space="preserve">9.  Project Workflow	10</w:t>
      </w:r>
    </w:p>
    <w:p>
      <w:pPr>
        <w:tabs>
          <w:tab w:val="right" w:pos="9350" w:leader="dot"/>
        </w:tabs>
        <w:spacing w:after="160"/>
        <w:ind w:left="0"/>
      </w:pPr>
      <w:r>
        <w:rPr>
          <w:b/>
          <w:bCs/>
          <w:color w:val="221F1F"/>
          <w:sz w:val="22"/>
          <w:szCs w:val="22"/>
        </w:rPr>
        <w:t xml:space="preserve">10.  Data Loading	11</w:t>
      </w:r>
    </w:p>
    <w:p>
      <w:pPr>
        <w:tabs>
          <w:tab w:val="right" w:pos="9350" w:leader="dot"/>
        </w:tabs>
        <w:spacing w:after="160"/>
        <w:ind w:left="0"/>
      </w:pPr>
      <w:r>
        <w:rPr>
          <w:b/>
          <w:bCs/>
          <w:color w:val="221F1F"/>
          <w:sz w:val="22"/>
          <w:szCs w:val="22"/>
        </w:rPr>
        <w:t xml:space="preserve">11.  Data Exploration	12</w:t>
      </w:r>
    </w:p>
    <w:p>
      <w:pPr>
        <w:tabs>
          <w:tab w:val="right" w:pos="9350" w:leader="dot"/>
        </w:tabs>
        <w:spacing w:after="160"/>
        <w:ind w:left="0"/>
      </w:pPr>
      <w:r>
        <w:rPr>
          <w:b/>
          <w:bCs/>
          <w:color w:val="221F1F"/>
          <w:sz w:val="22"/>
          <w:szCs w:val="22"/>
        </w:rPr>
        <w:t xml:space="preserve">12.  Data Cleaning	13</w:t>
      </w:r>
    </w:p>
    <w:p>
      <w:pPr>
        <w:tabs>
          <w:tab w:val="right" w:pos="9350" w:leader="dot"/>
        </w:tabs>
        <w:spacing w:after="160"/>
        <w:ind w:left="0"/>
      </w:pPr>
      <w:r>
        <w:rPr>
          <w:b/>
          <w:bCs/>
          <w:color w:val="221F1F"/>
          <w:sz w:val="22"/>
          <w:szCs w:val="22"/>
        </w:rPr>
        <w:t xml:space="preserve">13.  Exploratory Data Analysis (EDA)	15</w:t>
      </w:r>
    </w:p>
    <w:p>
      <w:pPr>
        <w:tabs>
          <w:tab w:val="right" w:pos="9350" w:leader="dot"/>
        </w:tabs>
        <w:spacing w:after="160"/>
        <w:ind w:left="0"/>
      </w:pPr>
      <w:r>
        <w:rPr>
          <w:b/>
          <w:bCs/>
          <w:color w:val="221F1F"/>
          <w:sz w:val="22"/>
          <w:szCs w:val="22"/>
        </w:rPr>
        <w:t xml:space="preserve">14.  Bivariate Analysis	18</w:t>
      </w:r>
    </w:p>
    <w:p>
      <w:pPr>
        <w:tabs>
          <w:tab w:val="right" w:pos="9350" w:leader="dot"/>
        </w:tabs>
        <w:spacing w:after="160"/>
        <w:ind w:left="0"/>
      </w:pPr>
      <w:r>
        <w:rPr>
          <w:b/>
          <w:bCs/>
          <w:color w:val="221F1F"/>
          <w:sz w:val="22"/>
          <w:szCs w:val="22"/>
        </w:rPr>
        <w:t xml:space="preserve">15.  Multivariate Analysis	20</w:t>
      </w:r>
    </w:p>
    <w:p>
      <w:pPr>
        <w:tabs>
          <w:tab w:val="right" w:pos="9350" w:leader="dot"/>
        </w:tabs>
        <w:spacing w:after="160"/>
        <w:ind w:left="0"/>
      </w:pPr>
      <w:r>
        <w:rPr>
          <w:b/>
          <w:bCs/>
          <w:color w:val="221F1F"/>
          <w:sz w:val="22"/>
          <w:szCs w:val="22"/>
        </w:rPr>
        <w:t xml:space="preserve">16.  Feature Engineering	22</w:t>
      </w:r>
    </w:p>
    <w:p>
      <w:pPr>
        <w:tabs>
          <w:tab w:val="right" w:pos="9350" w:leader="dot"/>
        </w:tabs>
        <w:spacing w:after="160"/>
        <w:ind w:left="0"/>
      </w:pPr>
      <w:r>
        <w:rPr>
          <w:b/>
          <w:bCs/>
          <w:color w:val="221F1F"/>
          <w:sz w:val="22"/>
          <w:szCs w:val="22"/>
        </w:rPr>
        <w:t xml:space="preserve">17.  Data Visualization	23</w:t>
      </w:r>
    </w:p>
    <w:p>
      <w:pPr>
        <w:tabs>
          <w:tab w:val="right" w:pos="9350" w:leader="dot"/>
        </w:tabs>
        <w:spacing w:after="160"/>
        <w:ind w:left="0"/>
      </w:pPr>
      <w:r>
        <w:rPr>
          <w:b/>
          <w:bCs/>
          <w:color w:val="221F1F"/>
          <w:sz w:val="22"/>
          <w:szCs w:val="22"/>
        </w:rPr>
        <w:t xml:space="preserve">18.  Business Insights	25</w:t>
      </w:r>
    </w:p>
    <w:p>
      <w:pPr>
        <w:tabs>
          <w:tab w:val="right" w:pos="9350" w:leader="dot"/>
        </w:tabs>
        <w:spacing w:after="160"/>
        <w:ind w:left="0"/>
      </w:pPr>
      <w:r>
        <w:rPr>
          <w:b/>
          <w:bCs/>
          <w:color w:val="221F1F"/>
          <w:sz w:val="22"/>
          <w:szCs w:val="22"/>
        </w:rPr>
        <w:t xml:space="preserve">19.  Recommendations	26</w:t>
      </w:r>
    </w:p>
    <w:p>
      <w:pPr>
        <w:tabs>
          <w:tab w:val="right" w:pos="9350" w:leader="dot"/>
        </w:tabs>
        <w:spacing w:after="160"/>
        <w:ind w:left="0"/>
      </w:pPr>
      <w:r>
        <w:rPr>
          <w:b/>
          <w:bCs/>
          <w:color w:val="221F1F"/>
          <w:sz w:val="22"/>
          <w:szCs w:val="22"/>
        </w:rPr>
        <w:t xml:space="preserve">20.  Challenges Faced	27</w:t>
      </w:r>
    </w:p>
    <w:p>
      <w:pPr>
        <w:tabs>
          <w:tab w:val="right" w:pos="9350" w:leader="dot"/>
        </w:tabs>
        <w:spacing w:after="160"/>
        <w:ind w:left="0"/>
      </w:pPr>
      <w:r>
        <w:rPr>
          <w:b/>
          <w:bCs/>
          <w:color w:val="221F1F"/>
          <w:sz w:val="22"/>
          <w:szCs w:val="22"/>
        </w:rPr>
        <w:t xml:space="preserve">21.  Conclusion	28</w:t>
      </w:r>
    </w:p>
    <w:p>
      <w:pPr>
        <w:tabs>
          <w:tab w:val="right" w:pos="9350" w:leader="dot"/>
        </w:tabs>
        <w:spacing w:after="160"/>
        <w:ind w:left="0"/>
      </w:pPr>
      <w:r>
        <w:rPr>
          <w:b/>
          <w:bCs/>
          <w:color w:val="221F1F"/>
          <w:sz w:val="22"/>
          <w:szCs w:val="22"/>
        </w:rPr>
        <w:t xml:space="preserve">22.  Future Scope	29</w:t>
      </w:r>
    </w:p>
    <w:p>
      <w:pPr>
        <w:tabs>
          <w:tab w:val="right" w:pos="9350" w:leader="dot"/>
        </w:tabs>
        <w:spacing w:after="160"/>
        <w:ind w:left="0"/>
      </w:pPr>
      <w:r>
        <w:rPr>
          <w:b/>
          <w:bCs/>
          <w:color w:val="221F1F"/>
          <w:sz w:val="22"/>
          <w:szCs w:val="22"/>
        </w:rPr>
        <w:t xml:space="preserve">23.  References	30</w:t>
      </w:r>
    </w:p>
    <w:p>
      <w:r>
        <w:br w:type="page"/>
      </w:r>
    </w:p>
    <w:p>
      <w:pPr>
        <w:pStyle w:val="Heading1"/>
        <w:pBdr>
          <w:bottom w:val="single" w:color="E50914" w:sz="8" w:space="4"/>
        </w:pBdr>
        <w:spacing w:after="200" w:before="400"/>
      </w:pPr>
      <w:r>
        <w:rPr>
          <w:b/>
          <w:bCs/>
          <w:color w:val="221F1F"/>
          <w:sz w:val="32"/>
          <w:szCs w:val="32"/>
        </w:rPr>
        <w:t xml:space="preserve">2. Executive Summary</w:t>
      </w:r>
    </w:p>
    <w:p>
      <w:pPr>
        <w:spacing w:after="160" w:line="300"/>
        <w:jc w:val="both"/>
      </w:pPr>
      <w:r>
        <w:rPr>
          <w:b w:val="false"/>
          <w:bCs w:val="false"/>
          <w:i w:val="false"/>
          <w:iCs w:val="false"/>
          <w:color w:val="000000"/>
          <w:sz w:val="22"/>
          <w:szCs w:val="22"/>
        </w:rPr>
        <w:t xml:space="preserve">This project presents a complete beginner-friendly data analysis of the Netflix Movies and TV Shows dataset, which contains information about 8,807 titles available on the Netflix platform up to mid-2021. The purpose of this project is to explore, clean, and analyze the dataset using Python so that meaningful, real-world business insights can be drawn from it.</w:t>
      </w:r>
    </w:p>
    <w:p>
      <w:pPr>
        <w:pStyle w:val="Heading3"/>
        <w:spacing w:after="100" w:before="200"/>
      </w:pPr>
      <w:r>
        <w:rPr>
          <w:b/>
          <w:bCs/>
          <w:color w:val="221F1F"/>
          <w:sz w:val="22"/>
          <w:szCs w:val="22"/>
        </w:rPr>
        <w:t xml:space="preserve">Project Objective</w:t>
      </w:r>
    </w:p>
    <w:p>
      <w:pPr>
        <w:spacing w:after="160" w:line="300"/>
        <w:jc w:val="both"/>
      </w:pPr>
      <w:r>
        <w:rPr>
          <w:b w:val="false"/>
          <w:bCs w:val="false"/>
          <w:i w:val="false"/>
          <w:iCs w:val="false"/>
          <w:color w:val="000000"/>
          <w:sz w:val="22"/>
          <w:szCs w:val="22"/>
        </w:rPr>
        <w:t xml:space="preserve">To understand what kind of content Netflix has built its catalogue around — by content type, country of production, genre, release trends, content ratings, and duration — and to convert those patterns into insights that a content or business team could act on.</w:t>
      </w:r>
    </w:p>
    <w:p>
      <w:pPr>
        <w:pStyle w:val="Heading3"/>
        <w:spacing w:after="100" w:before="200"/>
      </w:pPr>
      <w:r>
        <w:rPr>
          <w:b/>
          <w:bCs/>
          <w:color w:val="221F1F"/>
          <w:sz w:val="22"/>
          <w:szCs w:val="22"/>
        </w:rPr>
        <w:t xml:space="preserve">Dataset Overview</w:t>
      </w:r>
    </w:p>
    <w:p>
      <w:pPr>
        <w:spacing w:after="160" w:line="300"/>
        <w:jc w:val="both"/>
      </w:pPr>
      <w:r>
        <w:rPr>
          <w:b w:val="false"/>
          <w:bCs w:val="false"/>
          <w:i w:val="false"/>
          <w:iCs w:val="false"/>
          <w:color w:val="000000"/>
          <w:sz w:val="22"/>
          <w:szCs w:val="22"/>
        </w:rPr>
        <w:t xml:space="preserve">The dataset has 8,807 rows and 12 original columns, covering both Movies and TV Shows, along with details such as director, cast, country, date added to Netflix, release year, content rating, duration, genre ("listed_in"), and a short description.</w:t>
      </w:r>
    </w:p>
    <w:p>
      <w:pPr>
        <w:pStyle w:val="Heading3"/>
        <w:spacing w:after="100" w:before="200"/>
      </w:pPr>
      <w:r>
        <w:rPr>
          <w:b/>
          <w:bCs/>
          <w:color w:val="221F1F"/>
          <w:sz w:val="22"/>
          <w:szCs w:val="22"/>
        </w:rPr>
        <w:t xml:space="preserve">Analysis Performed</w:t>
      </w:r>
    </w:p>
    <w:p>
      <w:pPr>
        <w:spacing w:after="160" w:line="300"/>
        <w:jc w:val="both"/>
      </w:pPr>
      <w:r>
        <w:rPr>
          <w:b w:val="false"/>
          <w:bCs w:val="false"/>
          <w:i w:val="false"/>
          <w:iCs w:val="false"/>
          <w:color w:val="000000"/>
          <w:sz w:val="22"/>
          <w:szCs w:val="22"/>
        </w:rPr>
        <w:t xml:space="preserve">The analysis covered data cleaning (handling missing values, fixing a data-entry misalignment, and correcting data types), univariate analysis of individual columns, bivariate analysis comparing two variables at a time, multivariate analysis using pivot tables and cross-tabulations, and nine business-focused visualizations.</w:t>
      </w:r>
    </w:p>
    <w:p>
      <w:pPr>
        <w:pStyle w:val="Heading3"/>
        <w:spacing w:after="100" w:before="200"/>
      </w:pPr>
      <w:r>
        <w:rPr>
          <w:b/>
          <w:bCs/>
          <w:color w:val="221F1F"/>
          <w:sz w:val="22"/>
          <w:szCs w:val="22"/>
        </w:rPr>
        <w:t xml:space="preserve">Major Findings</w:t>
      </w:r>
    </w:p>
    <w:p>
      <w:pPr>
        <w:pStyle w:val="ListParagraph"/>
        <w:numPr>
          <w:ilvl w:val="0"/>
          <w:numId w:val="2"/>
        </w:numPr>
        <w:spacing w:after="90"/>
      </w:pPr>
      <w:r>
        <w:rPr>
          <w:sz w:val="22"/>
          <w:szCs w:val="22"/>
        </w:rPr>
        <w:t xml:space="preserve">Movies make up 69.6% of the Netflix catalogue, while TV Shows make up 30.4%.</w:t>
      </w:r>
    </w:p>
    <w:p>
      <w:pPr>
        <w:pStyle w:val="ListParagraph"/>
        <w:numPr>
          <w:ilvl w:val="0"/>
          <w:numId w:val="2"/>
        </w:numPr>
        <w:spacing w:after="90"/>
      </w:pPr>
      <w:r>
        <w:rPr>
          <w:sz w:val="22"/>
          <w:szCs w:val="22"/>
        </w:rPr>
        <w:t xml:space="preserve">The United States (3,689 titles), India (1,046 titles) and the United Kingdom (804 titles) are the top three content-producing countries.</w:t>
      </w:r>
    </w:p>
    <w:p>
      <w:pPr>
        <w:pStyle w:val="ListParagraph"/>
        <w:numPr>
          <w:ilvl w:val="0"/>
          <w:numId w:val="2"/>
        </w:numPr>
        <w:spacing w:after="90"/>
      </w:pPr>
      <w:r>
        <w:rPr>
          <w:sz w:val="22"/>
          <w:szCs w:val="22"/>
        </w:rPr>
        <w:t xml:space="preserve">"International Movies", "Dramas" and "Comedies" are the three most common genres on the platform.</w:t>
      </w:r>
    </w:p>
    <w:p>
      <w:pPr>
        <w:pStyle w:val="ListParagraph"/>
        <w:numPr>
          <w:ilvl w:val="0"/>
          <w:numId w:val="2"/>
        </w:numPr>
        <w:spacing w:after="90"/>
      </w:pPr>
      <w:r>
        <w:rPr>
          <w:sz w:val="22"/>
          <w:szCs w:val="22"/>
        </w:rPr>
        <w:t xml:space="preserve">Content additions to Netflix grew sharply between 2016 and 2019, then slowed down in 2020–2021, most likely due to the COVID-19 pandemic's impact on production.</w:t>
      </w:r>
    </w:p>
    <w:p>
      <w:pPr>
        <w:pStyle w:val="ListParagraph"/>
        <w:numPr>
          <w:ilvl w:val="0"/>
          <w:numId w:val="2"/>
        </w:numPr>
        <w:spacing w:after="90"/>
      </w:pPr>
      <w:r>
        <w:rPr>
          <w:sz w:val="22"/>
          <w:szCs w:val="22"/>
        </w:rPr>
        <w:t xml:space="preserve">The typical (median) movie runs for 98 minutes, and 67% of all TV Shows on the platform have only a single season.</w:t>
      </w:r>
    </w:p>
    <w:p>
      <w:pPr>
        <w:pStyle w:val="Heading3"/>
        <w:spacing w:after="100" w:before="200"/>
      </w:pPr>
      <w:r>
        <w:rPr>
          <w:b/>
          <w:bCs/>
          <w:color w:val="221F1F"/>
          <w:sz w:val="22"/>
          <w:szCs w:val="22"/>
        </w:rPr>
        <w:t xml:space="preserve">Business Value</w:t>
      </w:r>
    </w:p>
    <w:p>
      <w:pPr>
        <w:spacing w:after="160" w:line="300"/>
        <w:jc w:val="both"/>
      </w:pPr>
      <w:r>
        <w:rPr>
          <w:b w:val="false"/>
          <w:bCs w:val="false"/>
          <w:i w:val="false"/>
          <w:iCs w:val="false"/>
          <w:color w:val="000000"/>
          <w:sz w:val="22"/>
          <w:szCs w:val="22"/>
        </w:rPr>
        <w:t xml:space="preserve">These insights help a streaming platform understand its own content mix, identify gaps (for example, under-represented countries or genres), plan future content investment, and benchmark how balanced its catalogue is between movies and series.</w:t>
      </w:r>
    </w:p>
    <w:p>
      <w:pPr>
        <w:pStyle w:val="Heading3"/>
        <w:spacing w:after="100" w:before="200"/>
      </w:pPr>
      <w:r>
        <w:rPr>
          <w:b/>
          <w:bCs/>
          <w:color w:val="221F1F"/>
          <w:sz w:val="22"/>
          <w:szCs w:val="22"/>
        </w:rPr>
        <w:t xml:space="preserve">Final Outcome</w:t>
      </w:r>
    </w:p>
    <w:p>
      <w:pPr>
        <w:spacing w:after="160" w:line="300"/>
        <w:jc w:val="both"/>
      </w:pPr>
      <w:r>
        <w:rPr>
          <w:b w:val="false"/>
          <w:bCs w:val="false"/>
          <w:i w:val="false"/>
          <w:iCs w:val="false"/>
          <w:color w:val="000000"/>
          <w:sz w:val="22"/>
          <w:szCs w:val="22"/>
        </w:rPr>
        <w:t xml:space="preserve">A cleaned dataset, nine business-oriented visualizations, and a set of data-backed insights and recommendations were produced, all documented in this report in a format suitable for a college, internship, or portfolio submission.</w:t>
      </w:r>
    </w:p>
    <w:p>
      <w:r>
        <w:br w:type="page"/>
      </w:r>
    </w:p>
    <w:p>
      <w:pPr>
        <w:pStyle w:val="Heading1"/>
        <w:pBdr>
          <w:bottom w:val="single" w:color="E50914" w:sz="8" w:space="4"/>
        </w:pBdr>
        <w:spacing w:after="200" w:before="400"/>
      </w:pPr>
      <w:r>
        <w:rPr>
          <w:b/>
          <w:bCs/>
          <w:color w:val="221F1F"/>
          <w:sz w:val="32"/>
          <w:szCs w:val="32"/>
        </w:rPr>
        <w:t xml:space="preserve">3. Introduction</w:t>
      </w:r>
    </w:p>
    <w:p>
      <w:pPr>
        <w:spacing w:after="160" w:line="300"/>
        <w:jc w:val="both"/>
      </w:pPr>
      <w:r>
        <w:rPr>
          <w:b w:val="false"/>
          <w:bCs w:val="false"/>
          <w:i w:val="false"/>
          <w:iCs w:val="false"/>
          <w:color w:val="000000"/>
          <w:sz w:val="22"/>
          <w:szCs w:val="22"/>
        </w:rPr>
        <w:t xml:space="preserve">Netflix is one of the world's largest streaming platforms, offering thousands of Movies and TV Shows to subscribers across the globe. Behind every recommendation and every new season announcement lies data — data about what content exists, where it comes from, when it was added, and how it is categorized.</w:t>
      </w:r>
    </w:p>
    <w:p>
      <w:pPr>
        <w:spacing w:after="160" w:line="300"/>
        <w:jc w:val="both"/>
      </w:pPr>
      <w:r>
        <w:rPr>
          <w:b w:val="false"/>
          <w:bCs w:val="false"/>
          <w:i w:val="false"/>
          <w:iCs w:val="false"/>
          <w:color w:val="000000"/>
          <w:sz w:val="22"/>
          <w:szCs w:val="22"/>
        </w:rPr>
        <w:t xml:space="preserve">This project is about using that data to answer simple but important questions: What does Netflix's catalogue actually look like? Which countries and genres does it lean on the most? How has the catalogue grown over time? Answering these questions is a foundational data analysis skill that is used every day by analysts working with any kind of business or product data — not just streaming.</w:t>
      </w:r>
    </w:p>
    <w:p>
      <w:pPr>
        <w:pStyle w:val="Heading3"/>
        <w:spacing w:after="100" w:before="200"/>
      </w:pPr>
      <w:r>
        <w:rPr>
          <w:b/>
          <w:bCs/>
          <w:color w:val="221F1F"/>
          <w:sz w:val="22"/>
          <w:szCs w:val="22"/>
        </w:rPr>
        <w:t xml:space="preserve">Why This Analysis Is Important</w:t>
      </w:r>
    </w:p>
    <w:p>
      <w:pPr>
        <w:spacing w:after="160" w:line="300"/>
        <w:jc w:val="both"/>
      </w:pPr>
      <w:r>
        <w:rPr>
          <w:b w:val="false"/>
          <w:bCs w:val="false"/>
          <w:i w:val="false"/>
          <w:iCs w:val="false"/>
          <w:color w:val="000000"/>
          <w:sz w:val="22"/>
          <w:szCs w:val="22"/>
        </w:rPr>
        <w:t xml:space="preserve">Understanding a content catalogue is directly useful for real business decisions: deciding which regions to invest in for local content, understanding audience-facing content rating balance, and tracking whether the platform is growing or slowing in terms of new additions.</w:t>
      </w:r>
    </w:p>
    <w:p>
      <w:pPr>
        <w:pStyle w:val="Heading3"/>
        <w:spacing w:after="100" w:before="200"/>
      </w:pPr>
      <w:r>
        <w:rPr>
          <w:b/>
          <w:bCs/>
          <w:color w:val="221F1F"/>
          <w:sz w:val="22"/>
          <w:szCs w:val="22"/>
        </w:rPr>
        <w:t xml:space="preserve">Real-World Business Relevance</w:t>
      </w:r>
    </w:p>
    <w:p>
      <w:pPr>
        <w:pStyle w:val="ListParagraph"/>
        <w:numPr>
          <w:ilvl w:val="0"/>
          <w:numId w:val="2"/>
        </w:numPr>
        <w:spacing w:after="90"/>
      </w:pPr>
      <w:r>
        <w:rPr>
          <w:sz w:val="22"/>
          <w:szCs w:val="22"/>
        </w:rPr>
        <w:t xml:space="preserve">Content strategy teams use this kind of analysis to decide where to commission new shows and movies.</w:t>
      </w:r>
    </w:p>
    <w:p>
      <w:pPr>
        <w:pStyle w:val="ListParagraph"/>
        <w:numPr>
          <w:ilvl w:val="0"/>
          <w:numId w:val="2"/>
        </w:numPr>
        <w:spacing w:after="90"/>
      </w:pPr>
      <w:r>
        <w:rPr>
          <w:sz w:val="22"/>
          <w:szCs w:val="22"/>
        </w:rPr>
        <w:t xml:space="preserve">Marketing teams use genre and rating breakdowns to target the right audience segments.</w:t>
      </w:r>
    </w:p>
    <w:p>
      <w:pPr>
        <w:pStyle w:val="ListParagraph"/>
        <w:numPr>
          <w:ilvl w:val="0"/>
          <w:numId w:val="2"/>
        </w:numPr>
        <w:spacing w:after="90"/>
      </w:pPr>
      <w:r>
        <w:rPr>
          <w:sz w:val="22"/>
          <w:szCs w:val="22"/>
        </w:rPr>
        <w:t xml:space="preserve">Operations teams track addition trends over time to measure catalogue growth and licensing activity.</w:t>
      </w:r>
    </w:p>
    <w:p>
      <w:pPr>
        <w:pStyle w:val="Heading3"/>
        <w:spacing w:after="100" w:before="200"/>
      </w:pPr>
      <w:r>
        <w:rPr>
          <w:b/>
          <w:bCs/>
          <w:color w:val="221F1F"/>
          <w:sz w:val="22"/>
          <w:szCs w:val="22"/>
        </w:rPr>
        <w:t xml:space="preserve">Expected Outcome</w:t>
      </w:r>
    </w:p>
    <w:p>
      <w:pPr>
        <w:spacing w:after="160" w:line="300"/>
        <w:jc w:val="both"/>
      </w:pPr>
      <w:r>
        <w:rPr>
          <w:b w:val="false"/>
          <w:bCs w:val="false"/>
          <w:i w:val="false"/>
          <w:iCs w:val="false"/>
          <w:color w:val="000000"/>
          <w:sz w:val="22"/>
          <w:szCs w:val="22"/>
        </w:rPr>
        <w:t xml:space="preserve">By the end of this project, the dataset will be fully cleaned, explored, and visualized, and this document will present clear, data-backed business insights and recommendations.</w:t>
      </w:r>
    </w:p>
    <w:p>
      <w:r>
        <w:br w:type="page"/>
      </w:r>
    </w:p>
    <w:p>
      <w:pPr>
        <w:pStyle w:val="Heading1"/>
        <w:pBdr>
          <w:bottom w:val="single" w:color="E50914" w:sz="8" w:space="4"/>
        </w:pBdr>
        <w:spacing w:after="200" w:before="400"/>
      </w:pPr>
      <w:r>
        <w:rPr>
          <w:b/>
          <w:bCs/>
          <w:color w:val="221F1F"/>
          <w:sz w:val="32"/>
          <w:szCs w:val="32"/>
        </w:rPr>
        <w:t xml:space="preserve">4. Problem Statement</w:t>
      </w:r>
    </w:p>
    <w:p>
      <w:pPr>
        <w:spacing w:after="160" w:line="300"/>
        <w:jc w:val="both"/>
      </w:pPr>
      <w:r>
        <w:rPr>
          <w:b w:val="false"/>
          <w:bCs w:val="false"/>
          <w:i w:val="false"/>
          <w:iCs w:val="false"/>
          <w:color w:val="000000"/>
          <w:sz w:val="22"/>
          <w:szCs w:val="22"/>
        </w:rPr>
        <w:t xml:space="preserve">Streaming platforms host thousands of titles, and without structured analysis, it is difficult to know what the catalogue actually consists of. Simply browsing the platform does not reveal patterns such as which countries dominate content production, how the catalogue has grown year over year, or which genres are over- or under-represented.</w:t>
      </w:r>
    </w:p>
    <w:p>
      <w:pPr>
        <w:pStyle w:val="Heading3"/>
        <w:spacing w:after="100" w:before="200"/>
      </w:pPr>
      <w:r>
        <w:rPr>
          <w:b/>
          <w:bCs/>
          <w:color w:val="221F1F"/>
          <w:sz w:val="22"/>
          <w:szCs w:val="22"/>
        </w:rPr>
        <w:t xml:space="preserve">Business Problem</w:t>
      </w:r>
    </w:p>
    <w:p>
      <w:pPr>
        <w:spacing w:after="160" w:line="300"/>
        <w:jc w:val="both"/>
      </w:pPr>
      <w:r>
        <w:rPr>
          <w:b w:val="false"/>
          <w:bCs w:val="false"/>
          <w:i w:val="false"/>
          <w:iCs w:val="false"/>
          <w:color w:val="000000"/>
          <w:sz w:val="22"/>
          <w:szCs w:val="22"/>
        </w:rPr>
        <w:t xml:space="preserve">The dataset helps solve the problem of understanding catalogue composition at scale — something that cannot be done by manually reviewing thousands of titles one by one.</w:t>
      </w:r>
    </w:p>
    <w:p>
      <w:pPr>
        <w:pStyle w:val="Heading3"/>
        <w:spacing w:after="100" w:before="200"/>
      </w:pPr>
      <w:r>
        <w:rPr>
          <w:b/>
          <w:bCs/>
          <w:color w:val="221F1F"/>
          <w:sz w:val="22"/>
          <w:szCs w:val="22"/>
        </w:rPr>
        <w:t xml:space="preserve">Why Analyzing This Data Is Useful</w:t>
      </w:r>
    </w:p>
    <w:p>
      <w:pPr>
        <w:pStyle w:val="ListParagraph"/>
        <w:numPr>
          <w:ilvl w:val="0"/>
          <w:numId w:val="2"/>
        </w:numPr>
        <w:spacing w:after="90"/>
      </w:pPr>
      <w:r>
        <w:rPr>
          <w:sz w:val="22"/>
          <w:szCs w:val="22"/>
        </w:rPr>
        <w:t xml:space="preserve">It reveals the balance between Movies and TV Shows, which affects subscriber engagement strategy.</w:t>
      </w:r>
    </w:p>
    <w:p>
      <w:pPr>
        <w:pStyle w:val="ListParagraph"/>
        <w:numPr>
          <w:ilvl w:val="0"/>
          <w:numId w:val="2"/>
        </w:numPr>
        <w:spacing w:after="90"/>
      </w:pPr>
      <w:r>
        <w:rPr>
          <w:sz w:val="22"/>
          <w:szCs w:val="22"/>
        </w:rPr>
        <w:t xml:space="preserve">It identifies the leading content-producing countries, useful for regional expansion planning.</w:t>
      </w:r>
    </w:p>
    <w:p>
      <w:pPr>
        <w:pStyle w:val="ListParagraph"/>
        <w:numPr>
          <w:ilvl w:val="0"/>
          <w:numId w:val="2"/>
        </w:numPr>
        <w:spacing w:after="90"/>
      </w:pPr>
      <w:r>
        <w:rPr>
          <w:sz w:val="22"/>
          <w:szCs w:val="22"/>
        </w:rPr>
        <w:t xml:space="preserve">It shows genre popularity, which helps guide content acquisition and recommendation algorithms.</w:t>
      </w:r>
    </w:p>
    <w:p>
      <w:pPr>
        <w:pStyle w:val="ListParagraph"/>
        <w:numPr>
          <w:ilvl w:val="0"/>
          <w:numId w:val="2"/>
        </w:numPr>
        <w:spacing w:after="90"/>
      </w:pPr>
      <w:r>
        <w:rPr>
          <w:sz w:val="22"/>
          <w:szCs w:val="22"/>
        </w:rPr>
        <w:t xml:space="preserve">It tracks how content addition has changed year to year, reflecting platform growth or slowdown.</w:t>
      </w:r>
    </w:p>
    <w:p>
      <w:pPr>
        <w:pStyle w:val="Heading3"/>
        <w:spacing w:after="100" w:before="200"/>
      </w:pPr>
      <w:r>
        <w:rPr>
          <w:b/>
          <w:bCs/>
          <w:color w:val="221F1F"/>
          <w:sz w:val="22"/>
          <w:szCs w:val="22"/>
        </w:rPr>
        <w:t xml:space="preserve">How Organizations Can Benefit</w:t>
      </w:r>
    </w:p>
    <w:p>
      <w:pPr>
        <w:spacing w:after="160" w:line="300"/>
        <w:jc w:val="both"/>
      </w:pPr>
      <w:r>
        <w:rPr>
          <w:b w:val="false"/>
          <w:bCs w:val="false"/>
          <w:i w:val="false"/>
          <w:iCs w:val="false"/>
          <w:color w:val="000000"/>
          <w:sz w:val="22"/>
          <w:szCs w:val="22"/>
        </w:rPr>
        <w:t xml:space="preserve">A streaming business (or any organization managing a large content or product catalogue) can use this kind of analysis to make informed, data-backed decisions about acquisition, regional investment, and catalogue balance rather than relying on guesswork.</w:t>
      </w:r>
    </w:p>
    <w:p>
      <w:r>
        <w:br w:type="page"/>
      </w:r>
    </w:p>
    <w:p>
      <w:pPr>
        <w:pStyle w:val="Heading1"/>
        <w:pBdr>
          <w:bottom w:val="single" w:color="E50914" w:sz="8" w:space="4"/>
        </w:pBdr>
        <w:spacing w:after="200" w:before="400"/>
      </w:pPr>
      <w:r>
        <w:rPr>
          <w:b/>
          <w:bCs/>
          <w:color w:val="221F1F"/>
          <w:sz w:val="32"/>
          <w:szCs w:val="32"/>
        </w:rPr>
        <w:t xml:space="preserve">5. Project Objectives</w:t>
      </w:r>
    </w:p>
    <w:p>
      <w:pPr>
        <w:spacing w:after="160" w:line="300"/>
        <w:jc w:val="both"/>
      </w:pPr>
      <w:r>
        <w:rPr>
          <w:b w:val="false"/>
          <w:bCs w:val="false"/>
          <w:i w:val="false"/>
          <w:iCs w:val="false"/>
          <w:color w:val="000000"/>
          <w:sz w:val="22"/>
          <w:szCs w:val="22"/>
        </w:rPr>
        <w:t xml:space="preserve">The following goals were set for this project:</w:t>
      </w:r>
    </w:p>
    <w:p>
      <w:pPr>
        <w:pStyle w:val="ListParagraph"/>
        <w:numPr>
          <w:ilvl w:val="0"/>
          <w:numId w:val="2"/>
        </w:numPr>
        <w:spacing w:after="90"/>
      </w:pPr>
      <w:r>
        <w:rPr>
          <w:b/>
          <w:bCs/>
          <w:sz w:val="22"/>
          <w:szCs w:val="22"/>
        </w:rPr>
        <w:t xml:space="preserve">Understanding the dataset: </w:t>
      </w:r>
      <w:r>
        <w:rPr>
          <w:sz w:val="22"/>
          <w:szCs w:val="22"/>
        </w:rPr>
        <w:t xml:space="preserve">Reviewing every column to understand what information is available and how it is structured.</w:t>
      </w:r>
    </w:p>
    <w:p>
      <w:pPr>
        <w:pStyle w:val="ListParagraph"/>
        <w:numPr>
          <w:ilvl w:val="0"/>
          <w:numId w:val="2"/>
        </w:numPr>
        <w:spacing w:after="90"/>
      </w:pPr>
      <w:r>
        <w:rPr>
          <w:b/>
          <w:bCs/>
          <w:sz w:val="22"/>
          <w:szCs w:val="22"/>
        </w:rPr>
        <w:t xml:space="preserve">Cleaning the data: </w:t>
      </w:r>
      <w:r>
        <w:rPr>
          <w:sz w:val="22"/>
          <w:szCs w:val="22"/>
        </w:rPr>
        <w:t xml:space="preserve">Identifying and fixing missing values, incorrect data types, and data-entry errors.</w:t>
      </w:r>
    </w:p>
    <w:p>
      <w:pPr>
        <w:pStyle w:val="ListParagraph"/>
        <w:numPr>
          <w:ilvl w:val="0"/>
          <w:numId w:val="2"/>
        </w:numPr>
        <w:spacing w:after="90"/>
      </w:pPr>
      <w:r>
        <w:rPr>
          <w:b/>
          <w:bCs/>
          <w:sz w:val="22"/>
          <w:szCs w:val="22"/>
        </w:rPr>
        <w:t xml:space="preserve">Exploring patterns: </w:t>
      </w:r>
      <w:r>
        <w:rPr>
          <w:sz w:val="22"/>
          <w:szCs w:val="22"/>
        </w:rPr>
        <w:t xml:space="preserve">Studying individual columns (univariate analysis) to understand their distribution.</w:t>
      </w:r>
    </w:p>
    <w:p>
      <w:pPr>
        <w:pStyle w:val="ListParagraph"/>
        <w:numPr>
          <w:ilvl w:val="0"/>
          <w:numId w:val="2"/>
        </w:numPr>
        <w:spacing w:after="90"/>
      </w:pPr>
      <w:r>
        <w:rPr>
          <w:b/>
          <w:bCs/>
          <w:sz w:val="22"/>
          <w:szCs w:val="22"/>
        </w:rPr>
        <w:t xml:space="preserve">Performing EDA: </w:t>
      </w:r>
      <w:r>
        <w:rPr>
          <w:sz w:val="22"/>
          <w:szCs w:val="22"/>
        </w:rPr>
        <w:t xml:space="preserve">Conducting bivariate and multivariate analysis to uncover relationships between columns.</w:t>
      </w:r>
    </w:p>
    <w:p>
      <w:pPr>
        <w:pStyle w:val="ListParagraph"/>
        <w:numPr>
          <w:ilvl w:val="0"/>
          <w:numId w:val="2"/>
        </w:numPr>
        <w:spacing w:after="90"/>
      </w:pPr>
      <w:r>
        <w:rPr>
          <w:b/>
          <w:bCs/>
          <w:sz w:val="22"/>
          <w:szCs w:val="22"/>
        </w:rPr>
        <w:t xml:space="preserve">Creating visualizations: </w:t>
      </w:r>
      <w:r>
        <w:rPr>
          <w:sz w:val="22"/>
          <w:szCs w:val="22"/>
        </w:rPr>
        <w:t xml:space="preserve">Building clear, purposeful charts that communicate findings at a glance.</w:t>
      </w:r>
    </w:p>
    <w:p>
      <w:pPr>
        <w:pStyle w:val="ListParagraph"/>
        <w:numPr>
          <w:ilvl w:val="0"/>
          <w:numId w:val="2"/>
        </w:numPr>
        <w:spacing w:after="90"/>
      </w:pPr>
      <w:r>
        <w:rPr>
          <w:b/>
          <w:bCs/>
          <w:sz w:val="22"/>
          <w:szCs w:val="22"/>
        </w:rPr>
        <w:t xml:space="preserve">Generating business insights: </w:t>
      </w:r>
      <w:r>
        <w:rPr>
          <w:sz w:val="22"/>
          <w:szCs w:val="22"/>
        </w:rPr>
        <w:t xml:space="preserve">Translating statistical findings into insights a business team could use.</w:t>
      </w:r>
    </w:p>
    <w:p>
      <w:pPr>
        <w:pStyle w:val="ListParagraph"/>
        <w:numPr>
          <w:ilvl w:val="0"/>
          <w:numId w:val="2"/>
        </w:numPr>
        <w:spacing w:after="90"/>
      </w:pPr>
      <w:r>
        <w:rPr>
          <w:b/>
          <w:bCs/>
          <w:sz w:val="22"/>
          <w:szCs w:val="22"/>
        </w:rPr>
        <w:t xml:space="preserve">Making recommendations: </w:t>
      </w:r>
      <w:r>
        <w:rPr>
          <w:sz w:val="22"/>
          <w:szCs w:val="22"/>
        </w:rPr>
        <w:t xml:space="preserve">Suggesting practical, data-backed next steps.</w:t>
      </w:r>
    </w:p>
    <w:p>
      <w:r>
        <w:br w:type="page"/>
      </w:r>
    </w:p>
    <w:p>
      <w:pPr>
        <w:pStyle w:val="Heading1"/>
        <w:pBdr>
          <w:bottom w:val="single" w:color="E50914" w:sz="8" w:space="4"/>
        </w:pBdr>
        <w:spacing w:after="200" w:before="400"/>
      </w:pPr>
      <w:r>
        <w:rPr>
          <w:b/>
          <w:bCs/>
          <w:color w:val="221F1F"/>
          <w:sz w:val="32"/>
          <w:szCs w:val="32"/>
        </w:rPr>
        <w:t xml:space="preserve">6. Dataset Description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E50914" w:val="clear"/>
            <w:tcMar>
              <w:top w:type="dxa" w:w="100"/>
              <w:left w:type="dxa" w:w="120"/>
              <w:bottom w:type="dxa" w:w="100"/>
              <w:right w:type="dxa" w:w="120"/>
            </w:tcMar>
            <w:vAlign w:val="center"/>
          </w:tcPr>
          <w:p>
            <w:r>
              <w:rPr>
                <w:b/>
                <w:bCs/>
                <w:color w:val="FFFFFF"/>
                <w:sz w:val="20"/>
                <w:szCs w:val="20"/>
              </w:rPr>
              <w:t xml:space="preserve">Property</w:t>
            </w:r>
          </w:p>
        </w:tc>
        <w:tc>
          <w:tcPr>
            <w:tcW w:type="dxa" w:w="6150"/>
            <w:shd w:fill="E50914" w:val="clear"/>
            <w:tcMar>
              <w:top w:type="dxa" w:w="100"/>
              <w:left w:type="dxa" w:w="120"/>
              <w:bottom w:type="dxa" w:w="100"/>
              <w:right w:type="dxa" w:w="120"/>
            </w:tcMar>
            <w:vAlign w:val="center"/>
          </w:tcPr>
          <w:p>
            <w:r>
              <w:rPr>
                <w:b/>
                <w:bCs/>
                <w:color w:val="FFFFFF"/>
                <w:sz w:val="20"/>
                <w:szCs w:val="20"/>
              </w:rPr>
              <w:t xml:space="preserve">Value</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Dataset Name</w:t>
            </w:r>
          </w:p>
        </w:tc>
        <w:tc>
          <w:tcPr>
            <w:tcW w:type="dxa" w:w="6150"/>
            <w:tcMar>
              <w:top w:type="dxa" w:w="100"/>
              <w:left w:type="dxa" w:w="120"/>
              <w:bottom w:type="dxa" w:w="100"/>
              <w:right w:type="dxa" w:w="120"/>
            </w:tcMar>
            <w:vAlign w:val="center"/>
          </w:tcPr>
          <w:p>
            <w:r>
              <w:rPr>
                <w:b w:val="false"/>
                <w:bCs w:val="false"/>
                <w:color w:val="000000"/>
                <w:sz w:val="20"/>
                <w:szCs w:val="20"/>
              </w:rPr>
              <w:t xml:space="preserve">Netflix Movies and TV Shows</w:t>
            </w:r>
          </w:p>
        </w:tc>
      </w:tr>
      <w:tr>
        <w:tc>
          <w:tcPr>
            <w:tcW w:type="dxa" w:w="3200"/>
            <w:shd w:fill="F2F2F2" w:val="clear"/>
            <w:tcMar>
              <w:top w:type="dxa" w:w="100"/>
              <w:left w:type="dxa" w:w="120"/>
              <w:bottom w:type="dxa" w:w="100"/>
              <w:right w:type="dxa" w:w="120"/>
            </w:tcMar>
            <w:vAlign w:val="center"/>
          </w:tcPr>
          <w:p>
            <w:r>
              <w:rPr>
                <w:b w:val="false"/>
                <w:bCs w:val="false"/>
                <w:color w:val="000000"/>
                <w:sz w:val="20"/>
                <w:szCs w:val="20"/>
              </w:rPr>
              <w:t xml:space="preserve">Dataset Source</w:t>
            </w:r>
          </w:p>
        </w:tc>
        <w:tc>
          <w:tcPr>
            <w:tcW w:type="dxa" w:w="6150"/>
            <w:shd w:fill="F2F2F2" w:val="clear"/>
            <w:tcMar>
              <w:top w:type="dxa" w:w="100"/>
              <w:left w:type="dxa" w:w="120"/>
              <w:bottom w:type="dxa" w:w="100"/>
              <w:right w:type="dxa" w:w="120"/>
            </w:tcMar>
            <w:vAlign w:val="center"/>
          </w:tcPr>
          <w:p>
            <w:r>
              <w:rPr>
                <w:b w:val="false"/>
                <w:bCs w:val="false"/>
                <w:color w:val="000000"/>
                <w:sz w:val="20"/>
                <w:szCs w:val="20"/>
              </w:rPr>
              <w:t xml:space="preserve">Netflix content listing (netflix_titles.csv)</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Number of Rows</w:t>
            </w:r>
          </w:p>
        </w:tc>
        <w:tc>
          <w:tcPr>
            <w:tcW w:type="dxa" w:w="6150"/>
            <w:tcMar>
              <w:top w:type="dxa" w:w="100"/>
              <w:left w:type="dxa" w:w="120"/>
              <w:bottom w:type="dxa" w:w="100"/>
              <w:right w:type="dxa" w:w="120"/>
            </w:tcMar>
            <w:vAlign w:val="center"/>
          </w:tcPr>
          <w:p>
            <w:r>
              <w:rPr>
                <w:b w:val="false"/>
                <w:bCs w:val="false"/>
                <w:color w:val="000000"/>
                <w:sz w:val="20"/>
                <w:szCs w:val="20"/>
              </w:rPr>
              <w:t xml:space="preserve">8,807</w:t>
            </w:r>
          </w:p>
        </w:tc>
      </w:tr>
      <w:tr>
        <w:tc>
          <w:tcPr>
            <w:tcW w:type="dxa" w:w="3200"/>
            <w:shd w:fill="F2F2F2" w:val="clear"/>
            <w:tcMar>
              <w:top w:type="dxa" w:w="100"/>
              <w:left w:type="dxa" w:w="120"/>
              <w:bottom w:type="dxa" w:w="100"/>
              <w:right w:type="dxa" w:w="120"/>
            </w:tcMar>
            <w:vAlign w:val="center"/>
          </w:tcPr>
          <w:p>
            <w:r>
              <w:rPr>
                <w:b w:val="false"/>
                <w:bCs w:val="false"/>
                <w:color w:val="000000"/>
                <w:sz w:val="20"/>
                <w:szCs w:val="20"/>
              </w:rPr>
              <w:t xml:space="preserve">Number of Columns</w:t>
            </w:r>
          </w:p>
        </w:tc>
        <w:tc>
          <w:tcPr>
            <w:tcW w:type="dxa" w:w="6150"/>
            <w:shd w:fill="F2F2F2" w:val="clear"/>
            <w:tcMar>
              <w:top w:type="dxa" w:w="100"/>
              <w:left w:type="dxa" w:w="120"/>
              <w:bottom w:type="dxa" w:w="100"/>
              <w:right w:type="dxa" w:w="120"/>
            </w:tcMar>
            <w:vAlign w:val="center"/>
          </w:tcPr>
          <w:p>
            <w:r>
              <w:rPr>
                <w:b w:val="false"/>
                <w:bCs w:val="false"/>
                <w:color w:val="000000"/>
                <w:sz w:val="20"/>
                <w:szCs w:val="20"/>
              </w:rPr>
              <w:t xml:space="preserve">12 (original)</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File Format</w:t>
            </w:r>
          </w:p>
        </w:tc>
        <w:tc>
          <w:tcPr>
            <w:tcW w:type="dxa" w:w="6150"/>
            <w:tcMar>
              <w:top w:type="dxa" w:w="100"/>
              <w:left w:type="dxa" w:w="120"/>
              <w:bottom w:type="dxa" w:w="100"/>
              <w:right w:type="dxa" w:w="120"/>
            </w:tcMar>
            <w:vAlign w:val="center"/>
          </w:tcPr>
          <w:p>
            <w:r>
              <w:rPr>
                <w:b w:val="false"/>
                <w:bCs w:val="false"/>
                <w:color w:val="000000"/>
                <w:sz w:val="20"/>
                <w:szCs w:val="20"/>
              </w:rPr>
              <w:t xml:space="preserve">CSV (Comma-Separated Values)</w:t>
            </w:r>
          </w:p>
        </w:tc>
      </w:tr>
      <w:tr>
        <w:tc>
          <w:tcPr>
            <w:tcW w:type="dxa" w:w="3200"/>
            <w:shd w:fill="F2F2F2" w:val="clear"/>
            <w:tcMar>
              <w:top w:type="dxa" w:w="100"/>
              <w:left w:type="dxa" w:w="120"/>
              <w:bottom w:type="dxa" w:w="100"/>
              <w:right w:type="dxa" w:w="120"/>
            </w:tcMar>
            <w:vAlign w:val="center"/>
          </w:tcPr>
          <w:p>
            <w:r>
              <w:rPr>
                <w:b w:val="false"/>
                <w:bCs w:val="false"/>
                <w:color w:val="000000"/>
                <w:sz w:val="20"/>
                <w:szCs w:val="20"/>
              </w:rPr>
              <w:t xml:space="preserve">Time Span Covered</w:t>
            </w:r>
          </w:p>
        </w:tc>
        <w:tc>
          <w:tcPr>
            <w:tcW w:type="dxa" w:w="6150"/>
            <w:shd w:fill="F2F2F2" w:val="clear"/>
            <w:tcMar>
              <w:top w:type="dxa" w:w="100"/>
              <w:left w:type="dxa" w:w="120"/>
              <w:bottom w:type="dxa" w:w="100"/>
              <w:right w:type="dxa" w:w="120"/>
            </w:tcMar>
            <w:vAlign w:val="center"/>
          </w:tcPr>
          <w:p>
            <w:r>
              <w:rPr>
                <w:b w:val="false"/>
                <w:bCs w:val="false"/>
                <w:color w:val="000000"/>
                <w:sz w:val="20"/>
                <w:szCs w:val="20"/>
              </w:rPr>
              <w:t xml:space="preserve">Titles released from 1925 to 2021; added to Netflix mainly between 2008 and 2021</w:t>
            </w:r>
          </w:p>
        </w:tc>
      </w:tr>
    </w:tbl>
    <w:p>
      <w:pPr>
        <w:spacing w:after="200"/>
      </w:pPr>
    </w:p>
    <w:p>
      <w:pPr>
        <w:pStyle w:val="Heading3"/>
        <w:spacing w:after="100" w:before="200"/>
      </w:pPr>
      <w:r>
        <w:rPr>
          <w:b/>
          <w:bCs/>
          <w:color w:val="221F1F"/>
          <w:sz w:val="22"/>
          <w:szCs w:val="22"/>
        </w:rPr>
        <w:t xml:space="preserve">Column-by-Column Description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50"/>
      </w:tblGrid>
      <w:tr>
        <w:trPr>
          <w:tblHeader/>
        </w:trPr>
        <w:tc>
          <w:tcPr>
            <w:tcW w:type="dxa" w:w="1800"/>
            <w:shd w:fill="E50914" w:val="clear"/>
            <w:tcMar>
              <w:top w:type="dxa" w:w="100"/>
              <w:left w:type="dxa" w:w="120"/>
              <w:bottom w:type="dxa" w:w="100"/>
              <w:right w:type="dxa" w:w="120"/>
            </w:tcMar>
            <w:vAlign w:val="center"/>
          </w:tcPr>
          <w:p>
            <w:r>
              <w:rPr>
                <w:b/>
                <w:bCs/>
                <w:color w:val="FFFFFF"/>
                <w:sz w:val="20"/>
                <w:szCs w:val="20"/>
              </w:rPr>
              <w:t xml:space="preserve">Column</w:t>
            </w:r>
          </w:p>
        </w:tc>
        <w:tc>
          <w:tcPr>
            <w:tcW w:type="dxa" w:w="1800"/>
            <w:shd w:fill="E50914" w:val="clear"/>
            <w:tcMar>
              <w:top w:type="dxa" w:w="100"/>
              <w:left w:type="dxa" w:w="120"/>
              <w:bottom w:type="dxa" w:w="100"/>
              <w:right w:type="dxa" w:w="120"/>
            </w:tcMar>
            <w:vAlign w:val="center"/>
          </w:tcPr>
          <w:p>
            <w:r>
              <w:rPr>
                <w:b/>
                <w:bCs/>
                <w:color w:val="FFFFFF"/>
                <w:sz w:val="20"/>
                <w:szCs w:val="20"/>
              </w:rPr>
              <w:t xml:space="preserve">Data Type</w:t>
            </w:r>
          </w:p>
        </w:tc>
        <w:tc>
          <w:tcPr>
            <w:tcW w:type="dxa" w:w="5750"/>
            <w:shd w:fill="E5091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show_id</w:t>
            </w:r>
          </w:p>
        </w:tc>
        <w:tc>
          <w:tcPr>
            <w:tcW w:type="dxa" w:w="1800"/>
            <w:tcMar>
              <w:top w:type="dxa" w:w="100"/>
              <w:left w:type="dxa" w:w="120"/>
              <w:bottom w:type="dxa" w:w="100"/>
              <w:right w:type="dxa" w:w="120"/>
            </w:tcMar>
            <w:vAlign w:val="center"/>
          </w:tcPr>
          <w:p>
            <w:r>
              <w:rPr>
                <w:b w:val="false"/>
                <w:bCs w:val="false"/>
                <w:color w:val="000000"/>
                <w:sz w:val="20"/>
                <w:szCs w:val="20"/>
              </w:rPr>
              <w:t xml:space="preserve">Text</w:t>
            </w:r>
          </w:p>
        </w:tc>
        <w:tc>
          <w:tcPr>
            <w:tcW w:type="dxa" w:w="5750"/>
            <w:tcMar>
              <w:top w:type="dxa" w:w="100"/>
              <w:left w:type="dxa" w:w="120"/>
              <w:bottom w:type="dxa" w:w="100"/>
              <w:right w:type="dxa" w:w="120"/>
            </w:tcMar>
            <w:vAlign w:val="center"/>
          </w:tcPr>
          <w:p>
            <w:r>
              <w:rPr>
                <w:b w:val="false"/>
                <w:bCs w:val="false"/>
                <w:color w:val="000000"/>
                <w:sz w:val="20"/>
                <w:szCs w:val="20"/>
              </w:rPr>
              <w:t xml:space="preserve">Unique identifier assigned to each title (e.g., s1, s2).</w:t>
            </w:r>
          </w:p>
        </w:tc>
      </w:tr>
      <w:tr>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type</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Categorical</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Whether the title is a "Movie" or a "TV Show".</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title</w:t>
            </w:r>
          </w:p>
        </w:tc>
        <w:tc>
          <w:tcPr>
            <w:tcW w:type="dxa" w:w="1800"/>
            <w:tcMar>
              <w:top w:type="dxa" w:w="100"/>
              <w:left w:type="dxa" w:w="120"/>
              <w:bottom w:type="dxa" w:w="100"/>
              <w:right w:type="dxa" w:w="120"/>
            </w:tcMar>
            <w:vAlign w:val="center"/>
          </w:tcPr>
          <w:p>
            <w:r>
              <w:rPr>
                <w:b w:val="false"/>
                <w:bCs w:val="false"/>
                <w:color w:val="000000"/>
                <w:sz w:val="20"/>
                <w:szCs w:val="20"/>
              </w:rPr>
              <w:t xml:space="preserve">Text</w:t>
            </w:r>
          </w:p>
        </w:tc>
        <w:tc>
          <w:tcPr>
            <w:tcW w:type="dxa" w:w="5750"/>
            <w:tcMar>
              <w:top w:type="dxa" w:w="100"/>
              <w:left w:type="dxa" w:w="120"/>
              <w:bottom w:type="dxa" w:w="100"/>
              <w:right w:type="dxa" w:w="120"/>
            </w:tcMar>
            <w:vAlign w:val="center"/>
          </w:tcPr>
          <w:p>
            <w:r>
              <w:rPr>
                <w:b w:val="false"/>
                <w:bCs w:val="false"/>
                <w:color w:val="000000"/>
                <w:sz w:val="20"/>
                <w:szCs w:val="20"/>
              </w:rPr>
              <w:t xml:space="preserve">The name of the movie or TV show.</w:t>
            </w:r>
          </w:p>
        </w:tc>
      </w:tr>
      <w:tr>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director</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Text</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Name(s) of the director(s). Missing for many titles, especially TV Shows.</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cast</w:t>
            </w:r>
          </w:p>
        </w:tc>
        <w:tc>
          <w:tcPr>
            <w:tcW w:type="dxa" w:w="1800"/>
            <w:tcMar>
              <w:top w:type="dxa" w:w="100"/>
              <w:left w:type="dxa" w:w="120"/>
              <w:bottom w:type="dxa" w:w="100"/>
              <w:right w:type="dxa" w:w="120"/>
            </w:tcMar>
            <w:vAlign w:val="center"/>
          </w:tcPr>
          <w:p>
            <w:r>
              <w:rPr>
                <w:b w:val="false"/>
                <w:bCs w:val="false"/>
                <w:color w:val="000000"/>
                <w:sz w:val="20"/>
                <w:szCs w:val="20"/>
              </w:rPr>
              <w:t xml:space="preserve">Text</w:t>
            </w:r>
          </w:p>
        </w:tc>
        <w:tc>
          <w:tcPr>
            <w:tcW w:type="dxa" w:w="5750"/>
            <w:tcMar>
              <w:top w:type="dxa" w:w="100"/>
              <w:left w:type="dxa" w:w="120"/>
              <w:bottom w:type="dxa" w:w="100"/>
              <w:right w:type="dxa" w:w="120"/>
            </w:tcMar>
            <w:vAlign w:val="center"/>
          </w:tcPr>
          <w:p>
            <w:r>
              <w:rPr>
                <w:b w:val="false"/>
                <w:bCs w:val="false"/>
                <w:color w:val="000000"/>
                <w:sz w:val="20"/>
                <w:szCs w:val="20"/>
              </w:rPr>
              <w:t xml:space="preserve">Names of the main cast members.</w:t>
            </w:r>
          </w:p>
        </w:tc>
      </w:tr>
      <w:tr>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country</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Categorical</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Country or countries where the title was produced.</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date_added</w:t>
            </w:r>
          </w:p>
        </w:tc>
        <w:tc>
          <w:tcPr>
            <w:tcW w:type="dxa" w:w="1800"/>
            <w:tcMar>
              <w:top w:type="dxa" w:w="100"/>
              <w:left w:type="dxa" w:w="120"/>
              <w:bottom w:type="dxa" w:w="100"/>
              <w:right w:type="dxa" w:w="120"/>
            </w:tcMar>
            <w:vAlign w:val="center"/>
          </w:tcPr>
          <w:p>
            <w:r>
              <w:rPr>
                <w:b w:val="false"/>
                <w:bCs w:val="false"/>
                <w:color w:val="000000"/>
                <w:sz w:val="20"/>
                <w:szCs w:val="20"/>
              </w:rPr>
              <w:t xml:space="preserve">Date/Time</w:t>
            </w:r>
          </w:p>
        </w:tc>
        <w:tc>
          <w:tcPr>
            <w:tcW w:type="dxa" w:w="5750"/>
            <w:tcMar>
              <w:top w:type="dxa" w:w="100"/>
              <w:left w:type="dxa" w:w="120"/>
              <w:bottom w:type="dxa" w:w="100"/>
              <w:right w:type="dxa" w:w="120"/>
            </w:tcMar>
            <w:vAlign w:val="center"/>
          </w:tcPr>
          <w:p>
            <w:r>
              <w:rPr>
                <w:b w:val="false"/>
                <w:bCs w:val="false"/>
                <w:color w:val="000000"/>
                <w:sz w:val="20"/>
                <w:szCs w:val="20"/>
              </w:rPr>
              <w:t xml:space="preserve">The date the title was added to the Netflix platform.</w:t>
            </w:r>
          </w:p>
        </w:tc>
      </w:tr>
      <w:tr>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release_year</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Numerical</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The year the title was originally released.</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rating</w:t>
            </w:r>
          </w:p>
        </w:tc>
        <w:tc>
          <w:tcPr>
            <w:tcW w:type="dxa" w:w="1800"/>
            <w:tcMar>
              <w:top w:type="dxa" w:w="100"/>
              <w:left w:type="dxa" w:w="120"/>
              <w:bottom w:type="dxa" w:w="100"/>
              <w:right w:type="dxa" w:w="120"/>
            </w:tcMar>
            <w:vAlign w:val="center"/>
          </w:tcPr>
          <w:p>
            <w:r>
              <w:rPr>
                <w:b w:val="false"/>
                <w:bCs w:val="false"/>
                <w:color w:val="000000"/>
                <w:sz w:val="20"/>
                <w:szCs w:val="20"/>
              </w:rPr>
              <w:t xml:space="preserve">Categorical</w:t>
            </w:r>
          </w:p>
        </w:tc>
        <w:tc>
          <w:tcPr>
            <w:tcW w:type="dxa" w:w="5750"/>
            <w:tcMar>
              <w:top w:type="dxa" w:w="100"/>
              <w:left w:type="dxa" w:w="120"/>
              <w:bottom w:type="dxa" w:w="100"/>
              <w:right w:type="dxa" w:w="120"/>
            </w:tcMar>
            <w:vAlign w:val="center"/>
          </w:tcPr>
          <w:p>
            <w:r>
              <w:rPr>
                <w:b w:val="false"/>
                <w:bCs w:val="false"/>
                <w:color w:val="000000"/>
                <w:sz w:val="20"/>
                <w:szCs w:val="20"/>
              </w:rPr>
              <w:t xml:space="preserve">The content/maturity rating (e.g., TV-MA, PG-13, TV-Y).</w:t>
            </w:r>
          </w:p>
        </w:tc>
      </w:tr>
      <w:tr>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duration</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Text</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Movie length in minutes, or number of seasons for TV Shows.</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listed_in</w:t>
            </w:r>
          </w:p>
        </w:tc>
        <w:tc>
          <w:tcPr>
            <w:tcW w:type="dxa" w:w="1800"/>
            <w:tcMar>
              <w:top w:type="dxa" w:w="100"/>
              <w:left w:type="dxa" w:w="120"/>
              <w:bottom w:type="dxa" w:w="100"/>
              <w:right w:type="dxa" w:w="120"/>
            </w:tcMar>
            <w:vAlign w:val="center"/>
          </w:tcPr>
          <w:p>
            <w:r>
              <w:rPr>
                <w:b w:val="false"/>
                <w:bCs w:val="false"/>
                <w:color w:val="000000"/>
                <w:sz w:val="20"/>
                <w:szCs w:val="20"/>
              </w:rPr>
              <w:t xml:space="preserve">Categorical</w:t>
            </w:r>
          </w:p>
        </w:tc>
        <w:tc>
          <w:tcPr>
            <w:tcW w:type="dxa" w:w="5750"/>
            <w:tcMar>
              <w:top w:type="dxa" w:w="100"/>
              <w:left w:type="dxa" w:w="120"/>
              <w:bottom w:type="dxa" w:w="100"/>
              <w:right w:type="dxa" w:w="120"/>
            </w:tcMar>
            <w:vAlign w:val="center"/>
          </w:tcPr>
          <w:p>
            <w:r>
              <w:rPr>
                <w:b w:val="false"/>
                <w:bCs w:val="false"/>
                <w:color w:val="000000"/>
                <w:sz w:val="20"/>
                <w:szCs w:val="20"/>
              </w:rPr>
              <w:t xml:space="preserve">Genre(s)/category tags assigned to the title.</w:t>
            </w:r>
          </w:p>
        </w:tc>
      </w:tr>
      <w:tr>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description</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Text</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A short one- or two-line summary of the title's plot.</w:t>
            </w:r>
          </w:p>
        </w:tc>
      </w:tr>
    </w:tbl>
    <w:p>
      <w:r>
        <w:br w:type="page"/>
      </w:r>
    </w:p>
    <w:p>
      <w:pPr>
        <w:pStyle w:val="Heading1"/>
        <w:pBdr>
          <w:bottom w:val="single" w:color="E50914" w:sz="8" w:space="4"/>
        </w:pBdr>
        <w:spacing w:after="200" w:before="400"/>
      </w:pPr>
      <w:r>
        <w:rPr>
          <w:b/>
          <w:bCs/>
          <w:color w:val="221F1F"/>
          <w:sz w:val="32"/>
          <w:szCs w:val="32"/>
        </w:rPr>
        <w:t xml:space="preserve">7. Business Questions</w:t>
      </w:r>
    </w:p>
    <w:p>
      <w:pPr>
        <w:spacing w:after="160" w:line="300"/>
        <w:jc w:val="both"/>
      </w:pPr>
      <w:r>
        <w:rPr>
          <w:b w:val="false"/>
          <w:bCs w:val="false"/>
          <w:i w:val="false"/>
          <w:iCs w:val="false"/>
          <w:color w:val="000000"/>
          <w:sz w:val="22"/>
          <w:szCs w:val="22"/>
        </w:rPr>
        <w:t xml:space="preserve">Based on the columns available in the dataset, the following business questions can be meaningfully answered:</w:t>
      </w:r>
    </w:p>
    <w:p>
      <w:pPr>
        <w:pStyle w:val="ListParagraph"/>
        <w:numPr>
          <w:ilvl w:val="0"/>
          <w:numId w:val="2"/>
        </w:numPr>
        <w:spacing w:after="90"/>
      </w:pPr>
      <w:r>
        <w:rPr>
          <w:sz w:val="22"/>
          <w:szCs w:val="22"/>
        </w:rPr>
        <w:t xml:space="preserve">What is the split between Movies and TV Shows on the platform?</w:t>
      </w:r>
    </w:p>
    <w:p>
      <w:pPr>
        <w:pStyle w:val="ListParagraph"/>
        <w:numPr>
          <w:ilvl w:val="0"/>
          <w:numId w:val="2"/>
        </w:numPr>
        <w:spacing w:after="90"/>
      </w:pPr>
      <w:r>
        <w:rPr>
          <w:sz w:val="22"/>
          <w:szCs w:val="22"/>
        </w:rPr>
        <w:t xml:space="preserve">Which countries contribute the most content to Netflix?</w:t>
      </w:r>
    </w:p>
    <w:p>
      <w:pPr>
        <w:pStyle w:val="ListParagraph"/>
        <w:numPr>
          <w:ilvl w:val="0"/>
          <w:numId w:val="2"/>
        </w:numPr>
        <w:spacing w:after="90"/>
      </w:pPr>
      <w:r>
        <w:rPr>
          <w:sz w:val="22"/>
          <w:szCs w:val="22"/>
        </w:rPr>
        <w:t xml:space="preserve">Which genres/categories dominate the catalogue?</w:t>
      </w:r>
    </w:p>
    <w:p>
      <w:pPr>
        <w:pStyle w:val="ListParagraph"/>
        <w:numPr>
          <w:ilvl w:val="0"/>
          <w:numId w:val="2"/>
        </w:numPr>
        <w:spacing w:after="90"/>
      </w:pPr>
      <w:r>
        <w:rPr>
          <w:sz w:val="22"/>
          <w:szCs w:val="22"/>
        </w:rPr>
        <w:t xml:space="preserve">How has the number of titles added to Netflix changed over the years?</w:t>
      </w:r>
    </w:p>
    <w:p>
      <w:pPr>
        <w:pStyle w:val="ListParagraph"/>
        <w:numPr>
          <w:ilvl w:val="0"/>
          <w:numId w:val="2"/>
        </w:numPr>
        <w:spacing w:after="90"/>
      </w:pPr>
      <w:r>
        <w:rPr>
          <w:sz w:val="22"/>
          <w:szCs w:val="22"/>
        </w:rPr>
        <w:t xml:space="preserve">Which content ratings (maturity levels) are most common?</w:t>
      </w:r>
    </w:p>
    <w:p>
      <w:pPr>
        <w:pStyle w:val="ListParagraph"/>
        <w:numPr>
          <w:ilvl w:val="0"/>
          <w:numId w:val="2"/>
        </w:numPr>
        <w:spacing w:after="90"/>
      </w:pPr>
      <w:r>
        <w:rPr>
          <w:sz w:val="22"/>
          <w:szCs w:val="22"/>
        </w:rPr>
        <w:t xml:space="preserve">What is the typical duration of a movie, and how many seasons do most TV Shows have?</w:t>
      </w:r>
    </w:p>
    <w:p>
      <w:pPr>
        <w:pStyle w:val="ListParagraph"/>
        <w:numPr>
          <w:ilvl w:val="0"/>
          <w:numId w:val="2"/>
        </w:numPr>
        <w:spacing w:after="90"/>
      </w:pPr>
      <w:r>
        <w:rPr>
          <w:sz w:val="22"/>
          <w:szCs w:val="22"/>
        </w:rPr>
        <w:t xml:space="preserve">Has the release-year trend of content shifted over time, and does it differ between Movies and TV Shows?</w:t>
      </w:r>
    </w:p>
    <w:p>
      <w:pPr>
        <w:pStyle w:val="ListParagraph"/>
        <w:numPr>
          <w:ilvl w:val="0"/>
          <w:numId w:val="2"/>
        </w:numPr>
        <w:spacing w:after="90"/>
      </w:pPr>
      <w:r>
        <w:rPr>
          <w:sz w:val="22"/>
          <w:szCs w:val="22"/>
        </w:rPr>
        <w:t xml:space="preserve">Which directors have the most titles listed on the platform?</w:t>
      </w:r>
    </w:p>
    <w:p>
      <w:pPr>
        <w:spacing w:after="160" w:line="300"/>
        <w:jc w:val="both"/>
      </w:pPr>
      <w:r>
        <w:rPr>
          <w:b w:val="false"/>
          <w:bCs w:val="false"/>
          <w:i w:val="false"/>
          <w:iCs w:val="false"/>
          <w:color w:val="000000"/>
          <w:sz w:val="22"/>
          <w:szCs w:val="22"/>
        </w:rPr>
        <w:t xml:space="preserve">Questions that cannot be answered from this dataset — such as actual viewership numbers, subscriber ratings, or revenue — were intentionally excluded, since no such columns exist in the data.</w:t>
      </w:r>
    </w:p>
    <w:p>
      <w:r>
        <w:br w:type="page"/>
      </w:r>
    </w:p>
    <w:p>
      <w:pPr>
        <w:pStyle w:val="Heading1"/>
        <w:pBdr>
          <w:bottom w:val="single" w:color="E50914" w:sz="8" w:space="4"/>
        </w:pBdr>
        <w:spacing w:after="200" w:before="400"/>
      </w:pPr>
      <w:r>
        <w:rPr>
          <w:b/>
          <w:bCs/>
          <w:color w:val="221F1F"/>
          <w:sz w:val="32"/>
          <w:szCs w:val="32"/>
        </w:rPr>
        <w:t xml:space="preserve">8. Tools and Technologies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E50914" w:val="clear"/>
            <w:tcMar>
              <w:top w:type="dxa" w:w="100"/>
              <w:left w:type="dxa" w:w="120"/>
              <w:bottom w:type="dxa" w:w="100"/>
              <w:right w:type="dxa" w:w="120"/>
            </w:tcMar>
            <w:vAlign w:val="center"/>
          </w:tcPr>
          <w:p>
            <w:r>
              <w:rPr>
                <w:b/>
                <w:bCs/>
                <w:color w:val="FFFFFF"/>
                <w:sz w:val="20"/>
                <w:szCs w:val="20"/>
              </w:rPr>
              <w:t xml:space="preserve">Tool</w:t>
            </w:r>
          </w:p>
        </w:tc>
        <w:tc>
          <w:tcPr>
            <w:tcW w:type="dxa" w:w="3600"/>
            <w:shd w:fill="E50914" w:val="clear"/>
            <w:tcMar>
              <w:top w:type="dxa" w:w="100"/>
              <w:left w:type="dxa" w:w="120"/>
              <w:bottom w:type="dxa" w:w="100"/>
              <w:right w:type="dxa" w:w="120"/>
            </w:tcMar>
            <w:vAlign w:val="center"/>
          </w:tcPr>
          <w:p>
            <w:r>
              <w:rPr>
                <w:b/>
                <w:bCs/>
                <w:color w:val="FFFFFF"/>
                <w:sz w:val="20"/>
                <w:szCs w:val="20"/>
              </w:rPr>
              <w:t xml:space="preserve">Purpose</w:t>
            </w:r>
          </w:p>
        </w:tc>
        <w:tc>
          <w:tcPr>
            <w:tcW w:type="dxa" w:w="3150"/>
            <w:shd w:fill="E50914" w:val="clear"/>
            <w:tcMar>
              <w:top w:type="dxa" w:w="100"/>
              <w:left w:type="dxa" w:w="120"/>
              <w:bottom w:type="dxa" w:w="100"/>
              <w:right w:type="dxa" w:w="120"/>
            </w:tcMar>
            <w:vAlign w:val="center"/>
          </w:tcPr>
          <w:p>
            <w:r>
              <w:rPr>
                <w:b/>
                <w:bCs/>
                <w:color w:val="FFFFFF"/>
                <w:sz w:val="20"/>
                <w:szCs w:val="20"/>
              </w:rPr>
              <w:t xml:space="preserve">Real-World Use</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Python</w:t>
            </w:r>
          </w:p>
        </w:tc>
        <w:tc>
          <w:tcPr>
            <w:tcW w:type="dxa" w:w="3600"/>
            <w:tcMar>
              <w:top w:type="dxa" w:w="100"/>
              <w:left w:type="dxa" w:w="120"/>
              <w:bottom w:type="dxa" w:w="100"/>
              <w:right w:type="dxa" w:w="120"/>
            </w:tcMar>
            <w:vAlign w:val="center"/>
          </w:tcPr>
          <w:p>
            <w:r>
              <w:rPr>
                <w:b w:val="false"/>
                <w:bCs w:val="false"/>
                <w:color w:val="000000"/>
                <w:sz w:val="20"/>
                <w:szCs w:val="20"/>
              </w:rPr>
              <w:t xml:space="preserve">Core programming language used for the entire analysis.</w:t>
            </w:r>
          </w:p>
        </w:tc>
        <w:tc>
          <w:tcPr>
            <w:tcW w:type="dxa" w:w="3150"/>
            <w:tcMar>
              <w:top w:type="dxa" w:w="100"/>
              <w:left w:type="dxa" w:w="120"/>
              <w:bottom w:type="dxa" w:w="100"/>
              <w:right w:type="dxa" w:w="120"/>
            </w:tcMar>
            <w:vAlign w:val="center"/>
          </w:tcPr>
          <w:p>
            <w:r>
              <w:rPr>
                <w:b w:val="false"/>
                <w:bCs w:val="false"/>
                <w:color w:val="000000"/>
                <w:sz w:val="20"/>
                <w:szCs w:val="20"/>
              </w:rPr>
              <w:t xml:space="preserve">Industry-standard language for data analysis, automation, and machine learning.</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Pandas</w:t>
            </w:r>
          </w:p>
        </w:tc>
        <w:tc>
          <w:tcPr>
            <w:tcW w:type="dxa" w:w="3600"/>
            <w:shd w:fill="F2F2F2" w:val="clear"/>
            <w:tcMar>
              <w:top w:type="dxa" w:w="100"/>
              <w:left w:type="dxa" w:w="120"/>
              <w:bottom w:type="dxa" w:w="100"/>
              <w:right w:type="dxa" w:w="120"/>
            </w:tcMar>
            <w:vAlign w:val="center"/>
          </w:tcPr>
          <w:p>
            <w:r>
              <w:rPr>
                <w:b w:val="false"/>
                <w:bCs w:val="false"/>
                <w:color w:val="000000"/>
                <w:sz w:val="20"/>
                <w:szCs w:val="20"/>
              </w:rPr>
              <w:t xml:space="preserve">Loading, cleaning, and manipulating tabular data.</w:t>
            </w:r>
          </w:p>
        </w:tc>
        <w:tc>
          <w:tcPr>
            <w:tcW w:type="dxa" w:w="3150"/>
            <w:shd w:fill="F2F2F2" w:val="clear"/>
            <w:tcMar>
              <w:top w:type="dxa" w:w="100"/>
              <w:left w:type="dxa" w:w="120"/>
              <w:bottom w:type="dxa" w:w="100"/>
              <w:right w:type="dxa" w:w="120"/>
            </w:tcMar>
            <w:vAlign w:val="center"/>
          </w:tcPr>
          <w:p>
            <w:r>
              <w:rPr>
                <w:b w:val="false"/>
                <w:bCs w:val="false"/>
                <w:color w:val="000000"/>
                <w:sz w:val="20"/>
                <w:szCs w:val="20"/>
              </w:rPr>
              <w:t xml:space="preserve">Used by analysts everywhere to clean and reshape spreadsheet-style data.</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NumPy</w:t>
            </w:r>
          </w:p>
        </w:tc>
        <w:tc>
          <w:tcPr>
            <w:tcW w:type="dxa" w:w="3600"/>
            <w:tcMar>
              <w:top w:type="dxa" w:w="100"/>
              <w:left w:type="dxa" w:w="120"/>
              <w:bottom w:type="dxa" w:w="100"/>
              <w:right w:type="dxa" w:w="120"/>
            </w:tcMar>
            <w:vAlign w:val="center"/>
          </w:tcPr>
          <w:p>
            <w:r>
              <w:rPr>
                <w:b w:val="false"/>
                <w:bCs w:val="false"/>
                <w:color w:val="000000"/>
                <w:sz w:val="20"/>
                <w:szCs w:val="20"/>
              </w:rPr>
              <w:t xml:space="preserve">Numerical operations and array-based calculations.</w:t>
            </w:r>
          </w:p>
        </w:tc>
        <w:tc>
          <w:tcPr>
            <w:tcW w:type="dxa" w:w="3150"/>
            <w:tcMar>
              <w:top w:type="dxa" w:w="100"/>
              <w:left w:type="dxa" w:w="120"/>
              <w:bottom w:type="dxa" w:w="100"/>
              <w:right w:type="dxa" w:w="120"/>
            </w:tcMar>
            <w:vAlign w:val="center"/>
          </w:tcPr>
          <w:p>
            <w:r>
              <w:rPr>
                <w:b w:val="false"/>
                <w:bCs w:val="false"/>
                <w:color w:val="000000"/>
                <w:sz w:val="20"/>
                <w:szCs w:val="20"/>
              </w:rPr>
              <w:t xml:space="preserve">Powers fast mathematical computation behind most data science tools.</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Matplotlib</w:t>
            </w:r>
          </w:p>
        </w:tc>
        <w:tc>
          <w:tcPr>
            <w:tcW w:type="dxa" w:w="3600"/>
            <w:shd w:fill="F2F2F2" w:val="clear"/>
            <w:tcMar>
              <w:top w:type="dxa" w:w="100"/>
              <w:left w:type="dxa" w:w="120"/>
              <w:bottom w:type="dxa" w:w="100"/>
              <w:right w:type="dxa" w:w="120"/>
            </w:tcMar>
            <w:vAlign w:val="center"/>
          </w:tcPr>
          <w:p>
            <w:r>
              <w:rPr>
                <w:b w:val="false"/>
                <w:bCs w:val="false"/>
                <w:color w:val="000000"/>
                <w:sz w:val="20"/>
                <w:szCs w:val="20"/>
              </w:rPr>
              <w:t xml:space="preserve">Creating static charts such as bar charts and line charts.</w:t>
            </w:r>
          </w:p>
        </w:tc>
        <w:tc>
          <w:tcPr>
            <w:tcW w:type="dxa" w:w="3150"/>
            <w:shd w:fill="F2F2F2" w:val="clear"/>
            <w:tcMar>
              <w:top w:type="dxa" w:w="100"/>
              <w:left w:type="dxa" w:w="120"/>
              <w:bottom w:type="dxa" w:w="100"/>
              <w:right w:type="dxa" w:w="120"/>
            </w:tcMar>
            <w:vAlign w:val="center"/>
          </w:tcPr>
          <w:p>
            <w:r>
              <w:rPr>
                <w:b w:val="false"/>
                <w:bCs w:val="false"/>
                <w:color w:val="000000"/>
                <w:sz w:val="20"/>
                <w:szCs w:val="20"/>
              </w:rPr>
              <w:t xml:space="preserve">The foundation charting library used in most Python-based reports.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Seaborn</w:t>
            </w:r>
          </w:p>
        </w:tc>
        <w:tc>
          <w:tcPr>
            <w:tcW w:type="dxa" w:w="3600"/>
            <w:tcMar>
              <w:top w:type="dxa" w:w="100"/>
              <w:left w:type="dxa" w:w="120"/>
              <w:bottom w:type="dxa" w:w="100"/>
              <w:right w:type="dxa" w:w="120"/>
            </w:tcMar>
            <w:vAlign w:val="center"/>
          </w:tcPr>
          <w:p>
            <w:r>
              <w:rPr>
                <w:b w:val="false"/>
                <w:bCs w:val="false"/>
                <w:color w:val="000000"/>
                <w:sz w:val="20"/>
                <w:szCs w:val="20"/>
              </w:rPr>
              <w:t xml:space="preserve">Creating statistical visualizations with cleaner default styling.</w:t>
            </w:r>
          </w:p>
        </w:tc>
        <w:tc>
          <w:tcPr>
            <w:tcW w:type="dxa" w:w="3150"/>
            <w:tcMar>
              <w:top w:type="dxa" w:w="100"/>
              <w:left w:type="dxa" w:w="120"/>
              <w:bottom w:type="dxa" w:w="100"/>
              <w:right w:type="dxa" w:w="120"/>
            </w:tcMar>
            <w:vAlign w:val="center"/>
          </w:tcPr>
          <w:p>
            <w:r>
              <w:rPr>
                <w:b w:val="false"/>
                <w:bCs w:val="false"/>
                <w:color w:val="000000"/>
                <w:sz w:val="20"/>
                <w:szCs w:val="20"/>
              </w:rPr>
              <w:t xml:space="preserve">Used for quick, attractive exploratory charts in real analytics teams.</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Jupyter Notebook / VS Code / Google Colab</w:t>
            </w:r>
          </w:p>
        </w:tc>
        <w:tc>
          <w:tcPr>
            <w:tcW w:type="dxa" w:w="3600"/>
            <w:shd w:fill="F2F2F2" w:val="clear"/>
            <w:tcMar>
              <w:top w:type="dxa" w:w="100"/>
              <w:left w:type="dxa" w:w="120"/>
              <w:bottom w:type="dxa" w:w="100"/>
              <w:right w:type="dxa" w:w="120"/>
            </w:tcMar>
            <w:vAlign w:val="center"/>
          </w:tcPr>
          <w:p>
            <w:r>
              <w:rPr>
                <w:b w:val="false"/>
                <w:bCs w:val="false"/>
                <w:color w:val="000000"/>
                <w:sz w:val="20"/>
                <w:szCs w:val="20"/>
              </w:rPr>
              <w:t xml:space="preserve">Interactive coding environment for writing and running analysis step by step.</w:t>
            </w:r>
          </w:p>
        </w:tc>
        <w:tc>
          <w:tcPr>
            <w:tcW w:type="dxa" w:w="3150"/>
            <w:shd w:fill="F2F2F2" w:val="clear"/>
            <w:tcMar>
              <w:top w:type="dxa" w:w="100"/>
              <w:left w:type="dxa" w:w="120"/>
              <w:bottom w:type="dxa" w:w="100"/>
              <w:right w:type="dxa" w:w="120"/>
            </w:tcMar>
            <w:vAlign w:val="center"/>
          </w:tcPr>
          <w:p>
            <w:r>
              <w:rPr>
                <w:b w:val="false"/>
                <w:bCs w:val="false"/>
                <w:color w:val="000000"/>
                <w:sz w:val="20"/>
                <w:szCs w:val="20"/>
              </w:rPr>
              <w:t xml:space="preserve">Standard environment for data analysts and data scientists to explore data.</w:t>
            </w:r>
          </w:p>
        </w:tc>
      </w:tr>
    </w:tbl>
    <w:p>
      <w:r>
        <w:br w:type="page"/>
      </w:r>
    </w:p>
    <w:p>
      <w:pPr>
        <w:pStyle w:val="Heading1"/>
        <w:pBdr>
          <w:bottom w:val="single" w:color="E50914" w:sz="8" w:space="4"/>
        </w:pBdr>
        <w:spacing w:after="200" w:before="400"/>
      </w:pPr>
      <w:r>
        <w:rPr>
          <w:b/>
          <w:bCs/>
          <w:color w:val="221F1F"/>
          <w:sz w:val="32"/>
          <w:szCs w:val="32"/>
        </w:rPr>
        <w:t xml:space="preserve">9. Project Workflow</w:t>
      </w:r>
    </w:p>
    <w:p>
      <w:pPr>
        <w:spacing w:after="160" w:line="300"/>
        <w:jc w:val="both"/>
      </w:pPr>
      <w:r>
        <w:rPr>
          <w:b w:val="false"/>
          <w:bCs w:val="false"/>
          <w:i w:val="false"/>
          <w:iCs w:val="false"/>
          <w:color w:val="000000"/>
          <w:sz w:val="22"/>
          <w:szCs w:val="22"/>
        </w:rPr>
        <w:t xml:space="preserve">The analysis followed a structured, step-by-step workflow, shown below. Each step builds on the one before it, which is the standard approach used in real-world data analysis projects.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50"/>
      </w:tblGrid>
      <w:tr>
        <w:trPr>
          <w:tblHeader/>
        </w:trPr>
        <w:tc>
          <w:tcPr>
            <w:tcW w:type="dxa" w:w="800"/>
            <w:shd w:fill="E50914" w:val="clear"/>
            <w:tcMar>
              <w:top w:type="dxa" w:w="100"/>
              <w:left w:type="dxa" w:w="120"/>
              <w:bottom w:type="dxa" w:w="100"/>
              <w:right w:type="dxa" w:w="120"/>
            </w:tcMar>
            <w:vAlign w:val="center"/>
          </w:tcPr>
          <w:p>
            <w:r>
              <w:rPr>
                <w:b/>
                <w:bCs/>
                <w:color w:val="FFFFFF"/>
                <w:sz w:val="20"/>
                <w:szCs w:val="20"/>
              </w:rPr>
              <w:t xml:space="preserve">Step #</w:t>
            </w:r>
          </w:p>
        </w:tc>
        <w:tc>
          <w:tcPr>
            <w:tcW w:type="dxa" w:w="2800"/>
            <w:shd w:fill="E50914" w:val="clear"/>
            <w:tcMar>
              <w:top w:type="dxa" w:w="100"/>
              <w:left w:type="dxa" w:w="120"/>
              <w:bottom w:type="dxa" w:w="100"/>
              <w:right w:type="dxa" w:w="120"/>
            </w:tcMar>
            <w:vAlign w:val="center"/>
          </w:tcPr>
          <w:p>
            <w:r>
              <w:rPr>
                <w:b/>
                <w:bCs/>
                <w:color w:val="FFFFFF"/>
                <w:sz w:val="20"/>
                <w:szCs w:val="20"/>
              </w:rPr>
              <w:t xml:space="preserve">Stage</w:t>
            </w:r>
          </w:p>
        </w:tc>
        <w:tc>
          <w:tcPr>
            <w:tcW w:type="dxa" w:w="5750"/>
            <w:shd w:fill="E50914" w:val="clear"/>
            <w:tcMar>
              <w:top w:type="dxa" w:w="100"/>
              <w:left w:type="dxa" w:w="120"/>
              <w:bottom w:type="dxa" w:w="100"/>
              <w:right w:type="dxa" w:w="120"/>
            </w:tcMar>
            <w:vAlign w:val="center"/>
          </w:tcPr>
          <w:p>
            <w:r>
              <w:rPr>
                <w:b/>
                <w:bCs/>
                <w:color w:val="FFFFFF"/>
                <w:sz w:val="20"/>
                <w:szCs w:val="20"/>
              </w:rPr>
              <w:t xml:space="preserve">What Happens in This Stage</w:t>
            </w:r>
          </w:p>
        </w:tc>
      </w:tr>
      <w:tr>
        <w:tc>
          <w:tcPr>
            <w:tcW w:type="dxa" w:w="800"/>
            <w:tcMar>
              <w:top w:type="dxa" w:w="100"/>
              <w:left w:type="dxa" w:w="120"/>
              <w:bottom w:type="dxa" w:w="100"/>
              <w:right w:type="dxa" w:w="120"/>
            </w:tcMar>
            <w:vAlign w:val="center"/>
          </w:tcPr>
          <w:p>
            <w:r>
              <w:rPr>
                <w:b w:val="false"/>
                <w:bCs w:val="false"/>
                <w:color w:val="000000"/>
                <w:sz w:val="20"/>
                <w:szCs w:val="20"/>
              </w:rPr>
              <w:t xml:space="preserve">1</w:t>
            </w:r>
          </w:p>
        </w:tc>
        <w:tc>
          <w:tcPr>
            <w:tcW w:type="dxa" w:w="2800"/>
            <w:tcMar>
              <w:top w:type="dxa" w:w="100"/>
              <w:left w:type="dxa" w:w="120"/>
              <w:bottom w:type="dxa" w:w="100"/>
              <w:right w:type="dxa" w:w="120"/>
            </w:tcMar>
            <w:vAlign w:val="center"/>
          </w:tcPr>
          <w:p>
            <w:r>
              <w:rPr>
                <w:b w:val="false"/>
                <w:bCs w:val="false"/>
                <w:color w:val="000000"/>
                <w:sz w:val="20"/>
                <w:szCs w:val="20"/>
              </w:rPr>
              <w:t xml:space="preserve">Problem Statement</w:t>
            </w:r>
          </w:p>
        </w:tc>
        <w:tc>
          <w:tcPr>
            <w:tcW w:type="dxa" w:w="5750"/>
            <w:tcMar>
              <w:top w:type="dxa" w:w="100"/>
              <w:left w:type="dxa" w:w="120"/>
              <w:bottom w:type="dxa" w:w="100"/>
              <w:right w:type="dxa" w:w="120"/>
            </w:tcMar>
            <w:vAlign w:val="center"/>
          </w:tcPr>
          <w:p>
            <w:r>
              <w:rPr>
                <w:b w:val="false"/>
                <w:bCs w:val="false"/>
                <w:color w:val="000000"/>
                <w:sz w:val="20"/>
                <w:szCs w:val="20"/>
              </w:rPr>
              <w:t xml:space="preserve">Define what business question the analysis will answer.</w:t>
            </w:r>
          </w:p>
        </w:tc>
      </w:tr>
      <w:tr>
        <w:tc>
          <w:tcPr>
            <w:tcW w:type="dxa" w:w="800"/>
            <w:shd w:fill="F2F2F2" w:val="clear"/>
            <w:tcMar>
              <w:top w:type="dxa" w:w="100"/>
              <w:left w:type="dxa" w:w="120"/>
              <w:bottom w:type="dxa" w:w="100"/>
              <w:right w:type="dxa" w:w="120"/>
            </w:tcMar>
            <w:vAlign w:val="center"/>
          </w:tcPr>
          <w:p>
            <w:r>
              <w:rPr>
                <w:b w:val="false"/>
                <w:bCs w:val="false"/>
                <w:color w:val="000000"/>
                <w:sz w:val="20"/>
                <w:szCs w:val="20"/>
              </w:rPr>
              <w:t xml:space="preserve">2</w:t>
            </w:r>
          </w:p>
        </w:tc>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Dataset Collection</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Obtain the Netflix dataset in CSV format.</w:t>
            </w:r>
          </w:p>
        </w:tc>
      </w:tr>
      <w:tr>
        <w:tc>
          <w:tcPr>
            <w:tcW w:type="dxa" w:w="800"/>
            <w:tcMar>
              <w:top w:type="dxa" w:w="100"/>
              <w:left w:type="dxa" w:w="120"/>
              <w:bottom w:type="dxa" w:w="100"/>
              <w:right w:type="dxa" w:w="120"/>
            </w:tcMar>
            <w:vAlign w:val="center"/>
          </w:tcPr>
          <w:p>
            <w:r>
              <w:rPr>
                <w:b w:val="false"/>
                <w:bCs w:val="false"/>
                <w:color w:val="000000"/>
                <w:sz w:val="20"/>
                <w:szCs w:val="20"/>
              </w:rPr>
              <w:t xml:space="preserve">3</w:t>
            </w:r>
          </w:p>
        </w:tc>
        <w:tc>
          <w:tcPr>
            <w:tcW w:type="dxa" w:w="2800"/>
            <w:tcMar>
              <w:top w:type="dxa" w:w="100"/>
              <w:left w:type="dxa" w:w="120"/>
              <w:bottom w:type="dxa" w:w="100"/>
              <w:right w:type="dxa" w:w="120"/>
            </w:tcMar>
            <w:vAlign w:val="center"/>
          </w:tcPr>
          <w:p>
            <w:r>
              <w:rPr>
                <w:b w:val="false"/>
                <w:bCs w:val="false"/>
                <w:color w:val="000000"/>
                <w:sz w:val="20"/>
                <w:szCs w:val="20"/>
              </w:rPr>
              <w:t xml:space="preserve">Import Libraries</w:t>
            </w:r>
          </w:p>
        </w:tc>
        <w:tc>
          <w:tcPr>
            <w:tcW w:type="dxa" w:w="5750"/>
            <w:tcMar>
              <w:top w:type="dxa" w:w="100"/>
              <w:left w:type="dxa" w:w="120"/>
              <w:bottom w:type="dxa" w:w="100"/>
              <w:right w:type="dxa" w:w="120"/>
            </w:tcMar>
            <w:vAlign w:val="center"/>
          </w:tcPr>
          <w:p>
            <w:r>
              <w:rPr>
                <w:b w:val="false"/>
                <w:bCs w:val="false"/>
                <w:color w:val="000000"/>
                <w:sz w:val="20"/>
                <w:szCs w:val="20"/>
              </w:rPr>
              <w:t xml:space="preserve">Load Pandas, NumPy, Matplotlib, and Seaborn into the working environment.</w:t>
            </w:r>
          </w:p>
        </w:tc>
      </w:tr>
      <w:tr>
        <w:tc>
          <w:tcPr>
            <w:tcW w:type="dxa" w:w="800"/>
            <w:shd w:fill="F2F2F2" w:val="clear"/>
            <w:tcMar>
              <w:top w:type="dxa" w:w="100"/>
              <w:left w:type="dxa" w:w="120"/>
              <w:bottom w:type="dxa" w:w="100"/>
              <w:right w:type="dxa" w:w="120"/>
            </w:tcMar>
            <w:vAlign w:val="center"/>
          </w:tcPr>
          <w:p>
            <w:r>
              <w:rPr>
                <w:b w:val="false"/>
                <w:bCs w:val="false"/>
                <w:color w:val="000000"/>
                <w:sz w:val="20"/>
                <w:szCs w:val="20"/>
              </w:rPr>
              <w:t xml:space="preserve">4</w:t>
            </w:r>
          </w:p>
        </w:tc>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Load Dataset</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Read the CSV file into a Pandas DataFrame.</w:t>
            </w:r>
          </w:p>
        </w:tc>
      </w:tr>
      <w:tr>
        <w:tc>
          <w:tcPr>
            <w:tcW w:type="dxa" w:w="800"/>
            <w:tcMar>
              <w:top w:type="dxa" w:w="100"/>
              <w:left w:type="dxa" w:w="120"/>
              <w:bottom w:type="dxa" w:w="100"/>
              <w:right w:type="dxa" w:w="120"/>
            </w:tcMar>
            <w:vAlign w:val="center"/>
          </w:tcPr>
          <w:p>
            <w:r>
              <w:rPr>
                <w:b w:val="false"/>
                <w:bCs w:val="false"/>
                <w:color w:val="000000"/>
                <w:sz w:val="20"/>
                <w:szCs w:val="20"/>
              </w:rPr>
              <w:t xml:space="preserve">5</w:t>
            </w:r>
          </w:p>
        </w:tc>
        <w:tc>
          <w:tcPr>
            <w:tcW w:type="dxa" w:w="2800"/>
            <w:tcMar>
              <w:top w:type="dxa" w:w="100"/>
              <w:left w:type="dxa" w:w="120"/>
              <w:bottom w:type="dxa" w:w="100"/>
              <w:right w:type="dxa" w:w="120"/>
            </w:tcMar>
            <w:vAlign w:val="center"/>
          </w:tcPr>
          <w:p>
            <w:r>
              <w:rPr>
                <w:b w:val="false"/>
                <w:bCs w:val="false"/>
                <w:color w:val="000000"/>
                <w:sz w:val="20"/>
                <w:szCs w:val="20"/>
              </w:rPr>
              <w:t xml:space="preserve">Data Exploration</w:t>
            </w:r>
          </w:p>
        </w:tc>
        <w:tc>
          <w:tcPr>
            <w:tcW w:type="dxa" w:w="5750"/>
            <w:tcMar>
              <w:top w:type="dxa" w:w="100"/>
              <w:left w:type="dxa" w:w="120"/>
              <w:bottom w:type="dxa" w:w="100"/>
              <w:right w:type="dxa" w:w="120"/>
            </w:tcMar>
            <w:vAlign w:val="center"/>
          </w:tcPr>
          <w:p>
            <w:r>
              <w:rPr>
                <w:b w:val="false"/>
                <w:bCs w:val="false"/>
                <w:color w:val="000000"/>
                <w:sz w:val="20"/>
                <w:szCs w:val="20"/>
              </w:rPr>
              <w:t xml:space="preserve">Use functions like head(), info(), and describe() to understand the data.</w:t>
            </w:r>
          </w:p>
        </w:tc>
      </w:tr>
      <w:tr>
        <w:tc>
          <w:tcPr>
            <w:tcW w:type="dxa" w:w="800"/>
            <w:shd w:fill="F2F2F2" w:val="clear"/>
            <w:tcMar>
              <w:top w:type="dxa" w:w="100"/>
              <w:left w:type="dxa" w:w="120"/>
              <w:bottom w:type="dxa" w:w="100"/>
              <w:right w:type="dxa" w:w="120"/>
            </w:tcMar>
            <w:vAlign w:val="center"/>
          </w:tcPr>
          <w:p>
            <w:r>
              <w:rPr>
                <w:b w:val="false"/>
                <w:bCs w:val="false"/>
                <w:color w:val="000000"/>
                <w:sz w:val="20"/>
                <w:szCs w:val="20"/>
              </w:rPr>
              <w:t xml:space="preserve">6</w:t>
            </w:r>
          </w:p>
        </w:tc>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Data Cleaning</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Handle missing values, fix data-entry errors, and correct data types.</w:t>
            </w:r>
          </w:p>
        </w:tc>
      </w:tr>
      <w:tr>
        <w:tc>
          <w:tcPr>
            <w:tcW w:type="dxa" w:w="800"/>
            <w:tcMar>
              <w:top w:type="dxa" w:w="100"/>
              <w:left w:type="dxa" w:w="120"/>
              <w:bottom w:type="dxa" w:w="100"/>
              <w:right w:type="dxa" w:w="120"/>
            </w:tcMar>
            <w:vAlign w:val="center"/>
          </w:tcPr>
          <w:p>
            <w:r>
              <w:rPr>
                <w:b w:val="false"/>
                <w:bCs w:val="false"/>
                <w:color w:val="000000"/>
                <w:sz w:val="20"/>
                <w:szCs w:val="20"/>
              </w:rPr>
              <w:t xml:space="preserve">7</w:t>
            </w:r>
          </w:p>
        </w:tc>
        <w:tc>
          <w:tcPr>
            <w:tcW w:type="dxa" w:w="2800"/>
            <w:tcMar>
              <w:top w:type="dxa" w:w="100"/>
              <w:left w:type="dxa" w:w="120"/>
              <w:bottom w:type="dxa" w:w="100"/>
              <w:right w:type="dxa" w:w="120"/>
            </w:tcMar>
            <w:vAlign w:val="center"/>
          </w:tcPr>
          <w:p>
            <w:r>
              <w:rPr>
                <w:b w:val="false"/>
                <w:bCs w:val="false"/>
                <w:color w:val="000000"/>
                <w:sz w:val="20"/>
                <w:szCs w:val="20"/>
              </w:rPr>
              <w:t xml:space="preserve">Exploratory Data Analysis</w:t>
            </w:r>
          </w:p>
        </w:tc>
        <w:tc>
          <w:tcPr>
            <w:tcW w:type="dxa" w:w="5750"/>
            <w:tcMar>
              <w:top w:type="dxa" w:w="100"/>
              <w:left w:type="dxa" w:w="120"/>
              <w:bottom w:type="dxa" w:w="100"/>
              <w:right w:type="dxa" w:w="120"/>
            </w:tcMar>
            <w:vAlign w:val="center"/>
          </w:tcPr>
          <w:p>
            <w:r>
              <w:rPr>
                <w:b w:val="false"/>
                <w:bCs w:val="false"/>
                <w:color w:val="000000"/>
                <w:sz w:val="20"/>
                <w:szCs w:val="20"/>
              </w:rPr>
              <w:t xml:space="preserve">Study the dataset in depth using statistics and grouping.</w:t>
            </w:r>
          </w:p>
        </w:tc>
      </w:tr>
      <w:tr>
        <w:tc>
          <w:tcPr>
            <w:tcW w:type="dxa" w:w="800"/>
            <w:shd w:fill="F2F2F2" w:val="clear"/>
            <w:tcMar>
              <w:top w:type="dxa" w:w="100"/>
              <w:left w:type="dxa" w:w="120"/>
              <w:bottom w:type="dxa" w:w="100"/>
              <w:right w:type="dxa" w:w="120"/>
            </w:tcMar>
            <w:vAlign w:val="center"/>
          </w:tcPr>
          <w:p>
            <w:r>
              <w:rPr>
                <w:b w:val="false"/>
                <w:bCs w:val="false"/>
                <w:color w:val="000000"/>
                <w:sz w:val="20"/>
                <w:szCs w:val="20"/>
              </w:rPr>
              <w:t xml:space="preserve">8</w:t>
            </w:r>
          </w:p>
        </w:tc>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Univariate Analysis</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Examine one column at a time (e.g., how many Movies vs TV Shows).</w:t>
            </w:r>
          </w:p>
        </w:tc>
      </w:tr>
      <w:tr>
        <w:tc>
          <w:tcPr>
            <w:tcW w:type="dxa" w:w="800"/>
            <w:tcMar>
              <w:top w:type="dxa" w:w="100"/>
              <w:left w:type="dxa" w:w="120"/>
              <w:bottom w:type="dxa" w:w="100"/>
              <w:right w:type="dxa" w:w="120"/>
            </w:tcMar>
            <w:vAlign w:val="center"/>
          </w:tcPr>
          <w:p>
            <w:r>
              <w:rPr>
                <w:b w:val="false"/>
                <w:bCs w:val="false"/>
                <w:color w:val="000000"/>
                <w:sz w:val="20"/>
                <w:szCs w:val="20"/>
              </w:rPr>
              <w:t xml:space="preserve">9</w:t>
            </w:r>
          </w:p>
        </w:tc>
        <w:tc>
          <w:tcPr>
            <w:tcW w:type="dxa" w:w="2800"/>
            <w:tcMar>
              <w:top w:type="dxa" w:w="100"/>
              <w:left w:type="dxa" w:w="120"/>
              <w:bottom w:type="dxa" w:w="100"/>
              <w:right w:type="dxa" w:w="120"/>
            </w:tcMar>
            <w:vAlign w:val="center"/>
          </w:tcPr>
          <w:p>
            <w:r>
              <w:rPr>
                <w:b w:val="false"/>
                <w:bCs w:val="false"/>
                <w:color w:val="000000"/>
                <w:sz w:val="20"/>
                <w:szCs w:val="20"/>
              </w:rPr>
              <w:t xml:space="preserve">Bivariate Analysis</w:t>
            </w:r>
          </w:p>
        </w:tc>
        <w:tc>
          <w:tcPr>
            <w:tcW w:type="dxa" w:w="5750"/>
            <w:tcMar>
              <w:top w:type="dxa" w:w="100"/>
              <w:left w:type="dxa" w:w="120"/>
              <w:bottom w:type="dxa" w:w="100"/>
              <w:right w:type="dxa" w:w="120"/>
            </w:tcMar>
            <w:vAlign w:val="center"/>
          </w:tcPr>
          <w:p>
            <w:r>
              <w:rPr>
                <w:b w:val="false"/>
                <w:bCs w:val="false"/>
                <w:color w:val="000000"/>
                <w:sz w:val="20"/>
                <w:szCs w:val="20"/>
              </w:rPr>
              <w:t xml:space="preserve">Compare two columns at a time (e.g., type vs country).</w:t>
            </w:r>
          </w:p>
        </w:tc>
      </w:tr>
      <w:tr>
        <w:tc>
          <w:tcPr>
            <w:tcW w:type="dxa" w:w="800"/>
            <w:shd w:fill="F2F2F2" w:val="clear"/>
            <w:tcMar>
              <w:top w:type="dxa" w:w="100"/>
              <w:left w:type="dxa" w:w="120"/>
              <w:bottom w:type="dxa" w:w="100"/>
              <w:right w:type="dxa" w:w="120"/>
            </w:tcMar>
            <w:vAlign w:val="center"/>
          </w:tcPr>
          <w:p>
            <w:r>
              <w:rPr>
                <w:b w:val="false"/>
                <w:bCs w:val="false"/>
                <w:color w:val="000000"/>
                <w:sz w:val="20"/>
                <w:szCs w:val="20"/>
              </w:rPr>
              <w:t xml:space="preserve">10</w:t>
            </w:r>
          </w:p>
        </w:tc>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Multivariate Analysis</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Study three or more variables together using pivot tables.</w:t>
            </w:r>
          </w:p>
        </w:tc>
      </w:tr>
      <w:tr>
        <w:tc>
          <w:tcPr>
            <w:tcW w:type="dxa" w:w="800"/>
            <w:tcMar>
              <w:top w:type="dxa" w:w="100"/>
              <w:left w:type="dxa" w:w="120"/>
              <w:bottom w:type="dxa" w:w="100"/>
              <w:right w:type="dxa" w:w="120"/>
            </w:tcMar>
            <w:vAlign w:val="center"/>
          </w:tcPr>
          <w:p>
            <w:r>
              <w:rPr>
                <w:b w:val="false"/>
                <w:bCs w:val="false"/>
                <w:color w:val="000000"/>
                <w:sz w:val="20"/>
                <w:szCs w:val="20"/>
              </w:rPr>
              <w:t xml:space="preserve">11</w:t>
            </w:r>
          </w:p>
        </w:tc>
        <w:tc>
          <w:tcPr>
            <w:tcW w:type="dxa" w:w="2800"/>
            <w:tcMar>
              <w:top w:type="dxa" w:w="100"/>
              <w:left w:type="dxa" w:w="120"/>
              <w:bottom w:type="dxa" w:w="100"/>
              <w:right w:type="dxa" w:w="120"/>
            </w:tcMar>
            <w:vAlign w:val="center"/>
          </w:tcPr>
          <w:p>
            <w:r>
              <w:rPr>
                <w:b w:val="false"/>
                <w:bCs w:val="false"/>
                <w:color w:val="000000"/>
                <w:sz w:val="20"/>
                <w:szCs w:val="20"/>
              </w:rPr>
              <w:t xml:space="preserve">Feature Engineering</w:t>
            </w:r>
          </w:p>
        </w:tc>
        <w:tc>
          <w:tcPr>
            <w:tcW w:type="dxa" w:w="5750"/>
            <w:tcMar>
              <w:top w:type="dxa" w:w="100"/>
              <w:left w:type="dxa" w:w="120"/>
              <w:bottom w:type="dxa" w:w="100"/>
              <w:right w:type="dxa" w:w="120"/>
            </w:tcMar>
            <w:vAlign w:val="center"/>
          </w:tcPr>
          <w:p>
            <w:r>
              <w:rPr>
                <w:b w:val="false"/>
                <w:bCs w:val="false"/>
                <w:color w:val="000000"/>
                <w:sz w:val="20"/>
                <w:szCs w:val="20"/>
              </w:rPr>
              <w:t xml:space="preserve">Create new, more useful columns from existing ones.</w:t>
            </w:r>
          </w:p>
        </w:tc>
      </w:tr>
      <w:tr>
        <w:tc>
          <w:tcPr>
            <w:tcW w:type="dxa" w:w="800"/>
            <w:shd w:fill="F2F2F2" w:val="clear"/>
            <w:tcMar>
              <w:top w:type="dxa" w:w="100"/>
              <w:left w:type="dxa" w:w="120"/>
              <w:bottom w:type="dxa" w:w="100"/>
              <w:right w:type="dxa" w:w="120"/>
            </w:tcMar>
            <w:vAlign w:val="center"/>
          </w:tcPr>
          <w:p>
            <w:r>
              <w:rPr>
                <w:b w:val="false"/>
                <w:bCs w:val="false"/>
                <w:color w:val="000000"/>
                <w:sz w:val="20"/>
                <w:szCs w:val="20"/>
              </w:rPr>
              <w:t xml:space="preserve">12</w:t>
            </w:r>
          </w:p>
        </w:tc>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Data Visualization</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Build charts that communicate the findings clearly.</w:t>
            </w:r>
          </w:p>
        </w:tc>
      </w:tr>
      <w:tr>
        <w:tc>
          <w:tcPr>
            <w:tcW w:type="dxa" w:w="800"/>
            <w:tcMar>
              <w:top w:type="dxa" w:w="100"/>
              <w:left w:type="dxa" w:w="120"/>
              <w:bottom w:type="dxa" w:w="100"/>
              <w:right w:type="dxa" w:w="120"/>
            </w:tcMar>
            <w:vAlign w:val="center"/>
          </w:tcPr>
          <w:p>
            <w:r>
              <w:rPr>
                <w:b w:val="false"/>
                <w:bCs w:val="false"/>
                <w:color w:val="000000"/>
                <w:sz w:val="20"/>
                <w:szCs w:val="20"/>
              </w:rPr>
              <w:t xml:space="preserve">13</w:t>
            </w:r>
          </w:p>
        </w:tc>
        <w:tc>
          <w:tcPr>
            <w:tcW w:type="dxa" w:w="2800"/>
            <w:tcMar>
              <w:top w:type="dxa" w:w="100"/>
              <w:left w:type="dxa" w:w="120"/>
              <w:bottom w:type="dxa" w:w="100"/>
              <w:right w:type="dxa" w:w="120"/>
            </w:tcMar>
            <w:vAlign w:val="center"/>
          </w:tcPr>
          <w:p>
            <w:r>
              <w:rPr>
                <w:b w:val="false"/>
                <w:bCs w:val="false"/>
                <w:color w:val="000000"/>
                <w:sz w:val="20"/>
                <w:szCs w:val="20"/>
              </w:rPr>
              <w:t xml:space="preserve">Business Insights</w:t>
            </w:r>
          </w:p>
        </w:tc>
        <w:tc>
          <w:tcPr>
            <w:tcW w:type="dxa" w:w="5750"/>
            <w:tcMar>
              <w:top w:type="dxa" w:w="100"/>
              <w:left w:type="dxa" w:w="120"/>
              <w:bottom w:type="dxa" w:w="100"/>
              <w:right w:type="dxa" w:w="120"/>
            </w:tcMar>
            <w:vAlign w:val="center"/>
          </w:tcPr>
          <w:p>
            <w:r>
              <w:rPr>
                <w:b w:val="false"/>
                <w:bCs w:val="false"/>
                <w:color w:val="000000"/>
                <w:sz w:val="20"/>
                <w:szCs w:val="20"/>
              </w:rPr>
              <w:t xml:space="preserve">Translate the numbers into plain-English takeaways.</w:t>
            </w:r>
          </w:p>
        </w:tc>
      </w:tr>
      <w:tr>
        <w:tc>
          <w:tcPr>
            <w:tcW w:type="dxa" w:w="800"/>
            <w:shd w:fill="F2F2F2" w:val="clear"/>
            <w:tcMar>
              <w:top w:type="dxa" w:w="100"/>
              <w:left w:type="dxa" w:w="120"/>
              <w:bottom w:type="dxa" w:w="100"/>
              <w:right w:type="dxa" w:w="120"/>
            </w:tcMar>
            <w:vAlign w:val="center"/>
          </w:tcPr>
          <w:p>
            <w:r>
              <w:rPr>
                <w:b w:val="false"/>
                <w:bCs w:val="false"/>
                <w:color w:val="000000"/>
                <w:sz w:val="20"/>
                <w:szCs w:val="20"/>
              </w:rPr>
              <w:t xml:space="preserve">14</w:t>
            </w:r>
          </w:p>
        </w:tc>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Recommendations</w:t>
            </w:r>
          </w:p>
        </w:tc>
        <w:tc>
          <w:tcPr>
            <w:tcW w:type="dxa" w:w="5750"/>
            <w:shd w:fill="F2F2F2" w:val="clear"/>
            <w:tcMar>
              <w:top w:type="dxa" w:w="100"/>
              <w:left w:type="dxa" w:w="120"/>
              <w:bottom w:type="dxa" w:w="100"/>
              <w:right w:type="dxa" w:w="120"/>
            </w:tcMar>
            <w:vAlign w:val="center"/>
          </w:tcPr>
          <w:p>
            <w:r>
              <w:rPr>
                <w:b w:val="false"/>
                <w:bCs w:val="false"/>
                <w:color w:val="000000"/>
                <w:sz w:val="20"/>
                <w:szCs w:val="20"/>
              </w:rPr>
              <w:t xml:space="preserve">Suggest practical next steps based on the insights.</w:t>
            </w:r>
          </w:p>
        </w:tc>
      </w:tr>
      <w:tr>
        <w:tc>
          <w:tcPr>
            <w:tcW w:type="dxa" w:w="800"/>
            <w:tcMar>
              <w:top w:type="dxa" w:w="100"/>
              <w:left w:type="dxa" w:w="120"/>
              <w:bottom w:type="dxa" w:w="100"/>
              <w:right w:type="dxa" w:w="120"/>
            </w:tcMar>
            <w:vAlign w:val="center"/>
          </w:tcPr>
          <w:p>
            <w:r>
              <w:rPr>
                <w:b w:val="false"/>
                <w:bCs w:val="false"/>
                <w:color w:val="000000"/>
                <w:sz w:val="20"/>
                <w:szCs w:val="20"/>
              </w:rPr>
              <w:t xml:space="preserve">15</w:t>
            </w:r>
          </w:p>
        </w:tc>
        <w:tc>
          <w:tcPr>
            <w:tcW w:type="dxa" w:w="2800"/>
            <w:tcMar>
              <w:top w:type="dxa" w:w="100"/>
              <w:left w:type="dxa" w:w="120"/>
              <w:bottom w:type="dxa" w:w="100"/>
              <w:right w:type="dxa" w:w="120"/>
            </w:tcMar>
            <w:vAlign w:val="center"/>
          </w:tcPr>
          <w:p>
            <w:r>
              <w:rPr>
                <w:b w:val="false"/>
                <w:bCs w:val="false"/>
                <w:color w:val="000000"/>
                <w:sz w:val="20"/>
                <w:szCs w:val="20"/>
              </w:rPr>
              <w:t xml:space="preserve">Conclusion</w:t>
            </w:r>
          </w:p>
        </w:tc>
        <w:tc>
          <w:tcPr>
            <w:tcW w:type="dxa" w:w="5750"/>
            <w:tcMar>
              <w:top w:type="dxa" w:w="100"/>
              <w:left w:type="dxa" w:w="120"/>
              <w:bottom w:type="dxa" w:w="100"/>
              <w:right w:type="dxa" w:w="120"/>
            </w:tcMar>
            <w:vAlign w:val="center"/>
          </w:tcPr>
          <w:p>
            <w:r>
              <w:rPr>
                <w:b w:val="false"/>
                <w:bCs w:val="false"/>
                <w:color w:val="000000"/>
                <w:sz w:val="20"/>
                <w:szCs w:val="20"/>
              </w:rPr>
              <w:t xml:space="preserve">Summarize what was learned from the entire project.</w:t>
            </w:r>
          </w:p>
        </w:tc>
      </w:tr>
    </w:tbl>
    <w:p>
      <w:r>
        <w:br w:type="page"/>
      </w:r>
    </w:p>
    <w:p>
      <w:pPr>
        <w:pStyle w:val="Heading1"/>
        <w:pBdr>
          <w:bottom w:val="single" w:color="E50914" w:sz="8" w:space="4"/>
        </w:pBdr>
        <w:spacing w:after="200" w:before="400"/>
      </w:pPr>
      <w:r>
        <w:rPr>
          <w:b/>
          <w:bCs/>
          <w:color w:val="221F1F"/>
          <w:sz w:val="32"/>
          <w:szCs w:val="32"/>
        </w:rPr>
        <w:t xml:space="preserve">10. Data Loading</w:t>
      </w:r>
    </w:p>
    <w:p>
      <w:pPr>
        <w:pStyle w:val="Heading3"/>
        <w:spacing w:after="100" w:before="200"/>
      </w:pPr>
      <w:r>
        <w:rPr>
          <w:b/>
          <w:bCs/>
          <w:color w:val="221F1F"/>
          <w:sz w:val="22"/>
          <w:szCs w:val="22"/>
        </w:rPr>
        <w:t xml:space="preserve">Importing Libraries</w:t>
      </w:r>
    </w:p>
    <w:p>
      <w:pPr>
        <w:spacing w:after="160" w:line="300"/>
        <w:jc w:val="both"/>
      </w:pPr>
      <w:r>
        <w:rPr>
          <w:b w:val="false"/>
          <w:bCs w:val="false"/>
          <w:i w:val="false"/>
          <w:iCs w:val="false"/>
          <w:color w:val="000000"/>
          <w:sz w:val="22"/>
          <w:szCs w:val="22"/>
        </w:rPr>
        <w:t xml:space="preserve">Before working with any data, the required Python libraries must be imported. This is done using the import keyword: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222222"/>
          <w:sz w:val="20"/>
          <w:szCs w:val="20"/>
        </w:rPr>
        <w:t xml:space="preserve">import pandas as pd</w:t>
      </w:r>
      <w:r>
        <w:rPr>
          <w:rFonts w:ascii="Consolas" w:cs="Consolas" w:eastAsia="Consolas" w:hAnsi="Consolas"/>
          <w:color w:val="222222"/>
          <w:sz w:val="20"/>
          <w:szCs w:val="20"/>
        </w:rPr>
        <w:br/>
        <w:t xml:space="preserve">import numpy as np</w:t>
      </w:r>
      <w:r>
        <w:rPr>
          <w:rFonts w:ascii="Consolas" w:cs="Consolas" w:eastAsia="Consolas" w:hAnsi="Consolas"/>
          <w:color w:val="222222"/>
          <w:sz w:val="20"/>
          <w:szCs w:val="20"/>
        </w:rPr>
        <w:br/>
        <w:t xml:space="preserve">import matplotlib.pyplot as plt</w:t>
      </w:r>
      <w:r>
        <w:rPr>
          <w:rFonts w:ascii="Consolas" w:cs="Consolas" w:eastAsia="Consolas" w:hAnsi="Consolas"/>
          <w:color w:val="222222"/>
          <w:sz w:val="20"/>
          <w:szCs w:val="20"/>
        </w:rPr>
        <w:br/>
        <w:t xml:space="preserve">import seaborn as sns</w:t>
      </w:r>
    </w:p>
    <w:p>
      <w:pPr>
        <w:pStyle w:val="Heading3"/>
        <w:spacing w:after="100" w:before="200"/>
      </w:pPr>
      <w:r>
        <w:rPr>
          <w:b/>
          <w:bCs/>
          <w:color w:val="221F1F"/>
          <w:sz w:val="22"/>
          <w:szCs w:val="22"/>
        </w:rPr>
        <w:t xml:space="preserve">Reading the Dataset</w:t>
      </w:r>
    </w:p>
    <w:p>
      <w:pPr>
        <w:spacing w:after="160" w:line="300"/>
        <w:jc w:val="both"/>
      </w:pPr>
      <w:r>
        <w:rPr>
          <w:b w:val="false"/>
          <w:bCs w:val="false"/>
          <w:i w:val="false"/>
          <w:iCs w:val="false"/>
          <w:color w:val="000000"/>
          <w:sz w:val="22"/>
          <w:szCs w:val="22"/>
        </w:rPr>
        <w:t xml:space="preserve">Pandas' read_csv() function is used to load the CSV file into a structured table called a DataFrame: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222222"/>
          <w:sz w:val="20"/>
          <w:szCs w:val="20"/>
        </w:rPr>
        <w:t xml:space="preserve">df = pd.read_csv("netflix_titles.csv")</w:t>
      </w:r>
    </w:p>
    <w:p>
      <w:pPr>
        <w:pStyle w:val="Heading3"/>
        <w:spacing w:after="100" w:before="200"/>
      </w:pPr>
      <w:r>
        <w:rPr>
          <w:b/>
          <w:bCs/>
          <w:color w:val="221F1F"/>
          <w:sz w:val="22"/>
          <w:szCs w:val="22"/>
        </w:rPr>
        <w:t xml:space="preserve">What Is a DataFrame?</w:t>
      </w:r>
    </w:p>
    <w:p>
      <w:pPr>
        <w:spacing w:after="160" w:line="300"/>
        <w:jc w:val="both"/>
      </w:pPr>
      <w:r>
        <w:rPr>
          <w:b w:val="false"/>
          <w:bCs w:val="false"/>
          <w:i w:val="false"/>
          <w:iCs w:val="false"/>
          <w:color w:val="000000"/>
          <w:sz w:val="22"/>
          <w:szCs w:val="22"/>
        </w:rPr>
        <w:t xml:space="preserve">A DataFrame is simply a table — like a spreadsheet — made up of rows and columns, where each column can hold a different type of data (numbers, text, or dates). It is the core structure used throughout Pandas.</w:t>
      </w:r>
    </w:p>
    <w:p>
      <w:pPr>
        <w:pStyle w:val="Heading3"/>
        <w:spacing w:after="100" w:before="200"/>
      </w:pPr>
      <w:r>
        <w:rPr>
          <w:b/>
          <w:bCs/>
          <w:color w:val="221F1F"/>
          <w:sz w:val="22"/>
          <w:szCs w:val="22"/>
        </w:rPr>
        <w:t xml:space="preserve">Displaying the Dataset</w:t>
      </w:r>
    </w:p>
    <w:p>
      <w:pPr>
        <w:spacing w:after="160" w:line="300"/>
        <w:jc w:val="both"/>
      </w:pPr>
      <w:r>
        <w:rPr>
          <w:b w:val="false"/>
          <w:bCs w:val="false"/>
          <w:i w:val="false"/>
          <w:iCs w:val="false"/>
          <w:color w:val="000000"/>
          <w:sz w:val="22"/>
          <w:szCs w:val="22"/>
        </w:rPr>
        <w:t xml:space="preserve">The df.head() function displays the first 5 rows of the dataset, which is a quick way to visually confirm the data loaded correctly: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222222"/>
          <w:sz w:val="20"/>
          <w:szCs w:val="20"/>
        </w:rPr>
        <w:t xml:space="preserve">df.head()</w:t>
      </w:r>
    </w:p>
    <w:p>
      <w:pPr>
        <w:pStyle w:val="Heading3"/>
        <w:spacing w:after="100" w:before="200"/>
      </w:pPr>
      <w:r>
        <w:rPr>
          <w:b/>
          <w:bCs/>
          <w:color w:val="221F1F"/>
          <w:sz w:val="22"/>
          <w:szCs w:val="22"/>
        </w:rPr>
        <w:t xml:space="preserve">Verifying Successful Loading</w:t>
      </w:r>
    </w:p>
    <w:p>
      <w:pPr>
        <w:spacing w:after="160" w:line="300"/>
        <w:jc w:val="both"/>
      </w:pPr>
      <w:r>
        <w:rPr>
          <w:b w:val="false"/>
          <w:bCs w:val="false"/>
          <w:i w:val="false"/>
          <w:iCs w:val="false"/>
          <w:color w:val="000000"/>
          <w:sz w:val="22"/>
          <w:szCs w:val="22"/>
        </w:rPr>
        <w:t xml:space="preserve">The dataset loaded successfully with 8,807 rows and 12 columns, which was confirmed using df.shape. This immediately tells us the size of the dataset we are working with.</w:t>
      </w:r>
    </w:p>
    <w:p>
      <w:r>
        <w:br w:type="page"/>
      </w:r>
    </w:p>
    <w:p>
      <w:pPr>
        <w:pStyle w:val="Heading1"/>
        <w:pBdr>
          <w:bottom w:val="single" w:color="E50914" w:sz="8" w:space="4"/>
        </w:pBdr>
        <w:spacing w:after="200" w:before="400"/>
      </w:pPr>
      <w:r>
        <w:rPr>
          <w:b/>
          <w:bCs/>
          <w:color w:val="221F1F"/>
          <w:sz w:val="32"/>
          <w:szCs w:val="32"/>
        </w:rPr>
        <w:t xml:space="preserve">11. Data Exploration</w:t>
      </w:r>
    </w:p>
    <w:p>
      <w:pPr>
        <w:spacing w:after="160" w:line="300"/>
        <w:jc w:val="both"/>
      </w:pPr>
      <w:r>
        <w:rPr>
          <w:b w:val="false"/>
          <w:bCs w:val="false"/>
          <w:i w:val="false"/>
          <w:iCs w:val="false"/>
          <w:color w:val="000000"/>
          <w:sz w:val="22"/>
          <w:szCs w:val="22"/>
        </w:rPr>
        <w:t xml:space="preserve">Before cleaning or analyzing the data, it is important to explore its structure. The table below explains each exploration function used, in beginner-friendly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550"/>
        <w:gridCol w:w="1300"/>
        <w:gridCol w:w="1900"/>
        <w:gridCol w:w="3300"/>
      </w:tblGrid>
      <w:tr>
        <w:trPr>
          <w:tblHeader/>
        </w:trPr>
        <w:tc>
          <w:tcPr>
            <w:tcW w:type="dxa" w:w="1300"/>
            <w:shd w:fill="E50914" w:val="clear"/>
            <w:tcMar>
              <w:top w:type="dxa" w:w="100"/>
              <w:left w:type="dxa" w:w="120"/>
              <w:bottom w:type="dxa" w:w="100"/>
              <w:right w:type="dxa" w:w="120"/>
            </w:tcMar>
            <w:vAlign w:val="center"/>
          </w:tcPr>
          <w:p>
            <w:r>
              <w:rPr>
                <w:b/>
                <w:bCs/>
                <w:color w:val="FFFFFF"/>
                <w:sz w:val="20"/>
                <w:szCs w:val="20"/>
              </w:rPr>
              <w:t xml:space="preserve">Function</w:t>
            </w:r>
          </w:p>
        </w:tc>
        <w:tc>
          <w:tcPr>
            <w:tcW w:type="dxa" w:w="1550"/>
            <w:shd w:fill="E50914" w:val="clear"/>
            <w:tcMar>
              <w:top w:type="dxa" w:w="100"/>
              <w:left w:type="dxa" w:w="120"/>
              <w:bottom w:type="dxa" w:w="100"/>
              <w:right w:type="dxa" w:w="120"/>
            </w:tcMar>
            <w:vAlign w:val="center"/>
          </w:tcPr>
          <w:p>
            <w:r>
              <w:rPr>
                <w:b/>
                <w:bCs/>
                <w:color w:val="FFFFFF"/>
                <w:sz w:val="20"/>
                <w:szCs w:val="20"/>
              </w:rPr>
              <w:t xml:space="preserve">Purpose</w:t>
            </w:r>
          </w:p>
        </w:tc>
        <w:tc>
          <w:tcPr>
            <w:tcW w:type="dxa" w:w="1300"/>
            <w:shd w:fill="E50914" w:val="clear"/>
            <w:tcMar>
              <w:top w:type="dxa" w:w="100"/>
              <w:left w:type="dxa" w:w="120"/>
              <w:bottom w:type="dxa" w:w="100"/>
              <w:right w:type="dxa" w:w="120"/>
            </w:tcMar>
            <w:vAlign w:val="center"/>
          </w:tcPr>
          <w:p>
            <w:r>
              <w:rPr>
                <w:b/>
                <w:bCs/>
                <w:color w:val="FFFFFF"/>
                <w:sz w:val="20"/>
                <w:szCs w:val="20"/>
              </w:rPr>
              <w:t xml:space="preserve">Syntax</w:t>
            </w:r>
          </w:p>
        </w:tc>
        <w:tc>
          <w:tcPr>
            <w:tcW w:type="dxa" w:w="1900"/>
            <w:shd w:fill="E50914" w:val="clear"/>
            <w:tcMar>
              <w:top w:type="dxa" w:w="100"/>
              <w:left w:type="dxa" w:w="120"/>
              <w:bottom w:type="dxa" w:w="100"/>
              <w:right w:type="dxa" w:w="120"/>
            </w:tcMar>
            <w:vAlign w:val="center"/>
          </w:tcPr>
          <w:p>
            <w:r>
              <w:rPr>
                <w:b/>
                <w:bCs/>
                <w:color w:val="FFFFFF"/>
                <w:sz w:val="20"/>
                <w:szCs w:val="20"/>
              </w:rPr>
              <w:t xml:space="preserve">Output</w:t>
            </w:r>
          </w:p>
        </w:tc>
        <w:tc>
          <w:tcPr>
            <w:tcW w:type="dxa" w:w="3300"/>
            <w:shd w:fill="E50914" w:val="clear"/>
            <w:tcMar>
              <w:top w:type="dxa" w:w="100"/>
              <w:left w:type="dxa" w:w="120"/>
              <w:bottom w:type="dxa" w:w="100"/>
              <w:right w:type="dxa" w:w="120"/>
            </w:tcMar>
            <w:vAlign w:val="center"/>
          </w:tcPr>
          <w:p>
            <w:r>
              <w:rPr>
                <w:b/>
                <w:bCs/>
                <w:color w:val="FFFFFF"/>
                <w:sz w:val="20"/>
                <w:szCs w:val="20"/>
              </w:rPr>
              <w:t xml:space="preserve">Business Interpretation</w:t>
            </w:r>
          </w:p>
        </w:tc>
      </w:tr>
      <w:tr>
        <w:tc>
          <w:tcPr>
            <w:tcW w:type="dxa" w:w="1300"/>
            <w:tcMar>
              <w:top w:type="dxa" w:w="100"/>
              <w:left w:type="dxa" w:w="120"/>
              <w:bottom w:type="dxa" w:w="100"/>
              <w:right w:type="dxa" w:w="120"/>
            </w:tcMar>
            <w:vAlign w:val="center"/>
          </w:tcPr>
          <w:p>
            <w:r>
              <w:rPr>
                <w:b w:val="false"/>
                <w:bCs w:val="false"/>
                <w:color w:val="000000"/>
                <w:sz w:val="20"/>
                <w:szCs w:val="20"/>
              </w:rPr>
              <w:t xml:space="preserve">df.head()</w:t>
            </w:r>
          </w:p>
        </w:tc>
        <w:tc>
          <w:tcPr>
            <w:tcW w:type="dxa" w:w="1550"/>
            <w:tcMar>
              <w:top w:type="dxa" w:w="100"/>
              <w:left w:type="dxa" w:w="120"/>
              <w:bottom w:type="dxa" w:w="100"/>
              <w:right w:type="dxa" w:w="120"/>
            </w:tcMar>
            <w:vAlign w:val="center"/>
          </w:tcPr>
          <w:p>
            <w:r>
              <w:rPr>
                <w:b w:val="false"/>
                <w:bCs w:val="false"/>
                <w:color w:val="000000"/>
                <w:sz w:val="20"/>
                <w:szCs w:val="20"/>
              </w:rPr>
              <w:t xml:space="preserve">Shows the first 5 rows of the dataset.</w:t>
            </w:r>
          </w:p>
        </w:tc>
        <w:tc>
          <w:tcPr>
            <w:tcW w:type="dxa" w:w="1300"/>
            <w:tcMar>
              <w:top w:type="dxa" w:w="100"/>
              <w:left w:type="dxa" w:w="120"/>
              <w:bottom w:type="dxa" w:w="100"/>
              <w:right w:type="dxa" w:w="120"/>
            </w:tcMar>
            <w:vAlign w:val="center"/>
          </w:tcPr>
          <w:p>
            <w:r>
              <w:rPr>
                <w:b w:val="false"/>
                <w:bCs w:val="false"/>
                <w:color w:val="000000"/>
                <w:sz w:val="20"/>
                <w:szCs w:val="20"/>
              </w:rPr>
              <w:t xml:space="preserve">df.head()</w:t>
            </w:r>
          </w:p>
        </w:tc>
        <w:tc>
          <w:tcPr>
            <w:tcW w:type="dxa" w:w="1900"/>
            <w:tcMar>
              <w:top w:type="dxa" w:w="100"/>
              <w:left w:type="dxa" w:w="120"/>
              <w:bottom w:type="dxa" w:w="100"/>
              <w:right w:type="dxa" w:w="120"/>
            </w:tcMar>
            <w:vAlign w:val="center"/>
          </w:tcPr>
          <w:p>
            <w:r>
              <w:rPr>
                <w:b w:val="false"/>
                <w:bCs w:val="false"/>
                <w:color w:val="000000"/>
                <w:sz w:val="20"/>
                <w:szCs w:val="20"/>
              </w:rPr>
              <w:t xml:space="preserve">A preview table of the first 5 titles.</w:t>
            </w:r>
          </w:p>
        </w:tc>
        <w:tc>
          <w:tcPr>
            <w:tcW w:type="dxa" w:w="3300"/>
            <w:tcMar>
              <w:top w:type="dxa" w:w="100"/>
              <w:left w:type="dxa" w:w="120"/>
              <w:bottom w:type="dxa" w:w="100"/>
              <w:right w:type="dxa" w:w="120"/>
            </w:tcMar>
            <w:vAlign w:val="center"/>
          </w:tcPr>
          <w:p>
            <w:r>
              <w:rPr>
                <w:b w:val="false"/>
                <w:bCs w:val="false"/>
                <w:color w:val="000000"/>
                <w:sz w:val="20"/>
                <w:szCs w:val="20"/>
              </w:rPr>
              <w:t xml:space="preserve">Confirms the data loaded correctly and shows what the raw data looks like.</w:t>
            </w:r>
          </w:p>
        </w:tc>
      </w:tr>
      <w:tr>
        <w:tc>
          <w:tcPr>
            <w:tcW w:type="dxa" w:w="1300"/>
            <w:shd w:fill="F2F2F2" w:val="clear"/>
            <w:tcMar>
              <w:top w:type="dxa" w:w="100"/>
              <w:left w:type="dxa" w:w="120"/>
              <w:bottom w:type="dxa" w:w="100"/>
              <w:right w:type="dxa" w:w="120"/>
            </w:tcMar>
            <w:vAlign w:val="center"/>
          </w:tcPr>
          <w:p>
            <w:r>
              <w:rPr>
                <w:b w:val="false"/>
                <w:bCs w:val="false"/>
                <w:color w:val="000000"/>
                <w:sz w:val="20"/>
                <w:szCs w:val="20"/>
              </w:rPr>
              <w:t xml:space="preserve">df.tail()</w:t>
            </w:r>
          </w:p>
        </w:tc>
        <w:tc>
          <w:tcPr>
            <w:tcW w:type="dxa" w:w="1550"/>
            <w:shd w:fill="F2F2F2" w:val="clear"/>
            <w:tcMar>
              <w:top w:type="dxa" w:w="100"/>
              <w:left w:type="dxa" w:w="120"/>
              <w:bottom w:type="dxa" w:w="100"/>
              <w:right w:type="dxa" w:w="120"/>
            </w:tcMar>
            <w:vAlign w:val="center"/>
          </w:tcPr>
          <w:p>
            <w:r>
              <w:rPr>
                <w:b w:val="false"/>
                <w:bCs w:val="false"/>
                <w:color w:val="000000"/>
                <w:sz w:val="20"/>
                <w:szCs w:val="20"/>
              </w:rPr>
              <w:t xml:space="preserve">Shows the last 5 rows of the dataset.</w:t>
            </w:r>
          </w:p>
        </w:tc>
        <w:tc>
          <w:tcPr>
            <w:tcW w:type="dxa" w:w="1300"/>
            <w:shd w:fill="F2F2F2" w:val="clear"/>
            <w:tcMar>
              <w:top w:type="dxa" w:w="100"/>
              <w:left w:type="dxa" w:w="120"/>
              <w:bottom w:type="dxa" w:w="100"/>
              <w:right w:type="dxa" w:w="120"/>
            </w:tcMar>
            <w:vAlign w:val="center"/>
          </w:tcPr>
          <w:p>
            <w:r>
              <w:rPr>
                <w:b w:val="false"/>
                <w:bCs w:val="false"/>
                <w:color w:val="000000"/>
                <w:sz w:val="20"/>
                <w:szCs w:val="20"/>
              </w:rPr>
              <w:t xml:space="preserve">df.tail()</w:t>
            </w:r>
          </w:p>
        </w:tc>
        <w:tc>
          <w:tcPr>
            <w:tcW w:type="dxa" w:w="1900"/>
            <w:shd w:fill="F2F2F2" w:val="clear"/>
            <w:tcMar>
              <w:top w:type="dxa" w:w="100"/>
              <w:left w:type="dxa" w:w="120"/>
              <w:bottom w:type="dxa" w:w="100"/>
              <w:right w:type="dxa" w:w="120"/>
            </w:tcMar>
            <w:vAlign w:val="center"/>
          </w:tcPr>
          <w:p>
            <w:r>
              <w:rPr>
                <w:b w:val="false"/>
                <w:bCs w:val="false"/>
                <w:color w:val="000000"/>
                <w:sz w:val="20"/>
                <w:szCs w:val="20"/>
              </w:rPr>
              <w:t xml:space="preserve">A preview table of the last 5 titles.</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Useful to check if data was cut off or loaded incompletely.</w:t>
            </w:r>
          </w:p>
        </w:tc>
      </w:tr>
      <w:tr>
        <w:tc>
          <w:tcPr>
            <w:tcW w:type="dxa" w:w="1300"/>
            <w:tcMar>
              <w:top w:type="dxa" w:w="100"/>
              <w:left w:type="dxa" w:w="120"/>
              <w:bottom w:type="dxa" w:w="100"/>
              <w:right w:type="dxa" w:w="120"/>
            </w:tcMar>
            <w:vAlign w:val="center"/>
          </w:tcPr>
          <w:p>
            <w:r>
              <w:rPr>
                <w:b w:val="false"/>
                <w:bCs w:val="false"/>
                <w:color w:val="000000"/>
                <w:sz w:val="20"/>
                <w:szCs w:val="20"/>
              </w:rPr>
              <w:t xml:space="preserve">df.shape</w:t>
            </w:r>
          </w:p>
        </w:tc>
        <w:tc>
          <w:tcPr>
            <w:tcW w:type="dxa" w:w="1550"/>
            <w:tcMar>
              <w:top w:type="dxa" w:w="100"/>
              <w:left w:type="dxa" w:w="120"/>
              <w:bottom w:type="dxa" w:w="100"/>
              <w:right w:type="dxa" w:w="120"/>
            </w:tcMar>
            <w:vAlign w:val="center"/>
          </w:tcPr>
          <w:p>
            <w:r>
              <w:rPr>
                <w:b w:val="false"/>
                <w:bCs w:val="false"/>
                <w:color w:val="000000"/>
                <w:sz w:val="20"/>
                <w:szCs w:val="20"/>
              </w:rPr>
              <w:t xml:space="preserve">Returns the number of rows and columns.</w:t>
            </w:r>
          </w:p>
        </w:tc>
        <w:tc>
          <w:tcPr>
            <w:tcW w:type="dxa" w:w="1300"/>
            <w:tcMar>
              <w:top w:type="dxa" w:w="100"/>
              <w:left w:type="dxa" w:w="120"/>
              <w:bottom w:type="dxa" w:w="100"/>
              <w:right w:type="dxa" w:w="120"/>
            </w:tcMar>
            <w:vAlign w:val="center"/>
          </w:tcPr>
          <w:p>
            <w:r>
              <w:rPr>
                <w:b w:val="false"/>
                <w:bCs w:val="false"/>
                <w:color w:val="000000"/>
                <w:sz w:val="20"/>
                <w:szCs w:val="20"/>
              </w:rPr>
              <w:t xml:space="preserve">df.shape</w:t>
            </w:r>
          </w:p>
        </w:tc>
        <w:tc>
          <w:tcPr>
            <w:tcW w:type="dxa" w:w="1900"/>
            <w:tcMar>
              <w:top w:type="dxa" w:w="100"/>
              <w:left w:type="dxa" w:w="120"/>
              <w:bottom w:type="dxa" w:w="100"/>
              <w:right w:type="dxa" w:w="120"/>
            </w:tcMar>
            <w:vAlign w:val="center"/>
          </w:tcPr>
          <w:p>
            <w:r>
              <w:rPr>
                <w:b w:val="false"/>
                <w:bCs w:val="false"/>
                <w:color w:val="000000"/>
                <w:sz w:val="20"/>
                <w:szCs w:val="20"/>
              </w:rPr>
              <w:t xml:space="preserve">(8807, 12)</w:t>
            </w:r>
          </w:p>
        </w:tc>
        <w:tc>
          <w:tcPr>
            <w:tcW w:type="dxa" w:w="3300"/>
            <w:tcMar>
              <w:top w:type="dxa" w:w="100"/>
              <w:left w:type="dxa" w:w="120"/>
              <w:bottom w:type="dxa" w:w="100"/>
              <w:right w:type="dxa" w:w="120"/>
            </w:tcMar>
            <w:vAlign w:val="center"/>
          </w:tcPr>
          <w:p>
            <w:r>
              <w:rPr>
                <w:b w:val="false"/>
                <w:bCs w:val="false"/>
                <w:color w:val="000000"/>
                <w:sz w:val="20"/>
                <w:szCs w:val="20"/>
              </w:rPr>
              <w:t xml:space="preserve">Tells us the dataset size: 8,807 titles across 12 attributes.</w:t>
            </w:r>
          </w:p>
        </w:tc>
      </w:tr>
      <w:tr>
        <w:tc>
          <w:tcPr>
            <w:tcW w:type="dxa" w:w="1300"/>
            <w:shd w:fill="F2F2F2" w:val="clear"/>
            <w:tcMar>
              <w:top w:type="dxa" w:w="100"/>
              <w:left w:type="dxa" w:w="120"/>
              <w:bottom w:type="dxa" w:w="100"/>
              <w:right w:type="dxa" w:w="120"/>
            </w:tcMar>
            <w:vAlign w:val="center"/>
          </w:tcPr>
          <w:p>
            <w:r>
              <w:rPr>
                <w:b w:val="false"/>
                <w:bCs w:val="false"/>
                <w:color w:val="000000"/>
                <w:sz w:val="20"/>
                <w:szCs w:val="20"/>
              </w:rPr>
              <w:t xml:space="preserve">df.columns</w:t>
            </w:r>
          </w:p>
        </w:tc>
        <w:tc>
          <w:tcPr>
            <w:tcW w:type="dxa" w:w="1550"/>
            <w:shd w:fill="F2F2F2" w:val="clear"/>
            <w:tcMar>
              <w:top w:type="dxa" w:w="100"/>
              <w:left w:type="dxa" w:w="120"/>
              <w:bottom w:type="dxa" w:w="100"/>
              <w:right w:type="dxa" w:w="120"/>
            </w:tcMar>
            <w:vAlign w:val="center"/>
          </w:tcPr>
          <w:p>
            <w:r>
              <w:rPr>
                <w:b w:val="false"/>
                <w:bCs w:val="false"/>
                <w:color w:val="000000"/>
                <w:sz w:val="20"/>
                <w:szCs w:val="20"/>
              </w:rPr>
              <w:t xml:space="preserve">Lists all column names.</w:t>
            </w:r>
          </w:p>
        </w:tc>
        <w:tc>
          <w:tcPr>
            <w:tcW w:type="dxa" w:w="1300"/>
            <w:shd w:fill="F2F2F2" w:val="clear"/>
            <w:tcMar>
              <w:top w:type="dxa" w:w="100"/>
              <w:left w:type="dxa" w:w="120"/>
              <w:bottom w:type="dxa" w:w="100"/>
              <w:right w:type="dxa" w:w="120"/>
            </w:tcMar>
            <w:vAlign w:val="center"/>
          </w:tcPr>
          <w:p>
            <w:r>
              <w:rPr>
                <w:b w:val="false"/>
                <w:bCs w:val="false"/>
                <w:color w:val="000000"/>
                <w:sz w:val="20"/>
                <w:szCs w:val="20"/>
              </w:rPr>
              <w:t xml:space="preserve">df.columns</w:t>
            </w:r>
          </w:p>
        </w:tc>
        <w:tc>
          <w:tcPr>
            <w:tcW w:type="dxa" w:w="1900"/>
            <w:shd w:fill="F2F2F2" w:val="clear"/>
            <w:tcMar>
              <w:top w:type="dxa" w:w="100"/>
              <w:left w:type="dxa" w:w="120"/>
              <w:bottom w:type="dxa" w:w="100"/>
              <w:right w:type="dxa" w:w="120"/>
            </w:tcMar>
            <w:vAlign w:val="center"/>
          </w:tcPr>
          <w:p>
            <w:r>
              <w:rPr>
                <w:b w:val="false"/>
                <w:bCs w:val="false"/>
                <w:color w:val="000000"/>
                <w:sz w:val="20"/>
                <w:szCs w:val="20"/>
              </w:rPr>
              <w:t xml:space="preserve">Index of 12 column names.</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Confirms exactly what information is available for analysis.</w:t>
            </w:r>
          </w:p>
        </w:tc>
      </w:tr>
      <w:tr>
        <w:tc>
          <w:tcPr>
            <w:tcW w:type="dxa" w:w="1300"/>
            <w:tcMar>
              <w:top w:type="dxa" w:w="100"/>
              <w:left w:type="dxa" w:w="120"/>
              <w:bottom w:type="dxa" w:w="100"/>
              <w:right w:type="dxa" w:w="120"/>
            </w:tcMar>
            <w:vAlign w:val="center"/>
          </w:tcPr>
          <w:p>
            <w:r>
              <w:rPr>
                <w:b w:val="false"/>
                <w:bCs w:val="false"/>
                <w:color w:val="000000"/>
                <w:sz w:val="20"/>
                <w:szCs w:val="20"/>
              </w:rPr>
              <w:t xml:space="preserve">df.dtypes</w:t>
            </w:r>
          </w:p>
        </w:tc>
        <w:tc>
          <w:tcPr>
            <w:tcW w:type="dxa" w:w="1550"/>
            <w:tcMar>
              <w:top w:type="dxa" w:w="100"/>
              <w:left w:type="dxa" w:w="120"/>
              <w:bottom w:type="dxa" w:w="100"/>
              <w:right w:type="dxa" w:w="120"/>
            </w:tcMar>
            <w:vAlign w:val="center"/>
          </w:tcPr>
          <w:p>
            <w:r>
              <w:rPr>
                <w:b w:val="false"/>
                <w:bCs w:val="false"/>
                <w:color w:val="000000"/>
                <w:sz w:val="20"/>
                <w:szCs w:val="20"/>
              </w:rPr>
              <w:t xml:space="preserve">Shows the data type of every column.</w:t>
            </w:r>
          </w:p>
        </w:tc>
        <w:tc>
          <w:tcPr>
            <w:tcW w:type="dxa" w:w="1300"/>
            <w:tcMar>
              <w:top w:type="dxa" w:w="100"/>
              <w:left w:type="dxa" w:w="120"/>
              <w:bottom w:type="dxa" w:w="100"/>
              <w:right w:type="dxa" w:w="120"/>
            </w:tcMar>
            <w:vAlign w:val="center"/>
          </w:tcPr>
          <w:p>
            <w:r>
              <w:rPr>
                <w:b w:val="false"/>
                <w:bCs w:val="false"/>
                <w:color w:val="000000"/>
                <w:sz w:val="20"/>
                <w:szCs w:val="20"/>
              </w:rPr>
              <w:t xml:space="preserve">df.dtypes</w:t>
            </w:r>
          </w:p>
        </w:tc>
        <w:tc>
          <w:tcPr>
            <w:tcW w:type="dxa" w:w="1900"/>
            <w:tcMar>
              <w:top w:type="dxa" w:w="100"/>
              <w:left w:type="dxa" w:w="120"/>
              <w:bottom w:type="dxa" w:w="100"/>
              <w:right w:type="dxa" w:w="120"/>
            </w:tcMar>
            <w:vAlign w:val="center"/>
          </w:tcPr>
          <w:p>
            <w:r>
              <w:rPr>
                <w:b w:val="false"/>
                <w:bCs w:val="false"/>
                <w:color w:val="000000"/>
                <w:sz w:val="20"/>
                <w:szCs w:val="20"/>
              </w:rPr>
              <w:t xml:space="preserve">Mostly "object" (text) except release_year (integer).</w:t>
            </w:r>
          </w:p>
        </w:tc>
        <w:tc>
          <w:tcPr>
            <w:tcW w:type="dxa" w:w="3300"/>
            <w:tcMar>
              <w:top w:type="dxa" w:w="100"/>
              <w:left w:type="dxa" w:w="120"/>
              <w:bottom w:type="dxa" w:w="100"/>
              <w:right w:type="dxa" w:w="120"/>
            </w:tcMar>
            <w:vAlign w:val="center"/>
          </w:tcPr>
          <w:p>
            <w:r>
              <w:rPr>
                <w:b w:val="false"/>
                <w:bCs w:val="false"/>
                <w:color w:val="000000"/>
                <w:sz w:val="20"/>
                <w:szCs w:val="20"/>
              </w:rPr>
              <w:t xml:space="preserve">Reveals that dates and durations are stored as text, not proper date/number types — a cleaning task.</w:t>
            </w:r>
          </w:p>
        </w:tc>
      </w:tr>
      <w:tr>
        <w:tc>
          <w:tcPr>
            <w:tcW w:type="dxa" w:w="1300"/>
            <w:shd w:fill="F2F2F2" w:val="clear"/>
            <w:tcMar>
              <w:top w:type="dxa" w:w="100"/>
              <w:left w:type="dxa" w:w="120"/>
              <w:bottom w:type="dxa" w:w="100"/>
              <w:right w:type="dxa" w:w="120"/>
            </w:tcMar>
            <w:vAlign w:val="center"/>
          </w:tcPr>
          <w:p>
            <w:r>
              <w:rPr>
                <w:b w:val="false"/>
                <w:bCs w:val="false"/>
                <w:color w:val="000000"/>
                <w:sz w:val="20"/>
                <w:szCs w:val="20"/>
              </w:rPr>
              <w:t xml:space="preserve">df.info()</w:t>
            </w:r>
          </w:p>
        </w:tc>
        <w:tc>
          <w:tcPr>
            <w:tcW w:type="dxa" w:w="1550"/>
            <w:shd w:fill="F2F2F2" w:val="clear"/>
            <w:tcMar>
              <w:top w:type="dxa" w:w="100"/>
              <w:left w:type="dxa" w:w="120"/>
              <w:bottom w:type="dxa" w:w="100"/>
              <w:right w:type="dxa" w:w="120"/>
            </w:tcMar>
            <w:vAlign w:val="center"/>
          </w:tcPr>
          <w:p>
            <w:r>
              <w:rPr>
                <w:b w:val="false"/>
                <w:bCs w:val="false"/>
                <w:color w:val="000000"/>
                <w:sz w:val="20"/>
                <w:szCs w:val="20"/>
              </w:rPr>
              <w:t xml:space="preserve">Summarizes column types and non-null counts in one view.</w:t>
            </w:r>
          </w:p>
        </w:tc>
        <w:tc>
          <w:tcPr>
            <w:tcW w:type="dxa" w:w="1300"/>
            <w:shd w:fill="F2F2F2" w:val="clear"/>
            <w:tcMar>
              <w:top w:type="dxa" w:w="100"/>
              <w:left w:type="dxa" w:w="120"/>
              <w:bottom w:type="dxa" w:w="100"/>
              <w:right w:type="dxa" w:w="120"/>
            </w:tcMar>
            <w:vAlign w:val="center"/>
          </w:tcPr>
          <w:p>
            <w:r>
              <w:rPr>
                <w:b w:val="false"/>
                <w:bCs w:val="false"/>
                <w:color w:val="000000"/>
                <w:sz w:val="20"/>
                <w:szCs w:val="20"/>
              </w:rPr>
              <w:t xml:space="preserve">df.info()</w:t>
            </w:r>
          </w:p>
        </w:tc>
        <w:tc>
          <w:tcPr>
            <w:tcW w:type="dxa" w:w="1900"/>
            <w:shd w:fill="F2F2F2" w:val="clear"/>
            <w:tcMar>
              <w:top w:type="dxa" w:w="100"/>
              <w:left w:type="dxa" w:w="120"/>
              <w:bottom w:type="dxa" w:w="100"/>
              <w:right w:type="dxa" w:w="120"/>
            </w:tcMar>
            <w:vAlign w:val="center"/>
          </w:tcPr>
          <w:p>
            <w:r>
              <w:rPr>
                <w:b w:val="false"/>
                <w:bCs w:val="false"/>
                <w:color w:val="000000"/>
                <w:sz w:val="20"/>
                <w:szCs w:val="20"/>
              </w:rPr>
              <w:t xml:space="preserve">A compact summary table.</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Quickly reveals which columns have missing data (e.g., director, cast, country).</w:t>
            </w:r>
          </w:p>
        </w:tc>
      </w:tr>
      <w:tr>
        <w:tc>
          <w:tcPr>
            <w:tcW w:type="dxa" w:w="1300"/>
            <w:tcMar>
              <w:top w:type="dxa" w:w="100"/>
              <w:left w:type="dxa" w:w="120"/>
              <w:bottom w:type="dxa" w:w="100"/>
              <w:right w:type="dxa" w:w="120"/>
            </w:tcMar>
            <w:vAlign w:val="center"/>
          </w:tcPr>
          <w:p>
            <w:r>
              <w:rPr>
                <w:b w:val="false"/>
                <w:bCs w:val="false"/>
                <w:color w:val="000000"/>
                <w:sz w:val="20"/>
                <w:szCs w:val="20"/>
              </w:rPr>
              <w:t xml:space="preserve">df.describe()</w:t>
            </w:r>
          </w:p>
        </w:tc>
        <w:tc>
          <w:tcPr>
            <w:tcW w:type="dxa" w:w="1550"/>
            <w:tcMar>
              <w:top w:type="dxa" w:w="100"/>
              <w:left w:type="dxa" w:w="120"/>
              <w:bottom w:type="dxa" w:w="100"/>
              <w:right w:type="dxa" w:w="120"/>
            </w:tcMar>
            <w:vAlign w:val="center"/>
          </w:tcPr>
          <w:p>
            <w:r>
              <w:rPr>
                <w:b w:val="false"/>
                <w:bCs w:val="false"/>
                <w:color w:val="000000"/>
                <w:sz w:val="20"/>
                <w:szCs w:val="20"/>
              </w:rPr>
              <w:t xml:space="preserve">Generates summary statistics for numerical columns.</w:t>
            </w:r>
          </w:p>
        </w:tc>
        <w:tc>
          <w:tcPr>
            <w:tcW w:type="dxa" w:w="1300"/>
            <w:tcMar>
              <w:top w:type="dxa" w:w="100"/>
              <w:left w:type="dxa" w:w="120"/>
              <w:bottom w:type="dxa" w:w="100"/>
              <w:right w:type="dxa" w:w="120"/>
            </w:tcMar>
            <w:vAlign w:val="center"/>
          </w:tcPr>
          <w:p>
            <w:r>
              <w:rPr>
                <w:b w:val="false"/>
                <w:bCs w:val="false"/>
                <w:color w:val="000000"/>
                <w:sz w:val="20"/>
                <w:szCs w:val="20"/>
              </w:rPr>
              <w:t xml:space="preserve">df.describe()</w:t>
            </w:r>
          </w:p>
        </w:tc>
        <w:tc>
          <w:tcPr>
            <w:tcW w:type="dxa" w:w="1900"/>
            <w:tcMar>
              <w:top w:type="dxa" w:w="100"/>
              <w:left w:type="dxa" w:w="120"/>
              <w:bottom w:type="dxa" w:w="100"/>
              <w:right w:type="dxa" w:w="120"/>
            </w:tcMar>
            <w:vAlign w:val="center"/>
          </w:tcPr>
          <w:p>
            <w:r>
              <w:rPr>
                <w:b w:val="false"/>
                <w:bCs w:val="false"/>
                <w:color w:val="000000"/>
                <w:sz w:val="20"/>
                <w:szCs w:val="20"/>
              </w:rPr>
              <w:t xml:space="preserve">Count, mean, std, min, quartiles, max for release_year.</w:t>
            </w:r>
          </w:p>
        </w:tc>
        <w:tc>
          <w:tcPr>
            <w:tcW w:type="dxa" w:w="3300"/>
            <w:tcMar>
              <w:top w:type="dxa" w:w="100"/>
              <w:left w:type="dxa" w:w="120"/>
              <w:bottom w:type="dxa" w:w="100"/>
              <w:right w:type="dxa" w:w="120"/>
            </w:tcMar>
            <w:vAlign w:val="center"/>
          </w:tcPr>
          <w:p>
            <w:r>
              <w:rPr>
                <w:b w:val="false"/>
                <w:bCs w:val="false"/>
                <w:color w:val="000000"/>
                <w:sz w:val="20"/>
                <w:szCs w:val="20"/>
              </w:rPr>
              <w:t xml:space="preserve">Shows that titles range from 1925 to 2021, with most content from recent years (median 2017).</w:t>
            </w:r>
          </w:p>
        </w:tc>
      </w:tr>
    </w:tbl>
    <w:p>
      <w:r>
        <w:br w:type="page"/>
      </w:r>
    </w:p>
    <w:p>
      <w:pPr>
        <w:pStyle w:val="Heading1"/>
        <w:pBdr>
          <w:bottom w:val="single" w:color="E50914" w:sz="8" w:space="4"/>
        </w:pBdr>
        <w:spacing w:after="200" w:before="400"/>
      </w:pPr>
      <w:r>
        <w:rPr>
          <w:b/>
          <w:bCs/>
          <w:color w:val="221F1F"/>
          <w:sz w:val="32"/>
          <w:szCs w:val="32"/>
        </w:rPr>
        <w:t xml:space="preserve">12. Data Cleaning</w:t>
      </w:r>
    </w:p>
    <w:p>
      <w:pPr>
        <w:pStyle w:val="Heading3"/>
        <w:spacing w:after="100" w:before="200"/>
      </w:pPr>
      <w:r>
        <w:rPr>
          <w:b/>
          <w:bCs/>
          <w:color w:val="221F1F"/>
          <w:sz w:val="22"/>
          <w:szCs w:val="22"/>
        </w:rPr>
        <w:t xml:space="preserve">Missing Values in director, cast, and country</w:t>
      </w:r>
    </w:p>
    <w:p>
      <w:pPr>
        <w:pStyle w:val="ListParagraph"/>
        <w:numPr>
          <w:ilvl w:val="0"/>
          <w:numId w:val="2"/>
        </w:numPr>
        <w:spacing w:after="90"/>
      </w:pPr>
      <w:r>
        <w:rPr>
          <w:b/>
          <w:bCs/>
          <w:sz w:val="22"/>
          <w:szCs w:val="22"/>
        </w:rPr>
        <w:t xml:space="preserve">Why it is required: </w:t>
      </w:r>
      <w:r>
        <w:rPr>
          <w:sz w:val="22"/>
          <w:szCs w:val="22"/>
        </w:rPr>
        <w:t xml:space="preserve">These columns had a large number of missing entries — director was missing in 29.9% of rows, cast in 9.4%, and country in 9.4%. Leaving these blank could cause errors in grouping and counting operations.</w:t>
      </w:r>
    </w:p>
    <w:p>
      <w:pPr>
        <w:pStyle w:val="ListParagraph"/>
        <w:numPr>
          <w:ilvl w:val="0"/>
          <w:numId w:val="2"/>
        </w:numPr>
        <w:spacing w:after="90"/>
      </w:pPr>
      <w:r>
        <w:rPr>
          <w:b/>
          <w:bCs/>
          <w:sz w:val="22"/>
          <w:szCs w:val="22"/>
        </w:rPr>
        <w:t xml:space="preserve">Method used: </w:t>
      </w:r>
      <w:r>
        <w:rPr>
          <w:sz w:val="22"/>
          <w:szCs w:val="22"/>
        </w:rPr>
        <w:t xml:space="preserve">Missing values in these three text columns were filled with the label "Not Specified" using df['director'].fillna('Not Specified'), instead of deleting the rows.</w:t>
      </w:r>
    </w:p>
    <w:p>
      <w:pPr>
        <w:pStyle w:val="ListParagraph"/>
        <w:numPr>
          <w:ilvl w:val="0"/>
          <w:numId w:val="2"/>
        </w:numPr>
        <w:spacing w:after="90"/>
      </w:pPr>
      <w:r>
        <w:rPr>
          <w:b/>
          <w:bCs/>
          <w:sz w:val="22"/>
          <w:szCs w:val="22"/>
        </w:rPr>
        <w:t xml:space="preserve">Advantages: </w:t>
      </w:r>
      <w:r>
        <w:rPr>
          <w:sz w:val="22"/>
          <w:szCs w:val="22"/>
        </w:rPr>
        <w:t xml:space="preserve">No data is lost — titles with missing director/cast/country information are still counted correctly in overall totals like content type and genre.</w:t>
      </w:r>
    </w:p>
    <w:p>
      <w:pPr>
        <w:pStyle w:val="ListParagraph"/>
        <w:numPr>
          <w:ilvl w:val="0"/>
          <w:numId w:val="2"/>
        </w:numPr>
        <w:spacing w:after="90"/>
      </w:pPr>
      <w:r>
        <w:rPr>
          <w:b/>
          <w:bCs/>
          <w:sz w:val="22"/>
          <w:szCs w:val="22"/>
        </w:rPr>
        <w:t xml:space="preserve">Limitations: </w:t>
      </w:r>
      <w:r>
        <w:rPr>
          <w:sz w:val="22"/>
          <w:szCs w:val="22"/>
        </w:rPr>
        <w:t xml:space="preserve">"Not Specified" entries are excluded from country- and director-specific breakdowns, since they don't represent a real value.</w:t>
      </w:r>
    </w:p>
    <w:p>
      <w:pPr>
        <w:pStyle w:val="ListParagraph"/>
        <w:numPr>
          <w:ilvl w:val="0"/>
          <w:numId w:val="2"/>
        </w:numPr>
        <w:spacing w:after="90"/>
      </w:pPr>
      <w:r>
        <w:rPr>
          <w:b/>
          <w:bCs/>
          <w:sz w:val="22"/>
          <w:szCs w:val="22"/>
        </w:rPr>
        <w:t xml:space="preserve">Business impact: </w:t>
      </w:r>
      <w:r>
        <w:rPr>
          <w:sz w:val="22"/>
          <w:szCs w:val="22"/>
        </w:rPr>
        <w:t xml:space="preserve">Preserves the full dataset of 8,807 titles for general analysis while keeping country/director-specific insights accurate.</w:t>
      </w:r>
    </w:p>
    <w:p>
      <w:pPr>
        <w:pStyle w:val="Heading3"/>
        <w:spacing w:after="100" w:before="200"/>
      </w:pPr>
      <w:r>
        <w:rPr>
          <w:b/>
          <w:bCs/>
          <w:color w:val="221F1F"/>
          <w:sz w:val="22"/>
          <w:szCs w:val="22"/>
        </w:rPr>
        <w:t xml:space="preserve">Missing Values in rating and duration</w:t>
      </w:r>
    </w:p>
    <w:p>
      <w:pPr>
        <w:pStyle w:val="ListParagraph"/>
        <w:numPr>
          <w:ilvl w:val="0"/>
          <w:numId w:val="2"/>
        </w:numPr>
        <w:spacing w:after="90"/>
      </w:pPr>
      <w:r>
        <w:rPr>
          <w:b/>
          <w:bCs/>
          <w:sz w:val="22"/>
          <w:szCs w:val="22"/>
        </w:rPr>
        <w:t xml:space="preserve">Why it is required: </w:t>
      </w:r>
      <w:r>
        <w:rPr>
          <w:sz w:val="22"/>
          <w:szCs w:val="22"/>
        </w:rPr>
        <w:t xml:space="preserve">4 rows had a missing rating and 3 rows had a missing duration. These are small numbers but still needed to be handled for clean analysis.</w:t>
      </w:r>
    </w:p>
    <w:p>
      <w:pPr>
        <w:pStyle w:val="ListParagraph"/>
        <w:numPr>
          <w:ilvl w:val="0"/>
          <w:numId w:val="2"/>
        </w:numPr>
        <w:spacing w:after="90"/>
      </w:pPr>
      <w:r>
        <w:rPr>
          <w:b/>
          <w:bCs/>
          <w:sz w:val="22"/>
          <w:szCs w:val="22"/>
        </w:rPr>
        <w:t xml:space="preserve">Method used: </w:t>
      </w:r>
      <w:r>
        <w:rPr>
          <w:sz w:val="22"/>
          <w:szCs w:val="22"/>
        </w:rPr>
        <w:t xml:space="preserve">The missing rating values were filled with the most frequently occurring rating (the mode, "TV-MA") using df['rating'].fillna(df['rating'].mode()[0]).</w:t>
      </w:r>
    </w:p>
    <w:p>
      <w:pPr>
        <w:pStyle w:val="ListParagraph"/>
        <w:numPr>
          <w:ilvl w:val="0"/>
          <w:numId w:val="2"/>
        </w:numPr>
        <w:spacing w:after="90"/>
      </w:pPr>
      <w:r>
        <w:rPr>
          <w:b/>
          <w:bCs/>
          <w:sz w:val="22"/>
          <w:szCs w:val="22"/>
        </w:rPr>
        <w:t xml:space="preserve">Advantages: </w:t>
      </w:r>
      <w:r>
        <w:rPr>
          <w:sz w:val="22"/>
          <w:szCs w:val="22"/>
        </w:rPr>
        <w:t xml:space="preserve">A simple, standard technique for a small number of missing categorical values that keeps all rows usable.</w:t>
      </w:r>
    </w:p>
    <w:p>
      <w:pPr>
        <w:pStyle w:val="ListParagraph"/>
        <w:numPr>
          <w:ilvl w:val="0"/>
          <w:numId w:val="2"/>
        </w:numPr>
        <w:spacing w:after="90"/>
      </w:pPr>
      <w:r>
        <w:rPr>
          <w:b/>
          <w:bCs/>
          <w:sz w:val="22"/>
          <w:szCs w:val="22"/>
        </w:rPr>
        <w:t xml:space="preserve">Limitations: </w:t>
      </w:r>
      <w:r>
        <w:rPr>
          <w:sz w:val="22"/>
          <w:szCs w:val="22"/>
        </w:rPr>
        <w:t xml:space="preserve">Assumes the missing rating is likely to be the most common one, which may not always be true for every individual title.</w:t>
      </w:r>
    </w:p>
    <w:p>
      <w:pPr>
        <w:pStyle w:val="ListParagraph"/>
        <w:numPr>
          <w:ilvl w:val="0"/>
          <w:numId w:val="2"/>
        </w:numPr>
        <w:spacing w:after="90"/>
      </w:pPr>
      <w:r>
        <w:rPr>
          <w:b/>
          <w:bCs/>
          <w:sz w:val="22"/>
          <w:szCs w:val="22"/>
        </w:rPr>
        <w:t xml:space="preserve">Business impact: </w:t>
      </w:r>
      <w:r>
        <w:rPr>
          <w:sz w:val="22"/>
          <w:szCs w:val="22"/>
        </w:rPr>
        <w:t xml:space="preserve">Ensures every title has a valid rating for rating-based analysis and charts.</w:t>
      </w:r>
    </w:p>
    <w:p>
      <w:pPr>
        <w:pStyle w:val="Heading3"/>
        <w:spacing w:after="100" w:before="200"/>
      </w:pPr>
      <w:r>
        <w:rPr>
          <w:b/>
          <w:bCs/>
          <w:color w:val="221F1F"/>
          <w:sz w:val="22"/>
          <w:szCs w:val="22"/>
        </w:rPr>
        <w:t xml:space="preserve">Data-Entry Misalignment ("74 min", "84 min", "66 min" in the rating column)</w:t>
      </w:r>
    </w:p>
    <w:p>
      <w:pPr>
        <w:pStyle w:val="ListParagraph"/>
        <w:numPr>
          <w:ilvl w:val="0"/>
          <w:numId w:val="2"/>
        </w:numPr>
        <w:spacing w:after="90"/>
      </w:pPr>
      <w:r>
        <w:rPr>
          <w:b/>
          <w:bCs/>
          <w:sz w:val="22"/>
          <w:szCs w:val="22"/>
        </w:rPr>
        <w:t xml:space="preserve">Why it is required: </w:t>
      </w:r>
      <w:r>
        <w:rPr>
          <w:sz w:val="22"/>
          <w:szCs w:val="22"/>
        </w:rPr>
        <w:t xml:space="preserve">Three rows (all Louis C.K. comedy specials) had a duration value like "74 min" incorrectly stored in the rating column, while their actual duration column was empty. This is a genuine real-world data quality issue found during exploration.</w:t>
      </w:r>
    </w:p>
    <w:p>
      <w:pPr>
        <w:pStyle w:val="ListParagraph"/>
        <w:numPr>
          <w:ilvl w:val="0"/>
          <w:numId w:val="2"/>
        </w:numPr>
        <w:spacing w:after="90"/>
      </w:pPr>
      <w:r>
        <w:rPr>
          <w:b/>
          <w:bCs/>
          <w:sz w:val="22"/>
          <w:szCs w:val="22"/>
        </w:rPr>
        <w:t xml:space="preserve">Method used: </w:t>
      </w:r>
      <w:r>
        <w:rPr>
          <w:sz w:val="22"/>
          <w:szCs w:val="22"/>
        </w:rPr>
        <w:t xml:space="preserve">These misplaced values were detected and moved from the rating column into the duration column, and the rating column for those 3 rows was corrected using the mode value.</w:t>
      </w:r>
    </w:p>
    <w:p>
      <w:pPr>
        <w:pStyle w:val="ListParagraph"/>
        <w:numPr>
          <w:ilvl w:val="0"/>
          <w:numId w:val="2"/>
        </w:numPr>
        <w:spacing w:after="90"/>
      </w:pPr>
      <w:r>
        <w:rPr>
          <w:b/>
          <w:bCs/>
          <w:sz w:val="22"/>
          <w:szCs w:val="22"/>
        </w:rPr>
        <w:t xml:space="preserve">Advantages: </w:t>
      </w:r>
      <w:r>
        <w:rPr>
          <w:sz w:val="22"/>
          <w:szCs w:val="22"/>
        </w:rPr>
        <w:t xml:space="preserve">Fixes the root cause instead of just hiding the symptom, so both the rating and duration columns become reliable for those rows.</w:t>
      </w:r>
    </w:p>
    <w:p>
      <w:pPr>
        <w:pStyle w:val="ListParagraph"/>
        <w:numPr>
          <w:ilvl w:val="0"/>
          <w:numId w:val="2"/>
        </w:numPr>
        <w:spacing w:after="90"/>
      </w:pPr>
      <w:r>
        <w:rPr>
          <w:b/>
          <w:bCs/>
          <w:sz w:val="22"/>
          <w:szCs w:val="22"/>
        </w:rPr>
        <w:t xml:space="preserve">Limitations: </w:t>
      </w:r>
      <w:r>
        <w:rPr>
          <w:sz w:val="22"/>
          <w:szCs w:val="22"/>
        </w:rPr>
        <w:t xml:space="preserve">Required manual inspection to catch — this type of error would be missed by an automatic "fillna" alone.</w:t>
      </w:r>
    </w:p>
    <w:p>
      <w:pPr>
        <w:pStyle w:val="ListParagraph"/>
        <w:numPr>
          <w:ilvl w:val="0"/>
          <w:numId w:val="2"/>
        </w:numPr>
        <w:spacing w:after="90"/>
      </w:pPr>
      <w:r>
        <w:rPr>
          <w:b/>
          <w:bCs/>
          <w:sz w:val="22"/>
          <w:szCs w:val="22"/>
        </w:rPr>
        <w:t xml:space="preserve">Business impact: </w:t>
      </w:r>
      <w:r>
        <w:rPr>
          <w:sz w:val="22"/>
          <w:szCs w:val="22"/>
        </w:rPr>
        <w:t xml:space="preserve">Prevents "74 min" from being wrongly counted as a rating category, which would have distorted the rating distribution chart.</w:t>
      </w:r>
    </w:p>
    <w:p>
      <w:pPr>
        <w:pStyle w:val="Heading3"/>
        <w:spacing w:after="100" w:before="200"/>
      </w:pPr>
      <w:r>
        <w:rPr>
          <w:b/>
          <w:bCs/>
          <w:color w:val="221F1F"/>
          <w:sz w:val="22"/>
          <w:szCs w:val="22"/>
        </w:rPr>
        <w:t xml:space="preserve">Incorrect Data Types (date_added and duration)</w:t>
      </w:r>
    </w:p>
    <w:p>
      <w:pPr>
        <w:pStyle w:val="ListParagraph"/>
        <w:numPr>
          <w:ilvl w:val="0"/>
          <w:numId w:val="2"/>
        </w:numPr>
        <w:spacing w:after="90"/>
      </w:pPr>
      <w:r>
        <w:rPr>
          <w:b/>
          <w:bCs/>
          <w:sz w:val="22"/>
          <w:szCs w:val="22"/>
        </w:rPr>
        <w:t xml:space="preserve">Why it is required: </w:t>
      </w:r>
      <w:r>
        <w:rPr>
          <w:sz w:val="22"/>
          <w:szCs w:val="22"/>
        </w:rPr>
        <w:t xml:space="preserve">The date_added column was stored as plain text, not as an actual date, which would make it impossible to analyze trends by year or month. Similarly, duration mixed numbers and units (e.g., "90 min", "2 Seasons") in a single text field.</w:t>
      </w:r>
    </w:p>
    <w:p>
      <w:pPr>
        <w:pStyle w:val="ListParagraph"/>
        <w:numPr>
          <w:ilvl w:val="0"/>
          <w:numId w:val="2"/>
        </w:numPr>
        <w:spacing w:after="90"/>
      </w:pPr>
      <w:r>
        <w:rPr>
          <w:b/>
          <w:bCs/>
          <w:sz w:val="22"/>
          <w:szCs w:val="22"/>
        </w:rPr>
        <w:t xml:space="preserve">Method used: </w:t>
      </w:r>
      <w:r>
        <w:rPr>
          <w:sz w:val="22"/>
          <w:szCs w:val="22"/>
        </w:rPr>
        <w:t xml:space="preserve">date_added was converted to a proper date type using pd.to_datetime(). The duration column was split into a numeric value (duration_num) and a unit (duration_unit, "min" or "Season(s)") using string extraction.</w:t>
      </w:r>
    </w:p>
    <w:p>
      <w:pPr>
        <w:pStyle w:val="ListParagraph"/>
        <w:numPr>
          <w:ilvl w:val="0"/>
          <w:numId w:val="2"/>
        </w:numPr>
        <w:spacing w:after="90"/>
      </w:pPr>
      <w:r>
        <w:rPr>
          <w:b/>
          <w:bCs/>
          <w:sz w:val="22"/>
          <w:szCs w:val="22"/>
        </w:rPr>
        <w:t xml:space="preserve">Advantages: </w:t>
      </w:r>
      <w:r>
        <w:rPr>
          <w:sz w:val="22"/>
          <w:szCs w:val="22"/>
        </w:rPr>
        <w:t xml:space="preserve">Enables time-based analysis (titles added per year) and numeric analysis (average movie length, average number of seasons).</w:t>
      </w:r>
    </w:p>
    <w:p>
      <w:pPr>
        <w:pStyle w:val="ListParagraph"/>
        <w:numPr>
          <w:ilvl w:val="0"/>
          <w:numId w:val="2"/>
        </w:numPr>
        <w:spacing w:after="90"/>
      </w:pPr>
      <w:r>
        <w:rPr>
          <w:b/>
          <w:bCs/>
          <w:sz w:val="22"/>
          <w:szCs w:val="22"/>
        </w:rPr>
        <w:t xml:space="preserve">Limitations: </w:t>
      </w:r>
      <w:r>
        <w:rPr>
          <w:sz w:val="22"/>
          <w:szCs w:val="22"/>
        </w:rPr>
        <w:t xml:space="preserve">10 rows still had a missing or unparseable date_added value after conversion and were excluded from date-based trend charts only.</w:t>
      </w:r>
    </w:p>
    <w:p>
      <w:pPr>
        <w:pStyle w:val="ListParagraph"/>
        <w:numPr>
          <w:ilvl w:val="0"/>
          <w:numId w:val="2"/>
        </w:numPr>
        <w:spacing w:after="90"/>
      </w:pPr>
      <w:r>
        <w:rPr>
          <w:b/>
          <w:bCs/>
          <w:sz w:val="22"/>
          <w:szCs w:val="22"/>
        </w:rPr>
        <w:t xml:space="preserve">Business impact: </w:t>
      </w:r>
      <w:r>
        <w:rPr>
          <w:sz w:val="22"/>
          <w:szCs w:val="22"/>
        </w:rPr>
        <w:t xml:space="preserve">Makes year-over-year trend analysis and duration statistics possible, which are core business questions for this project.</w:t>
      </w:r>
    </w:p>
    <w:p>
      <w:pPr>
        <w:pStyle w:val="Heading3"/>
        <w:spacing w:after="100" w:before="200"/>
      </w:pPr>
      <w:r>
        <w:rPr>
          <w:b/>
          <w:bCs/>
          <w:color w:val="221F1F"/>
          <w:sz w:val="22"/>
          <w:szCs w:val="22"/>
        </w:rPr>
        <w:t xml:space="preserve">Duplicate Rows</w:t>
      </w:r>
    </w:p>
    <w:p>
      <w:pPr>
        <w:pStyle w:val="ListParagraph"/>
        <w:numPr>
          <w:ilvl w:val="0"/>
          <w:numId w:val="2"/>
        </w:numPr>
        <w:spacing w:after="90"/>
      </w:pPr>
      <w:r>
        <w:rPr>
          <w:b/>
          <w:bCs/>
          <w:sz w:val="22"/>
          <w:szCs w:val="22"/>
        </w:rPr>
        <w:t xml:space="preserve">Why it is required: </w:t>
      </w:r>
      <w:r>
        <w:rPr>
          <w:sz w:val="22"/>
          <w:szCs w:val="22"/>
        </w:rPr>
        <w:t xml:space="preserve">Duplicate rows can inflate counts and distort every statistic in the analysis.</w:t>
      </w:r>
    </w:p>
    <w:p>
      <w:pPr>
        <w:pStyle w:val="ListParagraph"/>
        <w:numPr>
          <w:ilvl w:val="0"/>
          <w:numId w:val="2"/>
        </w:numPr>
        <w:spacing w:after="90"/>
      </w:pPr>
      <w:r>
        <w:rPr>
          <w:b/>
          <w:bCs/>
          <w:sz w:val="22"/>
          <w:szCs w:val="22"/>
        </w:rPr>
        <w:t xml:space="preserve">Method used: </w:t>
      </w:r>
      <w:r>
        <w:rPr>
          <w:sz w:val="22"/>
          <w:szCs w:val="22"/>
        </w:rPr>
        <w:t xml:space="preserve">df.duplicated().sum() was used to check for fully duplicated rows, and df.duplicated(subset=['title']) was used to check for duplicate titles.</w:t>
      </w:r>
    </w:p>
    <w:p>
      <w:pPr>
        <w:pStyle w:val="ListParagraph"/>
        <w:numPr>
          <w:ilvl w:val="0"/>
          <w:numId w:val="2"/>
        </w:numPr>
        <w:spacing w:after="90"/>
      </w:pPr>
      <w:r>
        <w:rPr>
          <w:b/>
          <w:bCs/>
          <w:sz w:val="22"/>
          <w:szCs w:val="22"/>
        </w:rPr>
        <w:t xml:space="preserve">Advantages: </w:t>
      </w:r>
      <w:r>
        <w:rPr>
          <w:sz w:val="22"/>
          <w:szCs w:val="22"/>
        </w:rPr>
        <w:t xml:space="preserve">A quick, reliable way to confirm data integrity before proceeding further.</w:t>
      </w:r>
    </w:p>
    <w:p>
      <w:pPr>
        <w:pStyle w:val="ListParagraph"/>
        <w:numPr>
          <w:ilvl w:val="0"/>
          <w:numId w:val="2"/>
        </w:numPr>
        <w:spacing w:after="90"/>
      </w:pPr>
      <w:r>
        <w:rPr>
          <w:b/>
          <w:bCs/>
          <w:sz w:val="22"/>
          <w:szCs w:val="22"/>
        </w:rPr>
        <w:t xml:space="preserve">Limitations: </w:t>
      </w:r>
      <w:r>
        <w:rPr>
          <w:sz w:val="22"/>
          <w:szCs w:val="22"/>
        </w:rPr>
        <w:t xml:space="preserve">Only catches exact duplicates; near-duplicates with slightly different spelling would not be caught.</w:t>
      </w:r>
    </w:p>
    <w:p>
      <w:pPr>
        <w:pStyle w:val="ListParagraph"/>
        <w:numPr>
          <w:ilvl w:val="0"/>
          <w:numId w:val="2"/>
        </w:numPr>
        <w:spacing w:after="90"/>
      </w:pPr>
      <w:r>
        <w:rPr>
          <w:b/>
          <w:bCs/>
          <w:sz w:val="22"/>
          <w:szCs w:val="22"/>
        </w:rPr>
        <w:t xml:space="preserve">Business impact: </w:t>
      </w:r>
      <w:r>
        <w:rPr>
          <w:sz w:val="22"/>
          <w:szCs w:val="22"/>
        </w:rPr>
        <w:t xml:space="preserve">Confirmed there were zero duplicate rows and zero duplicate titles, so no rows needed to be removed.</w:t>
      </w:r>
    </w:p>
    <w:p>
      <w:r>
        <w:br w:type="page"/>
      </w:r>
    </w:p>
    <w:p>
      <w:pPr>
        <w:pStyle w:val="Heading1"/>
        <w:pBdr>
          <w:bottom w:val="single" w:color="E50914" w:sz="8" w:space="4"/>
        </w:pBdr>
        <w:spacing w:after="200" w:before="400"/>
      </w:pPr>
      <w:r>
        <w:rPr>
          <w:b/>
          <w:bCs/>
          <w:color w:val="221F1F"/>
          <w:sz w:val="32"/>
          <w:szCs w:val="32"/>
        </w:rPr>
        <w:t xml:space="preserve">13. Exploratory Data Analysis (EDA)</w:t>
      </w:r>
    </w:p>
    <w:p>
      <w:pPr>
        <w:pStyle w:val="Heading2"/>
        <w:spacing w:after="150" w:before="300"/>
      </w:pPr>
      <w:r>
        <w:rPr>
          <w:b/>
          <w:bCs/>
          <w:color w:val="E50914"/>
          <w:sz w:val="26"/>
          <w:szCs w:val="26"/>
        </w:rPr>
        <w:t xml:space="preserve">Univariate Analysis</w:t>
      </w:r>
    </w:p>
    <w:p>
      <w:pPr>
        <w:spacing w:after="160" w:line="300"/>
        <w:jc w:val="both"/>
      </w:pPr>
      <w:r>
        <w:rPr>
          <w:b w:val="false"/>
          <w:bCs w:val="false"/>
          <w:i w:val="false"/>
          <w:iCs w:val="false"/>
          <w:color w:val="000000"/>
          <w:sz w:val="22"/>
          <w:szCs w:val="22"/>
        </w:rPr>
        <w:t xml:space="preserve">Univariate analysis looks at one column at a time to understand its individual distribution.</w:t>
      </w:r>
    </w:p>
    <w:p>
      <w:pPr>
        <w:pStyle w:val="Heading3"/>
        <w:spacing w:after="100" w:before="200"/>
      </w:pPr>
      <w:r>
        <w:rPr>
          <w:b/>
          <w:bCs/>
          <w:color w:val="221F1F"/>
          <w:sz w:val="22"/>
          <w:szCs w:val="22"/>
        </w:rPr>
        <w:t xml:space="preserve">Numerical Column: release_year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50"/>
      </w:tblGrid>
      <w:tr>
        <w:trPr>
          <w:tblHeader/>
        </w:trPr>
        <w:tc>
          <w:tcPr>
            <w:tcW w:type="dxa" w:w="2600"/>
            <w:shd w:fill="E50914" w:val="clear"/>
            <w:tcMar>
              <w:top w:type="dxa" w:w="100"/>
              <w:left w:type="dxa" w:w="120"/>
              <w:bottom w:type="dxa" w:w="100"/>
              <w:right w:type="dxa" w:w="120"/>
            </w:tcMar>
            <w:vAlign w:val="center"/>
          </w:tcPr>
          <w:p>
            <w:r>
              <w:rPr>
                <w:b/>
                <w:bCs/>
                <w:color w:val="FFFFFF"/>
                <w:sz w:val="20"/>
                <w:szCs w:val="20"/>
              </w:rPr>
              <w:t xml:space="preserve">Statistic</w:t>
            </w:r>
          </w:p>
        </w:tc>
        <w:tc>
          <w:tcPr>
            <w:tcW w:type="dxa" w:w="1800"/>
            <w:shd w:fill="E50914" w:val="clear"/>
            <w:tcMar>
              <w:top w:type="dxa" w:w="100"/>
              <w:left w:type="dxa" w:w="120"/>
              <w:bottom w:type="dxa" w:w="100"/>
              <w:right w:type="dxa" w:w="120"/>
            </w:tcMar>
            <w:vAlign w:val="center"/>
          </w:tcPr>
          <w:p>
            <w:r>
              <w:rPr>
                <w:b/>
                <w:bCs/>
                <w:color w:val="FFFFFF"/>
                <w:sz w:val="20"/>
                <w:szCs w:val="20"/>
              </w:rPr>
              <w:t xml:space="preserve">Value</w:t>
            </w:r>
          </w:p>
        </w:tc>
        <w:tc>
          <w:tcPr>
            <w:tcW w:type="dxa" w:w="4950"/>
            <w:shd w:fill="E50914" w:val="clear"/>
            <w:tcMar>
              <w:top w:type="dxa" w:w="100"/>
              <w:left w:type="dxa" w:w="120"/>
              <w:bottom w:type="dxa" w:w="100"/>
              <w:right w:type="dxa" w:w="120"/>
            </w:tcMar>
            <w:vAlign w:val="center"/>
          </w:tcPr>
          <w:p>
            <w:r>
              <w:rPr>
                <w:b/>
                <w:bCs/>
                <w:color w:val="FFFFFF"/>
                <w:sz w:val="20"/>
                <w:szCs w:val="20"/>
              </w:rPr>
              <w:t xml:space="preserve">Business Meaning</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Mean</w:t>
            </w:r>
          </w:p>
        </w:tc>
        <w:tc>
          <w:tcPr>
            <w:tcW w:type="dxa" w:w="1800"/>
            <w:tcMar>
              <w:top w:type="dxa" w:w="100"/>
              <w:left w:type="dxa" w:w="120"/>
              <w:bottom w:type="dxa" w:w="100"/>
              <w:right w:type="dxa" w:w="120"/>
            </w:tcMar>
            <w:vAlign w:val="center"/>
          </w:tcPr>
          <w:p>
            <w:r>
              <w:rPr>
                <w:b w:val="false"/>
                <w:bCs w:val="false"/>
                <w:color w:val="000000"/>
                <w:sz w:val="20"/>
                <w:szCs w:val="20"/>
              </w:rPr>
              <w:t xml:space="preserve">2014.2</w:t>
            </w:r>
          </w:p>
        </w:tc>
        <w:tc>
          <w:tcPr>
            <w:tcW w:type="dxa" w:w="4950"/>
            <w:tcMar>
              <w:top w:type="dxa" w:w="100"/>
              <w:left w:type="dxa" w:w="120"/>
              <w:bottom w:type="dxa" w:w="100"/>
              <w:right w:type="dxa" w:w="120"/>
            </w:tcMar>
            <w:vAlign w:val="center"/>
          </w:tcPr>
          <w:p>
            <w:r>
              <w:rPr>
                <w:b w:val="false"/>
                <w:bCs w:val="false"/>
                <w:color w:val="000000"/>
                <w:sz w:val="20"/>
                <w:szCs w:val="20"/>
              </w:rPr>
              <w:t xml:space="preserve">On average, content on Netflix was originally released around 2014.</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Median</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2017</w:t>
            </w:r>
          </w:p>
        </w:tc>
        <w:tc>
          <w:tcPr>
            <w:tcW w:type="dxa" w:w="4950"/>
            <w:shd w:fill="F2F2F2" w:val="clear"/>
            <w:tcMar>
              <w:top w:type="dxa" w:w="100"/>
              <w:left w:type="dxa" w:w="120"/>
              <w:bottom w:type="dxa" w:w="100"/>
              <w:right w:type="dxa" w:w="120"/>
            </w:tcMar>
            <w:vAlign w:val="center"/>
          </w:tcPr>
          <w:p>
            <w:r>
              <w:rPr>
                <w:b w:val="false"/>
                <w:bCs w:val="false"/>
                <w:color w:val="000000"/>
                <w:sz w:val="20"/>
                <w:szCs w:val="20"/>
              </w:rPr>
              <w:t xml:space="preserve">Half of all titles were released in 2017 or later — the catalogue leans recent.</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Minimum</w:t>
            </w:r>
          </w:p>
        </w:tc>
        <w:tc>
          <w:tcPr>
            <w:tcW w:type="dxa" w:w="1800"/>
            <w:tcMar>
              <w:top w:type="dxa" w:w="100"/>
              <w:left w:type="dxa" w:w="120"/>
              <w:bottom w:type="dxa" w:w="100"/>
              <w:right w:type="dxa" w:w="120"/>
            </w:tcMar>
            <w:vAlign w:val="center"/>
          </w:tcPr>
          <w:p>
            <w:r>
              <w:rPr>
                <w:b w:val="false"/>
                <w:bCs w:val="false"/>
                <w:color w:val="000000"/>
                <w:sz w:val="20"/>
                <w:szCs w:val="20"/>
              </w:rPr>
              <w:t xml:space="preserve">1925</w:t>
            </w:r>
          </w:p>
        </w:tc>
        <w:tc>
          <w:tcPr>
            <w:tcW w:type="dxa" w:w="4950"/>
            <w:tcMar>
              <w:top w:type="dxa" w:w="100"/>
              <w:left w:type="dxa" w:w="120"/>
              <w:bottom w:type="dxa" w:w="100"/>
              <w:right w:type="dxa" w:w="120"/>
            </w:tcMar>
            <w:vAlign w:val="center"/>
          </w:tcPr>
          <w:p>
            <w:r>
              <w:rPr>
                <w:b w:val="false"/>
                <w:bCs w:val="false"/>
                <w:color w:val="000000"/>
                <w:sz w:val="20"/>
                <w:szCs w:val="20"/>
              </w:rPr>
              <w:t xml:space="preserve">The oldest title in the catalogue is nearly a century old.</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Maximum</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2021</w:t>
            </w:r>
          </w:p>
        </w:tc>
        <w:tc>
          <w:tcPr>
            <w:tcW w:type="dxa" w:w="4950"/>
            <w:shd w:fill="F2F2F2" w:val="clear"/>
            <w:tcMar>
              <w:top w:type="dxa" w:w="100"/>
              <w:left w:type="dxa" w:w="120"/>
              <w:bottom w:type="dxa" w:w="100"/>
              <w:right w:type="dxa" w:w="120"/>
            </w:tcMar>
            <w:vAlign w:val="center"/>
          </w:tcPr>
          <w:p>
            <w:r>
              <w:rPr>
                <w:b w:val="false"/>
                <w:bCs w:val="false"/>
                <w:color w:val="000000"/>
                <w:sz w:val="20"/>
                <w:szCs w:val="20"/>
              </w:rPr>
              <w:t xml:space="preserve">The dataset's newest titles were released in 2021, the year the data was collected.</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Standard Deviation</w:t>
            </w:r>
          </w:p>
        </w:tc>
        <w:tc>
          <w:tcPr>
            <w:tcW w:type="dxa" w:w="1800"/>
            <w:tcMar>
              <w:top w:type="dxa" w:w="100"/>
              <w:left w:type="dxa" w:w="120"/>
              <w:bottom w:type="dxa" w:w="100"/>
              <w:right w:type="dxa" w:w="120"/>
            </w:tcMar>
            <w:vAlign w:val="center"/>
          </w:tcPr>
          <w:p>
            <w:r>
              <w:rPr>
                <w:b w:val="false"/>
                <w:bCs w:val="false"/>
                <w:color w:val="000000"/>
                <w:sz w:val="20"/>
                <w:szCs w:val="20"/>
              </w:rPr>
              <w:t xml:space="preserve">8.8 years</w:t>
            </w:r>
          </w:p>
        </w:tc>
        <w:tc>
          <w:tcPr>
            <w:tcW w:type="dxa" w:w="4950"/>
            <w:tcMar>
              <w:top w:type="dxa" w:w="100"/>
              <w:left w:type="dxa" w:w="120"/>
              <w:bottom w:type="dxa" w:w="100"/>
              <w:right w:type="dxa" w:w="120"/>
            </w:tcMar>
            <w:vAlign w:val="center"/>
          </w:tcPr>
          <w:p>
            <w:r>
              <w:rPr>
                <w:b w:val="false"/>
                <w:bCs w:val="false"/>
                <w:color w:val="000000"/>
                <w:sz w:val="20"/>
                <w:szCs w:val="20"/>
              </w:rPr>
              <w:t xml:space="preserve">Most titles are clustered fairly close to the median release year, with a smaller number of much older classics.</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25th Percentile (Q1)</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2013</w:t>
            </w:r>
          </w:p>
        </w:tc>
        <w:tc>
          <w:tcPr>
            <w:tcW w:type="dxa" w:w="4950"/>
            <w:shd w:fill="F2F2F2" w:val="clear"/>
            <w:tcMar>
              <w:top w:type="dxa" w:w="100"/>
              <w:left w:type="dxa" w:w="120"/>
              <w:bottom w:type="dxa" w:w="100"/>
              <w:right w:type="dxa" w:w="120"/>
            </w:tcMar>
            <w:vAlign w:val="center"/>
          </w:tcPr>
          <w:p>
            <w:r>
              <w:rPr>
                <w:b w:val="false"/>
                <w:bCs w:val="false"/>
                <w:color w:val="000000"/>
                <w:sz w:val="20"/>
                <w:szCs w:val="20"/>
              </w:rPr>
              <w:t xml:space="preserve">75% of titles were released in 2013 or later.</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75th Percentile (Q3)</w:t>
            </w:r>
          </w:p>
        </w:tc>
        <w:tc>
          <w:tcPr>
            <w:tcW w:type="dxa" w:w="1800"/>
            <w:tcMar>
              <w:top w:type="dxa" w:w="100"/>
              <w:left w:type="dxa" w:w="120"/>
              <w:bottom w:type="dxa" w:w="100"/>
              <w:right w:type="dxa" w:w="120"/>
            </w:tcMar>
            <w:vAlign w:val="center"/>
          </w:tcPr>
          <w:p>
            <w:r>
              <w:rPr>
                <w:b w:val="false"/>
                <w:bCs w:val="false"/>
                <w:color w:val="000000"/>
                <w:sz w:val="20"/>
                <w:szCs w:val="20"/>
              </w:rPr>
              <w:t xml:space="preserve">2019</w:t>
            </w:r>
          </w:p>
        </w:tc>
        <w:tc>
          <w:tcPr>
            <w:tcW w:type="dxa" w:w="4950"/>
            <w:tcMar>
              <w:top w:type="dxa" w:w="100"/>
              <w:left w:type="dxa" w:w="120"/>
              <w:bottom w:type="dxa" w:w="100"/>
              <w:right w:type="dxa" w:w="120"/>
            </w:tcMar>
            <w:vAlign w:val="center"/>
          </w:tcPr>
          <w:p>
            <w:r>
              <w:rPr>
                <w:b w:val="false"/>
                <w:bCs w:val="false"/>
                <w:color w:val="000000"/>
                <w:sz w:val="20"/>
                <w:szCs w:val="20"/>
              </w:rPr>
              <w:t xml:space="preserve">75% of titles were released in 2019 or earlier — content is heavily weighted toward the late 2010s.</w:t>
            </w:r>
          </w:p>
        </w:tc>
      </w:tr>
    </w:tbl>
    <w:p>
      <w:pPr>
        <w:spacing w:after="150"/>
      </w:pPr>
    </w:p>
    <w:p>
      <w:pPr>
        <w:pStyle w:val="Heading3"/>
        <w:spacing w:after="100" w:before="200"/>
      </w:pPr>
      <w:r>
        <w:rPr>
          <w:b/>
          <w:bCs/>
          <w:color w:val="221F1F"/>
          <w:sz w:val="22"/>
          <w:szCs w:val="22"/>
        </w:rPr>
        <w:t xml:space="preserve">Numerical Column: duration_num (Movies only, in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50"/>
      </w:tblGrid>
      <w:tr>
        <w:trPr>
          <w:tblHeader/>
        </w:trPr>
        <w:tc>
          <w:tcPr>
            <w:tcW w:type="dxa" w:w="2600"/>
            <w:shd w:fill="E50914" w:val="clear"/>
            <w:tcMar>
              <w:top w:type="dxa" w:w="100"/>
              <w:left w:type="dxa" w:w="120"/>
              <w:bottom w:type="dxa" w:w="100"/>
              <w:right w:type="dxa" w:w="120"/>
            </w:tcMar>
            <w:vAlign w:val="center"/>
          </w:tcPr>
          <w:p>
            <w:r>
              <w:rPr>
                <w:b/>
                <w:bCs/>
                <w:color w:val="FFFFFF"/>
                <w:sz w:val="20"/>
                <w:szCs w:val="20"/>
              </w:rPr>
              <w:t xml:space="preserve">Statistic</w:t>
            </w:r>
          </w:p>
        </w:tc>
        <w:tc>
          <w:tcPr>
            <w:tcW w:type="dxa" w:w="1800"/>
            <w:shd w:fill="E50914" w:val="clear"/>
            <w:tcMar>
              <w:top w:type="dxa" w:w="100"/>
              <w:left w:type="dxa" w:w="120"/>
              <w:bottom w:type="dxa" w:w="100"/>
              <w:right w:type="dxa" w:w="120"/>
            </w:tcMar>
            <w:vAlign w:val="center"/>
          </w:tcPr>
          <w:p>
            <w:r>
              <w:rPr>
                <w:b/>
                <w:bCs/>
                <w:color w:val="FFFFFF"/>
                <w:sz w:val="20"/>
                <w:szCs w:val="20"/>
              </w:rPr>
              <w:t xml:space="preserve">Value</w:t>
            </w:r>
          </w:p>
        </w:tc>
        <w:tc>
          <w:tcPr>
            <w:tcW w:type="dxa" w:w="4950"/>
            <w:shd w:fill="E50914" w:val="clear"/>
            <w:tcMar>
              <w:top w:type="dxa" w:w="100"/>
              <w:left w:type="dxa" w:w="120"/>
              <w:bottom w:type="dxa" w:w="100"/>
              <w:right w:type="dxa" w:w="120"/>
            </w:tcMar>
            <w:vAlign w:val="center"/>
          </w:tcPr>
          <w:p>
            <w:r>
              <w:rPr>
                <w:b/>
                <w:bCs/>
                <w:color w:val="FFFFFF"/>
                <w:sz w:val="20"/>
                <w:szCs w:val="20"/>
              </w:rPr>
              <w:t xml:space="preserve">Business Meaning</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Mean</w:t>
            </w:r>
          </w:p>
        </w:tc>
        <w:tc>
          <w:tcPr>
            <w:tcW w:type="dxa" w:w="1800"/>
            <w:tcMar>
              <w:top w:type="dxa" w:w="100"/>
              <w:left w:type="dxa" w:w="120"/>
              <w:bottom w:type="dxa" w:w="100"/>
              <w:right w:type="dxa" w:w="120"/>
            </w:tcMar>
            <w:vAlign w:val="center"/>
          </w:tcPr>
          <w:p>
            <w:r>
              <w:rPr>
                <w:b w:val="false"/>
                <w:bCs w:val="false"/>
                <w:color w:val="000000"/>
                <w:sz w:val="20"/>
                <w:szCs w:val="20"/>
              </w:rPr>
              <w:t xml:space="preserve">99.6 min</w:t>
            </w:r>
          </w:p>
        </w:tc>
        <w:tc>
          <w:tcPr>
            <w:tcW w:type="dxa" w:w="4950"/>
            <w:tcMar>
              <w:top w:type="dxa" w:w="100"/>
              <w:left w:type="dxa" w:w="120"/>
              <w:bottom w:type="dxa" w:w="100"/>
              <w:right w:type="dxa" w:w="120"/>
            </w:tcMar>
            <w:vAlign w:val="center"/>
          </w:tcPr>
          <w:p>
            <w:r>
              <w:rPr>
                <w:b w:val="false"/>
                <w:bCs w:val="false"/>
                <w:color w:val="000000"/>
                <w:sz w:val="20"/>
                <w:szCs w:val="20"/>
              </w:rPr>
              <w:t xml:space="preserve">The average Netflix movie is just under 1 hour 40 minutes long.</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Median</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98 min</w:t>
            </w:r>
          </w:p>
        </w:tc>
        <w:tc>
          <w:tcPr>
            <w:tcW w:type="dxa" w:w="4950"/>
            <w:shd w:fill="F2F2F2" w:val="clear"/>
            <w:tcMar>
              <w:top w:type="dxa" w:w="100"/>
              <w:left w:type="dxa" w:w="120"/>
              <w:bottom w:type="dxa" w:w="100"/>
              <w:right w:type="dxa" w:w="120"/>
            </w:tcMar>
            <w:vAlign w:val="center"/>
          </w:tcPr>
          <w:p>
            <w:r>
              <w:rPr>
                <w:b w:val="false"/>
                <w:bCs w:val="false"/>
                <w:color w:val="000000"/>
                <w:sz w:val="20"/>
                <w:szCs w:val="20"/>
              </w:rPr>
              <w:t xml:space="preserve">Half of all movies are 98 minutes or shorter — close to a typical feature-film length.</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Minimum</w:t>
            </w:r>
          </w:p>
        </w:tc>
        <w:tc>
          <w:tcPr>
            <w:tcW w:type="dxa" w:w="1800"/>
            <w:tcMar>
              <w:top w:type="dxa" w:w="100"/>
              <w:left w:type="dxa" w:w="120"/>
              <w:bottom w:type="dxa" w:w="100"/>
              <w:right w:type="dxa" w:w="120"/>
            </w:tcMar>
            <w:vAlign w:val="center"/>
          </w:tcPr>
          <w:p>
            <w:r>
              <w:rPr>
                <w:b w:val="false"/>
                <w:bCs w:val="false"/>
                <w:color w:val="000000"/>
                <w:sz w:val="20"/>
                <w:szCs w:val="20"/>
              </w:rPr>
              <w:t xml:space="preserve">3 min</w:t>
            </w:r>
          </w:p>
        </w:tc>
        <w:tc>
          <w:tcPr>
            <w:tcW w:type="dxa" w:w="4950"/>
            <w:tcMar>
              <w:top w:type="dxa" w:w="100"/>
              <w:left w:type="dxa" w:w="120"/>
              <w:bottom w:type="dxa" w:w="100"/>
              <w:right w:type="dxa" w:w="120"/>
            </w:tcMar>
            <w:vAlign w:val="center"/>
          </w:tcPr>
          <w:p>
            <w:r>
              <w:rPr>
                <w:b w:val="false"/>
                <w:bCs w:val="false"/>
                <w:color w:val="000000"/>
                <w:sz w:val="20"/>
                <w:szCs w:val="20"/>
              </w:rPr>
              <w:t xml:space="preserve">The shortest "movie" entries are closer to short-film length.</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Maximum</w:t>
            </w:r>
          </w:p>
        </w:tc>
        <w:tc>
          <w:tcPr>
            <w:tcW w:type="dxa" w:w="1800"/>
            <w:shd w:fill="F2F2F2" w:val="clear"/>
            <w:tcMar>
              <w:top w:type="dxa" w:w="100"/>
              <w:left w:type="dxa" w:w="120"/>
              <w:bottom w:type="dxa" w:w="100"/>
              <w:right w:type="dxa" w:w="120"/>
            </w:tcMar>
            <w:vAlign w:val="center"/>
          </w:tcPr>
          <w:p>
            <w:r>
              <w:rPr>
                <w:b w:val="false"/>
                <w:bCs w:val="false"/>
                <w:color w:val="000000"/>
                <w:sz w:val="20"/>
                <w:szCs w:val="20"/>
              </w:rPr>
              <w:t xml:space="preserve">312 min</w:t>
            </w:r>
          </w:p>
        </w:tc>
        <w:tc>
          <w:tcPr>
            <w:tcW w:type="dxa" w:w="4950"/>
            <w:shd w:fill="F2F2F2" w:val="clear"/>
            <w:tcMar>
              <w:top w:type="dxa" w:w="100"/>
              <w:left w:type="dxa" w:w="120"/>
              <w:bottom w:type="dxa" w:w="100"/>
              <w:right w:type="dxa" w:w="120"/>
            </w:tcMar>
            <w:vAlign w:val="center"/>
          </w:tcPr>
          <w:p>
            <w:r>
              <w:rPr>
                <w:b w:val="false"/>
                <w:bCs w:val="false"/>
                <w:color w:val="000000"/>
                <w:sz w:val="20"/>
                <w:szCs w:val="20"/>
              </w:rPr>
              <w:t xml:space="preserve">The longest movie runs over 5 hours, an outlier compared to the rest of the catalogue.</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Standard Deviation</w:t>
            </w:r>
          </w:p>
        </w:tc>
        <w:tc>
          <w:tcPr>
            <w:tcW w:type="dxa" w:w="1800"/>
            <w:tcMar>
              <w:top w:type="dxa" w:w="100"/>
              <w:left w:type="dxa" w:w="120"/>
              <w:bottom w:type="dxa" w:w="100"/>
              <w:right w:type="dxa" w:w="120"/>
            </w:tcMar>
            <w:vAlign w:val="center"/>
          </w:tcPr>
          <w:p>
            <w:r>
              <w:rPr>
                <w:b w:val="false"/>
                <w:bCs w:val="false"/>
                <w:color w:val="000000"/>
                <w:sz w:val="20"/>
                <w:szCs w:val="20"/>
              </w:rPr>
              <w:t xml:space="preserve">28.3 min</w:t>
            </w:r>
          </w:p>
        </w:tc>
        <w:tc>
          <w:tcPr>
            <w:tcW w:type="dxa" w:w="4950"/>
            <w:tcMar>
              <w:top w:type="dxa" w:w="100"/>
              <w:left w:type="dxa" w:w="120"/>
              <w:bottom w:type="dxa" w:w="100"/>
              <w:right w:type="dxa" w:w="120"/>
            </w:tcMar>
            <w:vAlign w:val="center"/>
          </w:tcPr>
          <w:p>
            <w:r>
              <w:rPr>
                <w:b w:val="false"/>
                <w:bCs w:val="false"/>
                <w:color w:val="000000"/>
                <w:sz w:val="20"/>
                <w:szCs w:val="20"/>
              </w:rPr>
              <w:t xml:space="preserve">Movie lengths vary moderately, but most fall within roughly an hour of the average.</w:t>
            </w:r>
          </w:p>
        </w:tc>
      </w:tr>
    </w:tbl>
    <w:p>
      <w:pPr>
        <w:spacing w:after="150"/>
      </w:pPr>
    </w:p>
    <w:p>
      <w:pPr>
        <w:pStyle w:val="Heading3"/>
        <w:spacing w:after="100" w:before="200"/>
      </w:pPr>
      <w:r>
        <w:rPr>
          <w:b/>
          <w:bCs/>
          <w:color w:val="221F1F"/>
          <w:sz w:val="22"/>
          <w:szCs w:val="22"/>
        </w:rPr>
        <w:t xml:space="preserve">Categorical Column: type</w:t>
      </w:r>
    </w:p>
    <w:p>
      <w:pPr>
        <w:spacing w:after="160" w:line="300"/>
        <w:jc w:val="both"/>
      </w:pPr>
      <w:r>
        <w:rPr>
          <w:b w:val="false"/>
          <w:bCs w:val="false"/>
          <w:i w:val="false"/>
          <w:iCs w:val="false"/>
          <w:color w:val="000000"/>
          <w:sz w:val="22"/>
          <w:szCs w:val="22"/>
        </w:rPr>
        <w:t xml:space="preserve">Frequency, Value Counts, and Percentages: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E50914" w:val="clear"/>
            <w:tcMar>
              <w:top w:type="dxa" w:w="100"/>
              <w:left w:type="dxa" w:w="120"/>
              <w:bottom w:type="dxa" w:w="100"/>
              <w:right w:type="dxa" w:w="120"/>
            </w:tcMar>
            <w:vAlign w:val="center"/>
          </w:tcPr>
          <w:p>
            <w:r>
              <w:rPr>
                <w:b/>
                <w:bCs/>
                <w:color w:val="FFFFFF"/>
                <w:sz w:val="20"/>
                <w:szCs w:val="20"/>
              </w:rPr>
              <w:t xml:space="preserve">Category</w:t>
            </w:r>
          </w:p>
        </w:tc>
        <w:tc>
          <w:tcPr>
            <w:tcW w:type="dxa" w:w="3100"/>
            <w:shd w:fill="E50914" w:val="clear"/>
            <w:tcMar>
              <w:top w:type="dxa" w:w="100"/>
              <w:left w:type="dxa" w:w="120"/>
              <w:bottom w:type="dxa" w:w="100"/>
              <w:right w:type="dxa" w:w="120"/>
            </w:tcMar>
            <w:vAlign w:val="center"/>
          </w:tcPr>
          <w:p>
            <w:r>
              <w:rPr>
                <w:b/>
                <w:bCs/>
                <w:color w:val="FFFFFF"/>
                <w:sz w:val="20"/>
                <w:szCs w:val="20"/>
              </w:rPr>
              <w:t xml:space="preserve">Count</w:t>
            </w:r>
          </w:p>
        </w:tc>
        <w:tc>
          <w:tcPr>
            <w:tcW w:type="dxa" w:w="3150"/>
            <w:shd w:fill="E50914" w:val="clear"/>
            <w:tcMar>
              <w:top w:type="dxa" w:w="100"/>
              <w:left w:type="dxa" w:w="120"/>
              <w:bottom w:type="dxa" w:w="100"/>
              <w:right w:type="dxa" w:w="120"/>
            </w:tcMar>
            <w:vAlign w:val="center"/>
          </w:tcPr>
          <w:p>
            <w:r>
              <w:rPr>
                <w:b/>
                <w:bCs/>
                <w:color w:val="FFFFFF"/>
                <w:sz w:val="20"/>
                <w:szCs w:val="20"/>
              </w:rPr>
              <w:t xml:space="preserve">Percentage</w:t>
            </w:r>
          </w:p>
        </w:tc>
      </w:tr>
      <w:tr>
        <w:tc>
          <w:tcPr>
            <w:tcW w:type="dxa" w:w="3100"/>
            <w:tcMar>
              <w:top w:type="dxa" w:w="100"/>
              <w:left w:type="dxa" w:w="120"/>
              <w:bottom w:type="dxa" w:w="100"/>
              <w:right w:type="dxa" w:w="120"/>
            </w:tcMar>
            <w:vAlign w:val="center"/>
          </w:tcPr>
          <w:p>
            <w:r>
              <w:rPr>
                <w:b w:val="false"/>
                <w:bCs w:val="false"/>
                <w:color w:val="000000"/>
                <w:sz w:val="20"/>
                <w:szCs w:val="20"/>
              </w:rPr>
              <w:t xml:space="preserve">Movie</w:t>
            </w:r>
          </w:p>
        </w:tc>
        <w:tc>
          <w:tcPr>
            <w:tcW w:type="dxa" w:w="3100"/>
            <w:tcMar>
              <w:top w:type="dxa" w:w="100"/>
              <w:left w:type="dxa" w:w="120"/>
              <w:bottom w:type="dxa" w:w="100"/>
              <w:right w:type="dxa" w:w="120"/>
            </w:tcMar>
            <w:vAlign w:val="center"/>
          </w:tcPr>
          <w:p>
            <w:r>
              <w:rPr>
                <w:b w:val="false"/>
                <w:bCs w:val="false"/>
                <w:color w:val="000000"/>
                <w:sz w:val="20"/>
                <w:szCs w:val="20"/>
              </w:rPr>
              <w:t xml:space="preserve">6,131</w:t>
            </w:r>
          </w:p>
        </w:tc>
        <w:tc>
          <w:tcPr>
            <w:tcW w:type="dxa" w:w="3150"/>
            <w:tcMar>
              <w:top w:type="dxa" w:w="100"/>
              <w:left w:type="dxa" w:w="120"/>
              <w:bottom w:type="dxa" w:w="100"/>
              <w:right w:type="dxa" w:w="120"/>
            </w:tcMar>
            <w:vAlign w:val="center"/>
          </w:tcPr>
          <w:p>
            <w:r>
              <w:rPr>
                <w:b w:val="false"/>
                <w:bCs w:val="false"/>
                <w:color w:val="000000"/>
                <w:sz w:val="20"/>
                <w:szCs w:val="20"/>
              </w:rPr>
              <w:t xml:space="preserve">69.6%</w:t>
            </w:r>
          </w:p>
        </w:tc>
      </w:tr>
      <w:tr>
        <w:tc>
          <w:tcPr>
            <w:tcW w:type="dxa" w:w="3100"/>
            <w:shd w:fill="F2F2F2" w:val="clear"/>
            <w:tcMar>
              <w:top w:type="dxa" w:w="100"/>
              <w:left w:type="dxa" w:w="120"/>
              <w:bottom w:type="dxa" w:w="100"/>
              <w:right w:type="dxa" w:w="120"/>
            </w:tcMar>
            <w:vAlign w:val="center"/>
          </w:tcPr>
          <w:p>
            <w:r>
              <w:rPr>
                <w:b w:val="false"/>
                <w:bCs w:val="false"/>
                <w:color w:val="000000"/>
                <w:sz w:val="20"/>
                <w:szCs w:val="20"/>
              </w:rPr>
              <w:t xml:space="preserve">TV Show</w:t>
            </w:r>
          </w:p>
        </w:tc>
        <w:tc>
          <w:tcPr>
            <w:tcW w:type="dxa" w:w="3100"/>
            <w:shd w:fill="F2F2F2" w:val="clear"/>
            <w:tcMar>
              <w:top w:type="dxa" w:w="100"/>
              <w:left w:type="dxa" w:w="120"/>
              <w:bottom w:type="dxa" w:w="100"/>
              <w:right w:type="dxa" w:w="120"/>
            </w:tcMar>
            <w:vAlign w:val="center"/>
          </w:tcPr>
          <w:p>
            <w:r>
              <w:rPr>
                <w:b w:val="false"/>
                <w:bCs w:val="false"/>
                <w:color w:val="000000"/>
                <w:sz w:val="20"/>
                <w:szCs w:val="20"/>
              </w:rPr>
              <w:t xml:space="preserve">2,676</w:t>
            </w:r>
          </w:p>
        </w:tc>
        <w:tc>
          <w:tcPr>
            <w:tcW w:type="dxa" w:w="3150"/>
            <w:shd w:fill="F2F2F2" w:val="clear"/>
            <w:tcMar>
              <w:top w:type="dxa" w:w="100"/>
              <w:left w:type="dxa" w:w="120"/>
              <w:bottom w:type="dxa" w:w="100"/>
              <w:right w:type="dxa" w:w="120"/>
            </w:tcMar>
            <w:vAlign w:val="center"/>
          </w:tcPr>
          <w:p>
            <w:r>
              <w:rPr>
                <w:b w:val="false"/>
                <w:bCs w:val="false"/>
                <w:color w:val="000000"/>
                <w:sz w:val="20"/>
                <w:szCs w:val="20"/>
              </w:rPr>
              <w:t xml:space="preserve">30.4%</w:t>
            </w:r>
          </w:p>
        </w:tc>
      </w:tr>
    </w:tbl>
    <w:p>
      <w:pPr>
        <w:spacing w:after="160" w:line="300"/>
        <w:jc w:val="both"/>
      </w:pPr>
      <w:r>
        <w:rPr>
          <w:b w:val="false"/>
          <w:bCs w:val="false"/>
          <w:i w:val="false"/>
          <w:iCs w:val="false"/>
          <w:color w:val="000000"/>
          <w:sz w:val="22"/>
          <w:szCs w:val="22"/>
        </w:rPr>
        <w:t xml:space="preserve">Business meaning: Movies dominate the Netflix catalogue by more than a 2-to-1 ratio over TV Shows, showing the platform's historical emphasis on film content.</w:t>
      </w:r>
    </w:p>
    <w:p>
      <w:pPr>
        <w:spacing w:after="100" w:before="15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240"/>
        <w:jc w:val="center"/>
      </w:pPr>
      <w:r>
        <w:rPr>
          <w:i/>
          <w:iCs/>
          <w:color w:val="595959"/>
          <w:sz w:val="18"/>
          <w:szCs w:val="18"/>
        </w:rPr>
        <w:t xml:space="preserve">Chart 1: Content Type Distribution — Movies vs TV Shows</w:t>
      </w:r>
    </w:p>
    <w:p>
      <w:pPr>
        <w:pStyle w:val="Heading3"/>
        <w:spacing w:after="100" w:before="200"/>
      </w:pPr>
      <w:r>
        <w:rPr>
          <w:b/>
          <w:bCs/>
          <w:color w:val="221F1F"/>
          <w:sz w:val="22"/>
          <w:szCs w:val="22"/>
        </w:rPr>
        <w:t xml:space="preserve">Categorical Column: rating</w:t>
      </w:r>
    </w:p>
    <w:p>
      <w:pPr>
        <w:spacing w:after="160" w:line="300"/>
        <w:jc w:val="both"/>
      </w:pPr>
      <w:r>
        <w:rPr>
          <w:b w:val="false"/>
          <w:bCs w:val="false"/>
          <w:i w:val="false"/>
          <w:iCs w:val="false"/>
          <w:color w:val="000000"/>
          <w:sz w:val="22"/>
          <w:szCs w:val="22"/>
        </w:rPr>
        <w:t xml:space="preserve">Top ratings by frequency and percentage: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50"/>
      </w:tblGrid>
      <w:tr>
        <w:trPr>
          <w:tblHeader/>
        </w:trPr>
        <w:tc>
          <w:tcPr>
            <w:tcW w:type="dxa" w:w="2100"/>
            <w:shd w:fill="E50914" w:val="clear"/>
            <w:tcMar>
              <w:top w:type="dxa" w:w="100"/>
              <w:left w:type="dxa" w:w="120"/>
              <w:bottom w:type="dxa" w:w="100"/>
              <w:right w:type="dxa" w:w="120"/>
            </w:tcMar>
            <w:vAlign w:val="center"/>
          </w:tcPr>
          <w:p>
            <w:r>
              <w:rPr>
                <w:b/>
                <w:bCs/>
                <w:color w:val="FFFFFF"/>
                <w:sz w:val="20"/>
                <w:szCs w:val="20"/>
              </w:rPr>
              <w:t xml:space="preserve">Rating</w:t>
            </w:r>
          </w:p>
        </w:tc>
        <w:tc>
          <w:tcPr>
            <w:tcW w:type="dxa" w:w="2100"/>
            <w:shd w:fill="E50914" w:val="clear"/>
            <w:tcMar>
              <w:top w:type="dxa" w:w="100"/>
              <w:left w:type="dxa" w:w="120"/>
              <w:bottom w:type="dxa" w:w="100"/>
              <w:right w:type="dxa" w:w="120"/>
            </w:tcMar>
            <w:vAlign w:val="center"/>
          </w:tcPr>
          <w:p>
            <w:r>
              <w:rPr>
                <w:b/>
                <w:bCs/>
                <w:color w:val="FFFFFF"/>
                <w:sz w:val="20"/>
                <w:szCs w:val="20"/>
              </w:rPr>
              <w:t xml:space="preserve">Percentage</w:t>
            </w:r>
          </w:p>
        </w:tc>
        <w:tc>
          <w:tcPr>
            <w:tcW w:type="dxa" w:w="5150"/>
            <w:shd w:fill="E50914" w:val="clear"/>
            <w:tcMar>
              <w:top w:type="dxa" w:w="100"/>
              <w:left w:type="dxa" w:w="120"/>
              <w:bottom w:type="dxa" w:w="100"/>
              <w:right w:type="dxa" w:w="120"/>
            </w:tcMar>
            <w:vAlign w:val="center"/>
          </w:tcPr>
          <w:p>
            <w:r>
              <w:rPr>
                <w:b/>
                <w:bCs/>
                <w:color w:val="FFFFFF"/>
                <w:sz w:val="20"/>
                <w:szCs w:val="20"/>
              </w:rPr>
              <w:t xml:space="preserve">Meaning</w:t>
            </w:r>
          </w:p>
        </w:tc>
      </w:tr>
      <w:tr>
        <w:tc>
          <w:tcPr>
            <w:tcW w:type="dxa" w:w="2100"/>
            <w:tcMar>
              <w:top w:type="dxa" w:w="100"/>
              <w:left w:type="dxa" w:w="120"/>
              <w:bottom w:type="dxa" w:w="100"/>
              <w:right w:type="dxa" w:w="120"/>
            </w:tcMar>
            <w:vAlign w:val="center"/>
          </w:tcPr>
          <w:p>
            <w:r>
              <w:rPr>
                <w:b w:val="false"/>
                <w:bCs w:val="false"/>
                <w:color w:val="000000"/>
                <w:sz w:val="20"/>
                <w:szCs w:val="20"/>
              </w:rPr>
              <w:t xml:space="preserve">TV-MA</w:t>
            </w:r>
          </w:p>
        </w:tc>
        <w:tc>
          <w:tcPr>
            <w:tcW w:type="dxa" w:w="2100"/>
            <w:tcMar>
              <w:top w:type="dxa" w:w="100"/>
              <w:left w:type="dxa" w:w="120"/>
              <w:bottom w:type="dxa" w:w="100"/>
              <w:right w:type="dxa" w:w="120"/>
            </w:tcMar>
            <w:vAlign w:val="center"/>
          </w:tcPr>
          <w:p>
            <w:r>
              <w:rPr>
                <w:b w:val="false"/>
                <w:bCs w:val="false"/>
                <w:color w:val="000000"/>
                <w:sz w:val="20"/>
                <w:szCs w:val="20"/>
              </w:rPr>
              <w:t xml:space="preserve">36.5%</w:t>
            </w:r>
          </w:p>
        </w:tc>
        <w:tc>
          <w:tcPr>
            <w:tcW w:type="dxa" w:w="5150"/>
            <w:tcMar>
              <w:top w:type="dxa" w:w="100"/>
              <w:left w:type="dxa" w:w="120"/>
              <w:bottom w:type="dxa" w:w="100"/>
              <w:right w:type="dxa" w:w="120"/>
            </w:tcMar>
            <w:vAlign w:val="center"/>
          </w:tcPr>
          <w:p>
            <w:r>
              <w:rPr>
                <w:b w:val="false"/>
                <w:bCs w:val="false"/>
                <w:color w:val="000000"/>
                <w:sz w:val="20"/>
                <w:szCs w:val="20"/>
              </w:rPr>
              <w:t xml:space="preserve">Mature audiences — the single largest content-rating segment.</w:t>
            </w:r>
          </w:p>
        </w:tc>
      </w:tr>
      <w:tr>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TV-14</w:t>
            </w:r>
          </w:p>
        </w:tc>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24.5%</w:t>
            </w:r>
          </w:p>
        </w:tc>
        <w:tc>
          <w:tcPr>
            <w:tcW w:type="dxa" w:w="5150"/>
            <w:shd w:fill="F2F2F2" w:val="clear"/>
            <w:tcMar>
              <w:top w:type="dxa" w:w="100"/>
              <w:left w:type="dxa" w:w="120"/>
              <w:bottom w:type="dxa" w:w="100"/>
              <w:right w:type="dxa" w:w="120"/>
            </w:tcMar>
            <w:vAlign w:val="center"/>
          </w:tcPr>
          <w:p>
            <w:r>
              <w:rPr>
                <w:b w:val="false"/>
                <w:bCs w:val="false"/>
                <w:color w:val="000000"/>
                <w:sz w:val="20"/>
                <w:szCs w:val="20"/>
              </w:rPr>
              <w:t xml:space="preserve">Content suitable for viewers aged 14 and up.</w:t>
            </w:r>
          </w:p>
        </w:tc>
      </w:tr>
      <w:tr>
        <w:tc>
          <w:tcPr>
            <w:tcW w:type="dxa" w:w="2100"/>
            <w:tcMar>
              <w:top w:type="dxa" w:w="100"/>
              <w:left w:type="dxa" w:w="120"/>
              <w:bottom w:type="dxa" w:w="100"/>
              <w:right w:type="dxa" w:w="120"/>
            </w:tcMar>
            <w:vAlign w:val="center"/>
          </w:tcPr>
          <w:p>
            <w:r>
              <w:rPr>
                <w:b w:val="false"/>
                <w:bCs w:val="false"/>
                <w:color w:val="000000"/>
                <w:sz w:val="20"/>
                <w:szCs w:val="20"/>
              </w:rPr>
              <w:t xml:space="preserve">TV-PG</w:t>
            </w:r>
          </w:p>
        </w:tc>
        <w:tc>
          <w:tcPr>
            <w:tcW w:type="dxa" w:w="2100"/>
            <w:tcMar>
              <w:top w:type="dxa" w:w="100"/>
              <w:left w:type="dxa" w:w="120"/>
              <w:bottom w:type="dxa" w:w="100"/>
              <w:right w:type="dxa" w:w="120"/>
            </w:tcMar>
            <w:vAlign w:val="center"/>
          </w:tcPr>
          <w:p>
            <w:r>
              <w:rPr>
                <w:b w:val="false"/>
                <w:bCs w:val="false"/>
                <w:color w:val="000000"/>
                <w:sz w:val="20"/>
                <w:szCs w:val="20"/>
              </w:rPr>
              <w:t xml:space="preserve">9.8%</w:t>
            </w:r>
          </w:p>
        </w:tc>
        <w:tc>
          <w:tcPr>
            <w:tcW w:type="dxa" w:w="5150"/>
            <w:tcMar>
              <w:top w:type="dxa" w:w="100"/>
              <w:left w:type="dxa" w:w="120"/>
              <w:bottom w:type="dxa" w:w="100"/>
              <w:right w:type="dxa" w:w="120"/>
            </w:tcMar>
            <w:vAlign w:val="center"/>
          </w:tcPr>
          <w:p>
            <w:r>
              <w:rPr>
                <w:b w:val="false"/>
                <w:bCs w:val="false"/>
                <w:color w:val="000000"/>
                <w:sz w:val="20"/>
                <w:szCs w:val="20"/>
              </w:rPr>
              <w:t xml:space="preserve">Parental guidance suggested.</w:t>
            </w:r>
          </w:p>
        </w:tc>
      </w:tr>
      <w:tr>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R</w:t>
            </w:r>
          </w:p>
        </w:tc>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9.1%</w:t>
            </w:r>
          </w:p>
        </w:tc>
        <w:tc>
          <w:tcPr>
            <w:tcW w:type="dxa" w:w="5150"/>
            <w:shd w:fill="F2F2F2" w:val="clear"/>
            <w:tcMar>
              <w:top w:type="dxa" w:w="100"/>
              <w:left w:type="dxa" w:w="120"/>
              <w:bottom w:type="dxa" w:w="100"/>
              <w:right w:type="dxa" w:w="120"/>
            </w:tcMar>
            <w:vAlign w:val="center"/>
          </w:tcPr>
          <w:p>
            <w:r>
              <w:rPr>
                <w:b w:val="false"/>
                <w:bCs w:val="false"/>
                <w:color w:val="000000"/>
                <w:sz w:val="20"/>
                <w:szCs w:val="20"/>
              </w:rPr>
              <w:t xml:space="preserve">Restricted movie rating (mature film content).</w:t>
            </w:r>
          </w:p>
        </w:tc>
      </w:tr>
      <w:tr>
        <w:tc>
          <w:tcPr>
            <w:tcW w:type="dxa" w:w="2100"/>
            <w:tcMar>
              <w:top w:type="dxa" w:w="100"/>
              <w:left w:type="dxa" w:w="120"/>
              <w:bottom w:type="dxa" w:w="100"/>
              <w:right w:type="dxa" w:w="120"/>
            </w:tcMar>
            <w:vAlign w:val="center"/>
          </w:tcPr>
          <w:p>
            <w:r>
              <w:rPr>
                <w:b w:val="false"/>
                <w:bCs w:val="false"/>
                <w:color w:val="000000"/>
                <w:sz w:val="20"/>
                <w:szCs w:val="20"/>
              </w:rPr>
              <w:t xml:space="preserve">PG-13</w:t>
            </w:r>
          </w:p>
        </w:tc>
        <w:tc>
          <w:tcPr>
            <w:tcW w:type="dxa" w:w="2100"/>
            <w:tcMar>
              <w:top w:type="dxa" w:w="100"/>
              <w:left w:type="dxa" w:w="120"/>
              <w:bottom w:type="dxa" w:w="100"/>
              <w:right w:type="dxa" w:w="120"/>
            </w:tcMar>
            <w:vAlign w:val="center"/>
          </w:tcPr>
          <w:p>
            <w:r>
              <w:rPr>
                <w:b w:val="false"/>
                <w:bCs w:val="false"/>
                <w:color w:val="000000"/>
                <w:sz w:val="20"/>
                <w:szCs w:val="20"/>
              </w:rPr>
              <w:t xml:space="preserve">5.6%</w:t>
            </w:r>
          </w:p>
        </w:tc>
        <w:tc>
          <w:tcPr>
            <w:tcW w:type="dxa" w:w="5150"/>
            <w:tcMar>
              <w:top w:type="dxa" w:w="100"/>
              <w:left w:type="dxa" w:w="120"/>
              <w:bottom w:type="dxa" w:w="100"/>
              <w:right w:type="dxa" w:w="120"/>
            </w:tcMar>
            <w:vAlign w:val="center"/>
          </w:tcPr>
          <w:p>
            <w:r>
              <w:rPr>
                <w:b w:val="false"/>
                <w:bCs w:val="false"/>
                <w:color w:val="000000"/>
                <w:sz w:val="20"/>
                <w:szCs w:val="20"/>
              </w:rPr>
              <w:t xml:space="preserve">Movie rating suggesting caution for children under 13.</w:t>
            </w:r>
          </w:p>
        </w:tc>
      </w:tr>
    </w:tbl>
    <w:p>
      <w:pPr>
        <w:spacing w:after="160" w:line="300"/>
        <w:jc w:val="both"/>
      </w:pPr>
      <w:r>
        <w:rPr>
          <w:b w:val="false"/>
          <w:bCs w:val="false"/>
          <w:i w:val="false"/>
          <w:iCs w:val="false"/>
          <w:color w:val="000000"/>
          <w:sz w:val="22"/>
          <w:szCs w:val="22"/>
        </w:rPr>
        <w:t xml:space="preserve">Business meaning: Over 60% of the catalogue is rated for mature or teen-plus audiences (TV-MA + TV-14 combined), showing that Netflix's content mix leans toward adult and young-adult viewers rather than young children.</w:t>
      </w:r>
    </w:p>
    <w:p>
      <w:pPr>
        <w:spacing w:after="100" w:before="15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86000"/>
                    </a:xfrm>
                    <a:prstGeom prst="rect">
                      <a:avLst/>
                    </a:prstGeom>
                  </pic:spPr>
                </pic:pic>
              </a:graphicData>
            </a:graphic>
          </wp:inline>
        </w:drawing>
      </w:r>
    </w:p>
    <w:p>
      <w:pPr>
        <w:spacing w:after="240"/>
        <w:jc w:val="center"/>
      </w:pPr>
      <w:r>
        <w:rPr>
          <w:i/>
          <w:iCs/>
          <w:color w:val="595959"/>
          <w:sz w:val="18"/>
          <w:szCs w:val="18"/>
        </w:rPr>
        <w:t xml:space="preserve">Chart 2: Top 10 Content Ratings on Netflix</w:t>
      </w:r>
    </w:p>
    <w:p>
      <w:r>
        <w:br w:type="page"/>
      </w:r>
    </w:p>
    <w:p>
      <w:pPr>
        <w:pStyle w:val="Heading1"/>
        <w:pBdr>
          <w:bottom w:val="single" w:color="E50914" w:sz="8" w:space="4"/>
        </w:pBdr>
        <w:spacing w:after="200" w:before="400"/>
      </w:pPr>
      <w:r>
        <w:rPr>
          <w:b/>
          <w:bCs/>
          <w:color w:val="221F1F"/>
          <w:sz w:val="32"/>
          <w:szCs w:val="32"/>
        </w:rPr>
        <w:t xml:space="preserve">14. Bivariate Analysis</w:t>
      </w:r>
    </w:p>
    <w:p>
      <w:pPr>
        <w:spacing w:after="160" w:line="300"/>
        <w:jc w:val="both"/>
      </w:pPr>
      <w:r>
        <w:rPr>
          <w:b w:val="false"/>
          <w:bCs w:val="false"/>
          <w:i w:val="false"/>
          <w:iCs w:val="false"/>
          <w:color w:val="000000"/>
          <w:sz w:val="22"/>
          <w:szCs w:val="22"/>
        </w:rPr>
        <w:t xml:space="preserve">Bivariate analysis compares two variables together to uncover relationships between them.</w:t>
      </w:r>
    </w:p>
    <w:p>
      <w:pPr>
        <w:pStyle w:val="Heading3"/>
        <w:spacing w:after="100" w:before="200"/>
      </w:pPr>
      <w:r>
        <w:rPr>
          <w:b/>
          <w:bCs/>
          <w:color w:val="221F1F"/>
          <w:sz w:val="22"/>
          <w:szCs w:val="22"/>
        </w:rPr>
        <w:t xml:space="preserve">Country vs Number of Titles (Bar Chart)</w:t>
      </w:r>
    </w:p>
    <w:p>
      <w:pPr>
        <w:spacing w:after="100" w:before="150"/>
        <w:jc w:val="center"/>
      </w:pPr>
      <w:r>
        <w:drawing>
          <wp:inline distT="0" distB="0" distL="0" distR="0">
            <wp:extent cx="3619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571750"/>
                    </a:xfrm>
                    <a:prstGeom prst="rect">
                      <a:avLst/>
                    </a:prstGeom>
                  </pic:spPr>
                </pic:pic>
              </a:graphicData>
            </a:graphic>
          </wp:inline>
        </w:drawing>
      </w:r>
    </w:p>
    <w:p>
      <w:pPr>
        <w:spacing w:after="240"/>
        <w:jc w:val="center"/>
      </w:pPr>
      <w:r>
        <w:rPr>
          <w:i/>
          <w:iCs/>
          <w:color w:val="595959"/>
          <w:sz w:val="18"/>
          <w:szCs w:val="18"/>
        </w:rPr>
        <w:t xml:space="preserve">Chart 3: Top 10 Countries by Number of Titles</w:t>
      </w:r>
    </w:p>
    <w:p>
      <w:pPr>
        <w:spacing w:after="160" w:line="300"/>
        <w:jc w:val="both"/>
      </w:pPr>
      <w:r>
        <w:rPr>
          <w:b w:val="false"/>
          <w:bCs w:val="false"/>
          <w:i w:val="false"/>
          <w:iCs w:val="false"/>
          <w:color w:val="000000"/>
          <w:sz w:val="22"/>
          <w:szCs w:val="22"/>
        </w:rPr>
        <w:t xml:space="preserve">Relationship: There is a steep drop-off after the top 3 countries — the United States alone accounts for far more titles than any other single country.</w:t>
      </w:r>
    </w:p>
    <w:p>
      <w:pPr>
        <w:spacing w:after="160" w:line="300"/>
        <w:jc w:val="both"/>
      </w:pPr>
      <w:r>
        <w:rPr>
          <w:b w:val="false"/>
          <w:bCs w:val="false"/>
          <w:i w:val="false"/>
          <w:iCs w:val="false"/>
          <w:color w:val="000000"/>
          <w:sz w:val="22"/>
          <w:szCs w:val="22"/>
        </w:rPr>
        <w:t xml:space="preserve">Trend: Content production is heavily concentrated in a small number of countries, with the remaining 124 countries contributing far smaller shares each.</w:t>
      </w:r>
    </w:p>
    <w:p>
      <w:pPr>
        <w:spacing w:after="160" w:line="300"/>
        <w:jc w:val="both"/>
      </w:pPr>
      <w:r>
        <w:rPr>
          <w:b w:val="false"/>
          <w:bCs w:val="false"/>
          <w:i w:val="false"/>
          <w:iCs w:val="false"/>
          <w:color w:val="000000"/>
          <w:sz w:val="22"/>
          <w:szCs w:val="22"/>
        </w:rPr>
        <w:t xml:space="preserve">Business interpretation: The United States, India, and the United Kingdom together supply a large share of Netflix's catalogue, suggesting these three markets are Netflix's primary content-sourcing hubs.</w:t>
      </w:r>
    </w:p>
    <w:p>
      <w:pPr>
        <w:pStyle w:val="Heading3"/>
        <w:spacing w:after="100" w:before="200"/>
      </w:pPr>
      <w:r>
        <w:rPr>
          <w:b/>
          <w:bCs/>
          <w:color w:val="221F1F"/>
          <w:sz w:val="22"/>
          <w:szCs w:val="22"/>
        </w:rPr>
        <w:t xml:space="preserve">Date Added vs Number of Titles (Line Chart)</w:t>
      </w:r>
    </w:p>
    <w:p>
      <w:pPr>
        <w:spacing w:after="100" w:before="15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86000"/>
                    </a:xfrm>
                    <a:prstGeom prst="rect">
                      <a:avLst/>
                    </a:prstGeom>
                  </pic:spPr>
                </pic:pic>
              </a:graphicData>
            </a:graphic>
          </wp:inline>
        </w:drawing>
      </w:r>
    </w:p>
    <w:p>
      <w:pPr>
        <w:spacing w:after="240"/>
        <w:jc w:val="center"/>
      </w:pPr>
      <w:r>
        <w:rPr>
          <w:i/>
          <w:iCs/>
          <w:color w:val="595959"/>
          <w:sz w:val="18"/>
          <w:szCs w:val="18"/>
        </w:rPr>
        <w:t xml:space="preserve">Chart 4: Number of Titles Added to Netflix per Year</w:t>
      </w:r>
    </w:p>
    <w:p>
      <w:pPr>
        <w:spacing w:after="160" w:line="300"/>
        <w:jc w:val="both"/>
      </w:pPr>
      <w:r>
        <w:rPr>
          <w:b w:val="false"/>
          <w:bCs w:val="false"/>
          <w:i w:val="false"/>
          <w:iCs w:val="false"/>
          <w:color w:val="000000"/>
          <w:sz w:val="22"/>
          <w:szCs w:val="22"/>
        </w:rPr>
        <w:t xml:space="preserve">Relationship: The number of titles added per year grew slowly until 2015, then rose sharply from 2016 to 2019, before declining in 2020 and 2021.</w:t>
      </w:r>
    </w:p>
    <w:p>
      <w:pPr>
        <w:spacing w:after="160" w:line="300"/>
        <w:jc w:val="both"/>
      </w:pPr>
      <w:r>
        <w:rPr>
          <w:b w:val="false"/>
          <w:bCs w:val="false"/>
          <w:i w:val="false"/>
          <w:iCs w:val="false"/>
          <w:color w:val="000000"/>
          <w:sz w:val="22"/>
          <w:szCs w:val="22"/>
        </w:rPr>
        <w:t xml:space="preserve">Trend: Content addition peaked in 2019 (2,016 titles) and dropped afterward, most likely linked to production slowdowns during the COVID-19 pandemic.</w:t>
      </w:r>
    </w:p>
    <w:p>
      <w:pPr>
        <w:spacing w:after="160" w:line="300"/>
        <w:jc w:val="both"/>
      </w:pPr>
      <w:r>
        <w:rPr>
          <w:b w:val="false"/>
          <w:bCs w:val="false"/>
          <w:i w:val="false"/>
          <w:iCs w:val="false"/>
          <w:color w:val="000000"/>
          <w:sz w:val="22"/>
          <w:szCs w:val="22"/>
        </w:rPr>
        <w:t xml:space="preserve">Business interpretation: Netflix's most aggressive catalogue expansion happened between 2016 and 2019; the recent slowdown is a useful signal for planning future content pipelines.</w:t>
      </w:r>
    </w:p>
    <w:p>
      <w:pPr>
        <w:pStyle w:val="Heading3"/>
        <w:spacing w:after="100" w:before="200"/>
      </w:pPr>
      <w:r>
        <w:rPr>
          <w:b/>
          <w:bCs/>
          <w:color w:val="221F1F"/>
          <w:sz w:val="22"/>
          <w:szCs w:val="22"/>
        </w:rPr>
        <w:t xml:space="preserve">Type vs Duration (Box-style Distribution)</w:t>
      </w:r>
    </w:p>
    <w:p>
      <w:pPr>
        <w:spacing w:after="100" w:before="15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86000"/>
                    </a:xfrm>
                    <a:prstGeom prst="rect">
                      <a:avLst/>
                    </a:prstGeom>
                  </pic:spPr>
                </pic:pic>
              </a:graphicData>
            </a:graphic>
          </wp:inline>
        </w:drawing>
      </w:r>
    </w:p>
    <w:p>
      <w:pPr>
        <w:spacing w:after="240"/>
        <w:jc w:val="center"/>
      </w:pPr>
      <w:r>
        <w:rPr>
          <w:i/>
          <w:iCs/>
          <w:color w:val="595959"/>
          <w:sz w:val="18"/>
          <w:szCs w:val="18"/>
        </w:rPr>
        <w:t xml:space="preserve">Chart 5: Distribution of Movie Duration (Minutes)</w:t>
      </w:r>
    </w:p>
    <w:p>
      <w:pPr>
        <w:spacing w:after="160" w:line="300"/>
        <w:jc w:val="both"/>
      </w:pPr>
      <w:r>
        <w:rPr>
          <w:b w:val="false"/>
          <w:bCs w:val="false"/>
          <w:i w:val="false"/>
          <w:iCs w:val="false"/>
          <w:color w:val="000000"/>
          <w:sz w:val="22"/>
          <w:szCs w:val="22"/>
        </w:rPr>
        <w:t xml:space="preserve">Relationship: Movie durations cluster tightly around the 85–115 minute range, with a long tail of longer movies extending toward 300 minutes.</w:t>
      </w:r>
    </w:p>
    <w:p>
      <w:pPr>
        <w:spacing w:after="160" w:line="300"/>
        <w:jc w:val="both"/>
      </w:pPr>
      <w:r>
        <w:rPr>
          <w:b w:val="false"/>
          <w:bCs w:val="false"/>
          <w:i w:val="false"/>
          <w:iCs w:val="false"/>
          <w:color w:val="000000"/>
          <w:sz w:val="22"/>
          <w:szCs w:val="22"/>
        </w:rPr>
        <w:t xml:space="preserve">Business interpretation: Netflix movies mostly follow standard feature-film runtimes, so major outliers (very long films) are the exception rather than the norm.</w:t>
      </w:r>
    </w:p>
    <w:p>
      <w:r>
        <w:br w:type="page"/>
      </w:r>
    </w:p>
    <w:p>
      <w:pPr>
        <w:pStyle w:val="Heading1"/>
        <w:pBdr>
          <w:bottom w:val="single" w:color="E50914" w:sz="8" w:space="4"/>
        </w:pBdr>
        <w:spacing w:after="200" w:before="400"/>
      </w:pPr>
      <w:r>
        <w:rPr>
          <w:b/>
          <w:bCs/>
          <w:color w:val="221F1F"/>
          <w:sz w:val="32"/>
          <w:szCs w:val="32"/>
        </w:rPr>
        <w:t xml:space="preserve">15. Multivariate Analysis</w:t>
      </w:r>
    </w:p>
    <w:p>
      <w:pPr>
        <w:pStyle w:val="Heading3"/>
        <w:spacing w:after="100" w:before="200"/>
      </w:pPr>
      <w:r>
        <w:rPr>
          <w:b/>
          <w:bCs/>
          <w:color w:val="221F1F"/>
          <w:sz w:val="22"/>
          <w:szCs w:val="22"/>
        </w:rPr>
        <w:t xml:space="preserve">Pivot Table: Content Type by Top 5 Countries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E50914" w:val="clear"/>
            <w:tcMar>
              <w:top w:type="dxa" w:w="100"/>
              <w:left w:type="dxa" w:w="120"/>
              <w:bottom w:type="dxa" w:w="100"/>
              <w:right w:type="dxa" w:w="120"/>
            </w:tcMar>
            <w:vAlign w:val="center"/>
          </w:tcPr>
          <w:p>
            <w:r>
              <w:rPr>
                <w:b/>
                <w:bCs/>
                <w:color w:val="FFFFFF"/>
                <w:sz w:val="20"/>
                <w:szCs w:val="20"/>
              </w:rPr>
              <w:t xml:space="preserve">Country</w:t>
            </w:r>
          </w:p>
        </w:tc>
        <w:tc>
          <w:tcPr>
            <w:tcW w:type="dxa" w:w="3100"/>
            <w:shd w:fill="E50914" w:val="clear"/>
            <w:tcMar>
              <w:top w:type="dxa" w:w="100"/>
              <w:left w:type="dxa" w:w="120"/>
              <w:bottom w:type="dxa" w:w="100"/>
              <w:right w:type="dxa" w:w="120"/>
            </w:tcMar>
            <w:vAlign w:val="center"/>
          </w:tcPr>
          <w:p>
            <w:r>
              <w:rPr>
                <w:b/>
                <w:bCs/>
                <w:color w:val="FFFFFF"/>
                <w:sz w:val="20"/>
                <w:szCs w:val="20"/>
              </w:rPr>
              <w:t xml:space="preserve">Movies</w:t>
            </w:r>
          </w:p>
        </w:tc>
        <w:tc>
          <w:tcPr>
            <w:tcW w:type="dxa" w:w="3150"/>
            <w:shd w:fill="E50914" w:val="clear"/>
            <w:tcMar>
              <w:top w:type="dxa" w:w="100"/>
              <w:left w:type="dxa" w:w="120"/>
              <w:bottom w:type="dxa" w:w="100"/>
              <w:right w:type="dxa" w:w="120"/>
            </w:tcMar>
            <w:vAlign w:val="center"/>
          </w:tcPr>
          <w:p>
            <w:r>
              <w:rPr>
                <w:b/>
                <w:bCs/>
                <w:color w:val="FFFFFF"/>
                <w:sz w:val="20"/>
                <w:szCs w:val="20"/>
              </w:rPr>
              <w:t xml:space="preserve">TV Shows</w:t>
            </w:r>
          </w:p>
        </w:tc>
      </w:tr>
      <w:tr>
        <w:tc>
          <w:tcPr>
            <w:tcW w:type="dxa" w:w="3100"/>
            <w:tcMar>
              <w:top w:type="dxa" w:w="100"/>
              <w:left w:type="dxa" w:w="120"/>
              <w:bottom w:type="dxa" w:w="100"/>
              <w:right w:type="dxa" w:w="120"/>
            </w:tcMar>
            <w:vAlign w:val="center"/>
          </w:tcPr>
          <w:p>
            <w:r>
              <w:rPr>
                <w:b w:val="false"/>
                <w:bCs w:val="false"/>
                <w:color w:val="000000"/>
                <w:sz w:val="20"/>
                <w:szCs w:val="20"/>
              </w:rPr>
              <w:t xml:space="preserve">United States</w:t>
            </w:r>
          </w:p>
        </w:tc>
        <w:tc>
          <w:tcPr>
            <w:tcW w:type="dxa" w:w="3100"/>
            <w:tcMar>
              <w:top w:type="dxa" w:w="100"/>
              <w:left w:type="dxa" w:w="120"/>
              <w:bottom w:type="dxa" w:w="100"/>
              <w:right w:type="dxa" w:w="120"/>
            </w:tcMar>
            <w:vAlign w:val="center"/>
          </w:tcPr>
          <w:p>
            <w:r>
              <w:rPr>
                <w:b w:val="false"/>
                <w:bCs w:val="false"/>
                <w:color w:val="000000"/>
                <w:sz w:val="20"/>
                <w:szCs w:val="20"/>
              </w:rPr>
              <w:t xml:space="preserve">2,751</w:t>
            </w:r>
          </w:p>
        </w:tc>
        <w:tc>
          <w:tcPr>
            <w:tcW w:type="dxa" w:w="3150"/>
            <w:tcMar>
              <w:top w:type="dxa" w:w="100"/>
              <w:left w:type="dxa" w:w="120"/>
              <w:bottom w:type="dxa" w:w="100"/>
              <w:right w:type="dxa" w:w="120"/>
            </w:tcMar>
            <w:vAlign w:val="center"/>
          </w:tcPr>
          <w:p>
            <w:r>
              <w:rPr>
                <w:b w:val="false"/>
                <w:bCs w:val="false"/>
                <w:color w:val="000000"/>
                <w:sz w:val="20"/>
                <w:szCs w:val="20"/>
              </w:rPr>
              <w:t xml:space="preserve">938</w:t>
            </w:r>
          </w:p>
        </w:tc>
      </w:tr>
      <w:tr>
        <w:tc>
          <w:tcPr>
            <w:tcW w:type="dxa" w:w="3100"/>
            <w:shd w:fill="F2F2F2" w:val="clear"/>
            <w:tcMar>
              <w:top w:type="dxa" w:w="100"/>
              <w:left w:type="dxa" w:w="120"/>
              <w:bottom w:type="dxa" w:w="100"/>
              <w:right w:type="dxa" w:w="120"/>
            </w:tcMar>
            <w:vAlign w:val="center"/>
          </w:tcPr>
          <w:p>
            <w:r>
              <w:rPr>
                <w:b w:val="false"/>
                <w:bCs w:val="false"/>
                <w:color w:val="000000"/>
                <w:sz w:val="20"/>
                <w:szCs w:val="20"/>
              </w:rPr>
              <w:t xml:space="preserve">India</w:t>
            </w:r>
          </w:p>
        </w:tc>
        <w:tc>
          <w:tcPr>
            <w:tcW w:type="dxa" w:w="3100"/>
            <w:shd w:fill="F2F2F2" w:val="clear"/>
            <w:tcMar>
              <w:top w:type="dxa" w:w="100"/>
              <w:left w:type="dxa" w:w="120"/>
              <w:bottom w:type="dxa" w:w="100"/>
              <w:right w:type="dxa" w:w="120"/>
            </w:tcMar>
            <w:vAlign w:val="center"/>
          </w:tcPr>
          <w:p>
            <w:r>
              <w:rPr>
                <w:b w:val="false"/>
                <w:bCs w:val="false"/>
                <w:color w:val="000000"/>
                <w:sz w:val="20"/>
                <w:szCs w:val="20"/>
              </w:rPr>
              <w:t xml:space="preserve">962</w:t>
            </w:r>
          </w:p>
        </w:tc>
        <w:tc>
          <w:tcPr>
            <w:tcW w:type="dxa" w:w="3150"/>
            <w:shd w:fill="F2F2F2" w:val="clear"/>
            <w:tcMar>
              <w:top w:type="dxa" w:w="100"/>
              <w:left w:type="dxa" w:w="120"/>
              <w:bottom w:type="dxa" w:w="100"/>
              <w:right w:type="dxa" w:w="120"/>
            </w:tcMar>
            <w:vAlign w:val="center"/>
          </w:tcPr>
          <w:p>
            <w:r>
              <w:rPr>
                <w:b w:val="false"/>
                <w:bCs w:val="false"/>
                <w:color w:val="000000"/>
                <w:sz w:val="20"/>
                <w:szCs w:val="20"/>
              </w:rPr>
              <w:t xml:space="preserve">84</w:t>
            </w:r>
          </w:p>
        </w:tc>
      </w:tr>
      <w:tr>
        <w:tc>
          <w:tcPr>
            <w:tcW w:type="dxa" w:w="3100"/>
            <w:tcMar>
              <w:top w:type="dxa" w:w="100"/>
              <w:left w:type="dxa" w:w="120"/>
              <w:bottom w:type="dxa" w:w="100"/>
              <w:right w:type="dxa" w:w="120"/>
            </w:tcMar>
            <w:vAlign w:val="center"/>
          </w:tcPr>
          <w:p>
            <w:r>
              <w:rPr>
                <w:b w:val="false"/>
                <w:bCs w:val="false"/>
                <w:color w:val="000000"/>
                <w:sz w:val="20"/>
                <w:szCs w:val="20"/>
              </w:rPr>
              <w:t xml:space="preserve">United Kingdom</w:t>
            </w:r>
          </w:p>
        </w:tc>
        <w:tc>
          <w:tcPr>
            <w:tcW w:type="dxa" w:w="3100"/>
            <w:tcMar>
              <w:top w:type="dxa" w:w="100"/>
              <w:left w:type="dxa" w:w="120"/>
              <w:bottom w:type="dxa" w:w="100"/>
              <w:right w:type="dxa" w:w="120"/>
            </w:tcMar>
            <w:vAlign w:val="center"/>
          </w:tcPr>
          <w:p>
            <w:r>
              <w:rPr>
                <w:b w:val="false"/>
                <w:bCs w:val="false"/>
                <w:color w:val="000000"/>
                <w:sz w:val="20"/>
                <w:szCs w:val="20"/>
              </w:rPr>
              <w:t xml:space="preserve">532</w:t>
            </w:r>
          </w:p>
        </w:tc>
        <w:tc>
          <w:tcPr>
            <w:tcW w:type="dxa" w:w="3150"/>
            <w:tcMar>
              <w:top w:type="dxa" w:w="100"/>
              <w:left w:type="dxa" w:w="120"/>
              <w:bottom w:type="dxa" w:w="100"/>
              <w:right w:type="dxa" w:w="120"/>
            </w:tcMar>
            <w:vAlign w:val="center"/>
          </w:tcPr>
          <w:p>
            <w:r>
              <w:rPr>
                <w:b w:val="false"/>
                <w:bCs w:val="false"/>
                <w:color w:val="000000"/>
                <w:sz w:val="20"/>
                <w:szCs w:val="20"/>
              </w:rPr>
              <w:t xml:space="preserve">272</w:t>
            </w:r>
          </w:p>
        </w:tc>
      </w:tr>
      <w:tr>
        <w:tc>
          <w:tcPr>
            <w:tcW w:type="dxa" w:w="3100"/>
            <w:shd w:fill="F2F2F2" w:val="clear"/>
            <w:tcMar>
              <w:top w:type="dxa" w:w="100"/>
              <w:left w:type="dxa" w:w="120"/>
              <w:bottom w:type="dxa" w:w="100"/>
              <w:right w:type="dxa" w:w="120"/>
            </w:tcMar>
            <w:vAlign w:val="center"/>
          </w:tcPr>
          <w:p>
            <w:r>
              <w:rPr>
                <w:b w:val="false"/>
                <w:bCs w:val="false"/>
                <w:color w:val="000000"/>
                <w:sz w:val="20"/>
                <w:szCs w:val="20"/>
              </w:rPr>
              <w:t xml:space="preserve">Canada</w:t>
            </w:r>
          </w:p>
        </w:tc>
        <w:tc>
          <w:tcPr>
            <w:tcW w:type="dxa" w:w="3100"/>
            <w:shd w:fill="F2F2F2" w:val="clear"/>
            <w:tcMar>
              <w:top w:type="dxa" w:w="100"/>
              <w:left w:type="dxa" w:w="120"/>
              <w:bottom w:type="dxa" w:w="100"/>
              <w:right w:type="dxa" w:w="120"/>
            </w:tcMar>
            <w:vAlign w:val="center"/>
          </w:tcPr>
          <w:p>
            <w:r>
              <w:rPr>
                <w:b w:val="false"/>
                <w:bCs w:val="false"/>
                <w:color w:val="000000"/>
                <w:sz w:val="20"/>
                <w:szCs w:val="20"/>
              </w:rPr>
              <w:t xml:space="preserve">319</w:t>
            </w:r>
          </w:p>
        </w:tc>
        <w:tc>
          <w:tcPr>
            <w:tcW w:type="dxa" w:w="3150"/>
            <w:shd w:fill="F2F2F2" w:val="clear"/>
            <w:tcMar>
              <w:top w:type="dxa" w:w="100"/>
              <w:left w:type="dxa" w:w="120"/>
              <w:bottom w:type="dxa" w:w="100"/>
              <w:right w:type="dxa" w:w="120"/>
            </w:tcMar>
            <w:vAlign w:val="center"/>
          </w:tcPr>
          <w:p>
            <w:r>
              <w:rPr>
                <w:b w:val="false"/>
                <w:bCs w:val="false"/>
                <w:color w:val="000000"/>
                <w:sz w:val="20"/>
                <w:szCs w:val="20"/>
              </w:rPr>
              <w:t xml:space="preserve">126</w:t>
            </w:r>
          </w:p>
        </w:tc>
      </w:tr>
      <w:tr>
        <w:tc>
          <w:tcPr>
            <w:tcW w:type="dxa" w:w="3100"/>
            <w:tcMar>
              <w:top w:type="dxa" w:w="100"/>
              <w:left w:type="dxa" w:w="120"/>
              <w:bottom w:type="dxa" w:w="100"/>
              <w:right w:type="dxa" w:w="120"/>
            </w:tcMar>
            <w:vAlign w:val="center"/>
          </w:tcPr>
          <w:p>
            <w:r>
              <w:rPr>
                <w:b w:val="false"/>
                <w:bCs w:val="false"/>
                <w:color w:val="000000"/>
                <w:sz w:val="20"/>
                <w:szCs w:val="20"/>
              </w:rPr>
              <w:t xml:space="preserve">France</w:t>
            </w:r>
          </w:p>
        </w:tc>
        <w:tc>
          <w:tcPr>
            <w:tcW w:type="dxa" w:w="3100"/>
            <w:tcMar>
              <w:top w:type="dxa" w:w="100"/>
              <w:left w:type="dxa" w:w="120"/>
              <w:bottom w:type="dxa" w:w="100"/>
              <w:right w:type="dxa" w:w="120"/>
            </w:tcMar>
            <w:vAlign w:val="center"/>
          </w:tcPr>
          <w:p>
            <w:r>
              <w:rPr>
                <w:b w:val="false"/>
                <w:bCs w:val="false"/>
                <w:color w:val="000000"/>
                <w:sz w:val="20"/>
                <w:szCs w:val="20"/>
              </w:rPr>
              <w:t xml:space="preserve">303</w:t>
            </w:r>
          </w:p>
        </w:tc>
        <w:tc>
          <w:tcPr>
            <w:tcW w:type="dxa" w:w="3150"/>
            <w:tcMar>
              <w:top w:type="dxa" w:w="100"/>
              <w:left w:type="dxa" w:w="120"/>
              <w:bottom w:type="dxa" w:w="100"/>
              <w:right w:type="dxa" w:w="120"/>
            </w:tcMar>
            <w:vAlign w:val="center"/>
          </w:tcPr>
          <w:p>
            <w:r>
              <w:rPr>
                <w:b w:val="false"/>
                <w:bCs w:val="false"/>
                <w:color w:val="000000"/>
                <w:sz w:val="20"/>
                <w:szCs w:val="20"/>
              </w:rPr>
              <w:t xml:space="preserve">90</w:t>
            </w:r>
          </w:p>
        </w:tc>
      </w:tr>
    </w:tbl>
    <w:p>
      <w:pPr>
        <w:spacing w:after="160" w:line="300"/>
        <w:jc w:val="both"/>
      </w:pPr>
      <w:r>
        <w:rPr>
          <w:b w:val="false"/>
          <w:bCs w:val="false"/>
          <w:i w:val="false"/>
          <w:iCs w:val="false"/>
          <w:color w:val="000000"/>
          <w:sz w:val="22"/>
          <w:szCs w:val="22"/>
        </w:rPr>
        <w:t xml:space="preserve">Finding: India produces far more Movies than TV Shows (a ratio of roughly 11 to 1), while the United Kingdom has a much more balanced Movie-to-TV-Show ratio (about 2 to 1). This shows that content mix strategy differs meaningfully by country.</w:t>
      </w:r>
    </w:p>
    <w:p>
      <w:pPr>
        <w:pStyle w:val="Heading3"/>
        <w:spacing w:after="100" w:before="200"/>
      </w:pPr>
      <w:r>
        <w:rPr>
          <w:b/>
          <w:bCs/>
          <w:color w:val="221F1F"/>
          <w:sz w:val="22"/>
          <w:szCs w:val="22"/>
        </w:rPr>
        <w:t xml:space="preserve">GroupBy Analysis: Release Year Trend by Content Type</w:t>
      </w:r>
    </w:p>
    <w:p>
      <w:pPr>
        <w:spacing w:after="100" w:before="15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86000"/>
                    </a:xfrm>
                    <a:prstGeom prst="rect">
                      <a:avLst/>
                    </a:prstGeom>
                  </pic:spPr>
                </pic:pic>
              </a:graphicData>
            </a:graphic>
          </wp:inline>
        </w:drawing>
      </w:r>
    </w:p>
    <w:p>
      <w:pPr>
        <w:spacing w:after="240"/>
        <w:jc w:val="center"/>
      </w:pPr>
      <w:r>
        <w:rPr>
          <w:i/>
          <w:iCs/>
          <w:color w:val="595959"/>
          <w:sz w:val="18"/>
          <w:szCs w:val="18"/>
        </w:rPr>
        <w:t xml:space="preserve">Chart 6: Content Release Year Trend — Movies vs TV Shows</w:t>
      </w:r>
    </w:p>
    <w:p>
      <w:pPr>
        <w:spacing w:after="160" w:line="300"/>
        <w:jc w:val="both"/>
      </w:pPr>
      <w:r>
        <w:rPr>
          <w:b w:val="false"/>
          <w:bCs w:val="false"/>
          <w:i w:val="false"/>
          <w:iCs w:val="false"/>
          <w:color w:val="000000"/>
          <w:sz w:val="22"/>
          <w:szCs w:val="22"/>
        </w:rPr>
        <w:t xml:space="preserve">Finding: Both Movies and TV Shows show rising release-year counts through the late 2010s, but TV Show releases grew at a faster relative pace after 2015, reflecting the broader industry shift toward prestige and binge-worthy streaming series.</w:t>
      </w:r>
    </w:p>
    <w:p>
      <w:pPr>
        <w:pStyle w:val="Heading3"/>
        <w:spacing w:after="100" w:before="200"/>
      </w:pPr>
      <w:r>
        <w:rPr>
          <w:b/>
          <w:bCs/>
          <w:color w:val="221F1F"/>
          <w:sz w:val="22"/>
          <w:szCs w:val="22"/>
        </w:rPr>
        <w:t xml:space="preserve">Top Genres (Multi-label GroupBy)</w:t>
      </w:r>
    </w:p>
    <w:p>
      <w:pPr>
        <w:spacing w:after="100" w:before="150"/>
        <w:jc w:val="center"/>
      </w:pPr>
      <w:r>
        <w:drawing>
          <wp:inline distT="0" distB="0" distL="0" distR="0">
            <wp:extent cx="3619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571750"/>
                    </a:xfrm>
                    <a:prstGeom prst="rect">
                      <a:avLst/>
                    </a:prstGeom>
                  </pic:spPr>
                </pic:pic>
              </a:graphicData>
            </a:graphic>
          </wp:inline>
        </w:drawing>
      </w:r>
    </w:p>
    <w:p>
      <w:pPr>
        <w:spacing w:after="240"/>
        <w:jc w:val="center"/>
      </w:pPr>
      <w:r>
        <w:rPr>
          <w:i/>
          <w:iCs/>
          <w:color w:val="595959"/>
          <w:sz w:val="18"/>
          <w:szCs w:val="18"/>
        </w:rPr>
        <w:t xml:space="preserve">Chart 7: Top 10 Genres/Categories on Netflix</w:t>
      </w:r>
    </w:p>
    <w:p>
      <w:pPr>
        <w:spacing w:after="160" w:line="300"/>
        <w:jc w:val="both"/>
      </w:pPr>
      <w:r>
        <w:rPr>
          <w:b w:val="false"/>
          <w:bCs w:val="false"/>
          <w:i w:val="false"/>
          <w:iCs w:val="false"/>
          <w:color w:val="000000"/>
          <w:sz w:val="22"/>
          <w:szCs w:val="22"/>
        </w:rPr>
        <w:t xml:space="preserve">Finding: "International Movies" (2,752 tags), "Dramas" (2,427 tags) and "Comedies" (1,674 tags) are the three most frequently applied genre tags. Because a single title can belong to multiple genres, these counts reflect tag frequency, not unique title counts.</w:t>
      </w:r>
    </w:p>
    <w:p>
      <w:r>
        <w:br w:type="page"/>
      </w:r>
    </w:p>
    <w:p>
      <w:pPr>
        <w:pStyle w:val="Heading1"/>
        <w:pBdr>
          <w:bottom w:val="single" w:color="E50914" w:sz="8" w:space="4"/>
        </w:pBdr>
        <w:spacing w:after="200" w:before="400"/>
      </w:pPr>
      <w:r>
        <w:rPr>
          <w:b/>
          <w:bCs/>
          <w:color w:val="221F1F"/>
          <w:sz w:val="32"/>
          <w:szCs w:val="32"/>
        </w:rPr>
        <w:t xml:space="preserve">16. Feature Engineering</w:t>
      </w:r>
    </w:p>
    <w:p>
      <w:pPr>
        <w:spacing w:after="160" w:line="300"/>
        <w:jc w:val="both"/>
      </w:pPr>
      <w:r>
        <w:rPr>
          <w:b w:val="false"/>
          <w:bCs w:val="false"/>
          <w:i w:val="false"/>
          <w:iCs w:val="false"/>
          <w:color w:val="000000"/>
          <w:sz w:val="22"/>
          <w:szCs w:val="22"/>
        </w:rPr>
        <w:t xml:space="preserve">The following new features were created from existing columns to make analysis easier:</w:t>
      </w:r>
    </w:p>
    <w:p>
      <w:pPr>
        <w:pStyle w:val="Heading3"/>
        <w:spacing w:after="100" w:before="200"/>
      </w:pPr>
      <w:r>
        <w:rPr>
          <w:b/>
          <w:bCs/>
          <w:color w:val="221F1F"/>
          <w:sz w:val="22"/>
          <w:szCs w:val="22"/>
        </w:rPr>
        <w:t xml:space="preserve">duration_num and duration_unit</w:t>
      </w:r>
    </w:p>
    <w:p>
      <w:pPr>
        <w:pStyle w:val="ListParagraph"/>
        <w:numPr>
          <w:ilvl w:val="0"/>
          <w:numId w:val="2"/>
        </w:numPr>
        <w:spacing w:after="90"/>
      </w:pPr>
      <w:r>
        <w:rPr>
          <w:b/>
          <w:bCs/>
          <w:sz w:val="22"/>
          <w:szCs w:val="22"/>
        </w:rPr>
        <w:t xml:space="preserve">Why it was created: </w:t>
      </w:r>
      <w:r>
        <w:rPr>
          <w:sz w:val="22"/>
          <w:szCs w:val="22"/>
        </w:rPr>
        <w:t xml:space="preserve">The original duration column mixed numbers and text (e.g., "90 min", "2 Seasons"), which cannot be used directly in numerical analysis or charts.</w:t>
      </w:r>
    </w:p>
    <w:p>
      <w:pPr>
        <w:pStyle w:val="ListParagraph"/>
        <w:numPr>
          <w:ilvl w:val="0"/>
          <w:numId w:val="2"/>
        </w:numPr>
        <w:spacing w:after="90"/>
      </w:pPr>
      <w:r>
        <w:rPr>
          <w:b/>
          <w:bCs/>
          <w:sz w:val="22"/>
          <w:szCs w:val="22"/>
        </w:rPr>
        <w:t xml:space="preserve">Business benefit: </w:t>
      </w:r>
      <w:r>
        <w:rPr>
          <w:sz w:val="22"/>
          <w:szCs w:val="22"/>
        </w:rPr>
        <w:t xml:space="preserve">Splitting it into a numeric value and a unit made it possible to calculate average movie length and average number of TV seasons, and to build the duration distribution charts.</w:t>
      </w:r>
    </w:p>
    <w:p>
      <w:pPr>
        <w:pStyle w:val="Heading3"/>
        <w:spacing w:after="100" w:before="200"/>
      </w:pPr>
      <w:r>
        <w:rPr>
          <w:b/>
          <w:bCs/>
          <w:color w:val="221F1F"/>
          <w:sz w:val="22"/>
          <w:szCs w:val="22"/>
        </w:rPr>
        <w:t xml:space="preserve">date_added_parsed</w:t>
      </w:r>
    </w:p>
    <w:p>
      <w:pPr>
        <w:pStyle w:val="ListParagraph"/>
        <w:numPr>
          <w:ilvl w:val="0"/>
          <w:numId w:val="2"/>
        </w:numPr>
        <w:spacing w:after="90"/>
      </w:pPr>
      <w:r>
        <w:rPr>
          <w:b/>
          <w:bCs/>
          <w:sz w:val="22"/>
          <w:szCs w:val="22"/>
        </w:rPr>
        <w:t xml:space="preserve">Why it was created: </w:t>
      </w:r>
      <w:r>
        <w:rPr>
          <w:sz w:val="22"/>
          <w:szCs w:val="22"/>
        </w:rPr>
        <w:t xml:space="preserve">The original date_added column was stored as text, so trends over time could not be calculated.</w:t>
      </w:r>
    </w:p>
    <w:p>
      <w:pPr>
        <w:pStyle w:val="ListParagraph"/>
        <w:numPr>
          <w:ilvl w:val="0"/>
          <w:numId w:val="2"/>
        </w:numPr>
        <w:spacing w:after="90"/>
      </w:pPr>
      <w:r>
        <w:rPr>
          <w:b/>
          <w:bCs/>
          <w:sz w:val="22"/>
          <w:szCs w:val="22"/>
        </w:rPr>
        <w:t xml:space="preserve">Business benefit: </w:t>
      </w:r>
      <w:r>
        <w:rPr>
          <w:sz w:val="22"/>
          <w:szCs w:val="22"/>
        </w:rPr>
        <w:t xml:space="preserve">Converting it to a proper date type allowed titles to be grouped by year, revealing the catalogue growth trend shown in Chart 4.</w:t>
      </w:r>
    </w:p>
    <w:p>
      <w:pPr>
        <w:pStyle w:val="Heading3"/>
        <w:spacing w:after="100" w:before="200"/>
      </w:pPr>
      <w:r>
        <w:rPr>
          <w:b/>
          <w:bCs/>
          <w:color w:val="221F1F"/>
          <w:sz w:val="22"/>
          <w:szCs w:val="22"/>
        </w:rPr>
        <w:t xml:space="preserve">Exploded Country and Genre Columns</w:t>
      </w:r>
    </w:p>
    <w:p>
      <w:pPr>
        <w:pStyle w:val="ListParagraph"/>
        <w:numPr>
          <w:ilvl w:val="0"/>
          <w:numId w:val="2"/>
        </w:numPr>
        <w:spacing w:after="90"/>
      </w:pPr>
      <w:r>
        <w:rPr>
          <w:b/>
          <w:bCs/>
          <w:sz w:val="22"/>
          <w:szCs w:val="22"/>
        </w:rPr>
        <w:t xml:space="preserve">Why it was created: </w:t>
      </w:r>
      <w:r>
        <w:rPr>
          <w:sz w:val="22"/>
          <w:szCs w:val="22"/>
        </w:rPr>
        <w:t xml:space="preserve">Many titles list multiple countries or genres in a single cell, separated by commas (e.g., "United States, India"), which would undercount each individual country or genre if left as-is.</w:t>
      </w:r>
    </w:p>
    <w:p>
      <w:pPr>
        <w:pStyle w:val="ListParagraph"/>
        <w:numPr>
          <w:ilvl w:val="0"/>
          <w:numId w:val="2"/>
        </w:numPr>
        <w:spacing w:after="90"/>
      </w:pPr>
      <w:r>
        <w:rPr>
          <w:b/>
          <w:bCs/>
          <w:sz w:val="22"/>
          <w:szCs w:val="22"/>
        </w:rPr>
        <w:t xml:space="preserve">Business benefit: </w:t>
      </w:r>
      <w:r>
        <w:rPr>
          <w:sz w:val="22"/>
          <w:szCs w:val="22"/>
        </w:rPr>
        <w:t xml:space="preserve">Splitting these into individual entries (one row per country/genre) allowed for an accurate count of each country's and genre's true contribution to the catalogue.</w:t>
      </w:r>
    </w:p>
    <w:p>
      <w:r>
        <w:br w:type="page"/>
      </w:r>
    </w:p>
    <w:p>
      <w:pPr>
        <w:pStyle w:val="Heading1"/>
        <w:pBdr>
          <w:bottom w:val="single" w:color="E50914" w:sz="8" w:space="4"/>
        </w:pBdr>
        <w:spacing w:after="200" w:before="400"/>
      </w:pPr>
      <w:r>
        <w:rPr>
          <w:b/>
          <w:bCs/>
          <w:color w:val="221F1F"/>
          <w:sz w:val="32"/>
          <w:szCs w:val="32"/>
        </w:rPr>
        <w:t xml:space="preserve">17. Data Visualization</w:t>
      </w:r>
    </w:p>
    <w:p>
      <w:pPr>
        <w:spacing w:after="160" w:line="300"/>
        <w:jc w:val="both"/>
      </w:pPr>
      <w:r>
        <w:rPr>
          <w:b w:val="false"/>
          <w:bCs w:val="false"/>
          <w:i w:val="false"/>
          <w:iCs w:val="false"/>
          <w:color w:val="000000"/>
          <w:sz w:val="22"/>
          <w:szCs w:val="22"/>
        </w:rPr>
        <w:t xml:space="preserve">All charts used in this report are summarized below, along with the reasoning behind each chart choice, the key observation, and its business interpretation. (Charts already shown earlier in this report are referenced again here for completeness; the TV Show Seasons and Missing Values charts are shown for the first time below.)</w:t>
      </w:r>
    </w:p>
    <w:p>
      <w:pPr>
        <w:spacing w:after="100" w:before="15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286000"/>
                    </a:xfrm>
                    <a:prstGeom prst="rect">
                      <a:avLst/>
                    </a:prstGeom>
                  </pic:spPr>
                </pic:pic>
              </a:graphicData>
            </a:graphic>
          </wp:inline>
        </w:drawing>
      </w:r>
    </w:p>
    <w:p>
      <w:pPr>
        <w:spacing w:after="240"/>
        <w:jc w:val="center"/>
      </w:pPr>
      <w:r>
        <w:rPr>
          <w:i/>
          <w:iCs/>
          <w:color w:val="595959"/>
          <w:sz w:val="18"/>
          <w:szCs w:val="18"/>
        </w:rPr>
        <w:t xml:space="preserve">Chart 8: Distribution of TV Show Seasons</w:t>
      </w:r>
    </w:p>
    <w:p>
      <w:pPr>
        <w:spacing w:after="160" w:line="300"/>
        <w:jc w:val="both"/>
      </w:pPr>
      <w:r>
        <w:rPr>
          <w:b w:val="false"/>
          <w:bCs w:val="false"/>
          <w:i w:val="false"/>
          <w:iCs w:val="false"/>
          <w:color w:val="000000"/>
          <w:sz w:val="22"/>
          <w:szCs w:val="22"/>
        </w:rPr>
        <w:t xml:space="preserve">Observation: The vast majority of TV Shows have just 1 or 2 seasons, with very few extending beyond 5 seasons. Business interpretation: Netflix's TV strategy favors a large volume of shorter-run series over a small number of long-running ones.</w:t>
      </w:r>
    </w:p>
    <w:p>
      <w:pPr>
        <w:spacing w:after="100" w:before="15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286000"/>
                    </a:xfrm>
                    <a:prstGeom prst="rect">
                      <a:avLst/>
                    </a:prstGeom>
                  </pic:spPr>
                </pic:pic>
              </a:graphicData>
            </a:graphic>
          </wp:inline>
        </w:drawing>
      </w:r>
    </w:p>
    <w:p>
      <w:pPr>
        <w:spacing w:after="240"/>
        <w:jc w:val="center"/>
      </w:pPr>
      <w:r>
        <w:rPr>
          <w:i/>
          <w:iCs/>
          <w:color w:val="595959"/>
          <w:sz w:val="18"/>
          <w:szCs w:val="18"/>
        </w:rPr>
        <w:t xml:space="preserve">Chart 9: Missing Values by Column (Before Cleaning)</w:t>
      </w:r>
    </w:p>
    <w:p>
      <w:pPr>
        <w:spacing w:after="160" w:line="300"/>
        <w:jc w:val="both"/>
      </w:pPr>
      <w:r>
        <w:rPr>
          <w:b w:val="false"/>
          <w:bCs w:val="false"/>
          <w:i w:val="false"/>
          <w:iCs w:val="false"/>
          <w:color w:val="000000"/>
          <w:sz w:val="22"/>
          <w:szCs w:val="22"/>
        </w:rPr>
        <w:t xml:space="preserve">Observation: The director column had by far the most missing entries, followed by cast and country. Business interpretation: Director information is the least consistently available metadata field, which is worth noting for any future analysis relying on director-level data.</w:t>
      </w:r>
    </w:p>
    <w:p>
      <w:pPr>
        <w:spacing w:after="100"/>
      </w:pPr>
    </w:p>
    <w:p>
      <w:pPr>
        <w:pStyle w:val="Heading3"/>
        <w:spacing w:after="100" w:before="200"/>
      </w:pPr>
      <w:r>
        <w:rPr>
          <w:b/>
          <w:bCs/>
          <w:color w:val="221F1F"/>
          <w:sz w:val="22"/>
          <w:szCs w:val="22"/>
        </w:rPr>
        <w:t xml:space="preserve">Chart Reference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650"/>
        <w:gridCol w:w="3000"/>
      </w:tblGrid>
      <w:tr>
        <w:trPr>
          <w:tblHeader/>
        </w:trPr>
        <w:tc>
          <w:tcPr>
            <w:tcW w:type="dxa" w:w="2100"/>
            <w:shd w:fill="E50914" w:val="clear"/>
            <w:tcMar>
              <w:top w:type="dxa" w:w="100"/>
              <w:left w:type="dxa" w:w="120"/>
              <w:bottom w:type="dxa" w:w="100"/>
              <w:right w:type="dxa" w:w="120"/>
            </w:tcMar>
            <w:vAlign w:val="center"/>
          </w:tcPr>
          <w:p>
            <w:r>
              <w:rPr>
                <w:b/>
                <w:bCs/>
                <w:color w:val="FFFFFF"/>
                <w:sz w:val="20"/>
                <w:szCs w:val="20"/>
              </w:rPr>
              <w:t xml:space="preserve">Chart</w:t>
            </w:r>
          </w:p>
        </w:tc>
        <w:tc>
          <w:tcPr>
            <w:tcW w:type="dxa" w:w="2600"/>
            <w:shd w:fill="E50914" w:val="clear"/>
            <w:tcMar>
              <w:top w:type="dxa" w:w="100"/>
              <w:left w:type="dxa" w:w="120"/>
              <w:bottom w:type="dxa" w:w="100"/>
              <w:right w:type="dxa" w:w="120"/>
            </w:tcMar>
            <w:vAlign w:val="center"/>
          </w:tcPr>
          <w:p>
            <w:r>
              <w:rPr>
                <w:b/>
                <w:bCs/>
                <w:color w:val="FFFFFF"/>
                <w:sz w:val="20"/>
                <w:szCs w:val="20"/>
              </w:rPr>
              <w:t xml:space="preserve">Objective</w:t>
            </w:r>
          </w:p>
        </w:tc>
        <w:tc>
          <w:tcPr>
            <w:tcW w:type="dxa" w:w="1650"/>
            <w:shd w:fill="E50914" w:val="clear"/>
            <w:tcMar>
              <w:top w:type="dxa" w:w="100"/>
              <w:left w:type="dxa" w:w="120"/>
              <w:bottom w:type="dxa" w:w="100"/>
              <w:right w:type="dxa" w:w="120"/>
            </w:tcMar>
            <w:vAlign w:val="center"/>
          </w:tcPr>
          <w:p>
            <w:r>
              <w:rPr>
                <w:b/>
                <w:bCs/>
                <w:color w:val="FFFFFF"/>
                <w:sz w:val="20"/>
                <w:szCs w:val="20"/>
              </w:rPr>
              <w:t xml:space="preserve">Type</w:t>
            </w:r>
          </w:p>
        </w:tc>
        <w:tc>
          <w:tcPr>
            <w:tcW w:type="dxa" w:w="3000"/>
            <w:shd w:fill="E50914" w:val="clear"/>
            <w:tcMar>
              <w:top w:type="dxa" w:w="100"/>
              <w:left w:type="dxa" w:w="120"/>
              <w:bottom w:type="dxa" w:w="100"/>
              <w:right w:type="dxa" w:w="120"/>
            </w:tcMar>
            <w:vAlign w:val="center"/>
          </w:tcPr>
          <w:p>
            <w:r>
              <w:rPr>
                <w:b/>
                <w:bCs/>
                <w:color w:val="FFFFFF"/>
                <w:sz w:val="20"/>
                <w:szCs w:val="20"/>
              </w:rPr>
              <w:t xml:space="preserve">Key Observation</w:t>
            </w:r>
          </w:p>
        </w:tc>
      </w:tr>
      <w:tr>
        <w:tc>
          <w:tcPr>
            <w:tcW w:type="dxa" w:w="2100"/>
            <w:tcMar>
              <w:top w:type="dxa" w:w="100"/>
              <w:left w:type="dxa" w:w="120"/>
              <w:bottom w:type="dxa" w:w="100"/>
              <w:right w:type="dxa" w:w="120"/>
            </w:tcMar>
            <w:vAlign w:val="center"/>
          </w:tcPr>
          <w:p>
            <w:r>
              <w:rPr>
                <w:b w:val="false"/>
                <w:bCs w:val="false"/>
                <w:color w:val="000000"/>
                <w:sz w:val="20"/>
                <w:szCs w:val="20"/>
              </w:rPr>
              <w:t xml:space="preserve">Content Type Distribution</w:t>
            </w:r>
          </w:p>
        </w:tc>
        <w:tc>
          <w:tcPr>
            <w:tcW w:type="dxa" w:w="2600"/>
            <w:tcMar>
              <w:top w:type="dxa" w:w="100"/>
              <w:left w:type="dxa" w:w="120"/>
              <w:bottom w:type="dxa" w:w="100"/>
              <w:right w:type="dxa" w:w="120"/>
            </w:tcMar>
            <w:vAlign w:val="center"/>
          </w:tcPr>
          <w:p>
            <w:r>
              <w:rPr>
                <w:b w:val="false"/>
                <w:bCs w:val="false"/>
                <w:color w:val="000000"/>
                <w:sz w:val="20"/>
                <w:szCs w:val="20"/>
              </w:rPr>
              <w:t xml:space="preserve">Show the split between Movies and TV Shows.</w:t>
            </w:r>
          </w:p>
        </w:tc>
        <w:tc>
          <w:tcPr>
            <w:tcW w:type="dxa" w:w="1650"/>
            <w:tcMar>
              <w:top w:type="dxa" w:w="100"/>
              <w:left w:type="dxa" w:w="120"/>
              <w:bottom w:type="dxa" w:w="100"/>
              <w:right w:type="dxa" w:w="120"/>
            </w:tcMar>
            <w:vAlign w:val="center"/>
          </w:tcPr>
          <w:p>
            <w:r>
              <w:rPr>
                <w:b w:val="false"/>
                <w:bCs w:val="false"/>
                <w:color w:val="000000"/>
                <w:sz w:val="20"/>
                <w:szCs w:val="20"/>
              </w:rPr>
              <w:t xml:space="preserve">Bar Chart</w:t>
            </w:r>
          </w:p>
        </w:tc>
        <w:tc>
          <w:tcPr>
            <w:tcW w:type="dxa" w:w="3000"/>
            <w:tcMar>
              <w:top w:type="dxa" w:w="100"/>
              <w:left w:type="dxa" w:w="120"/>
              <w:bottom w:type="dxa" w:w="100"/>
              <w:right w:type="dxa" w:w="120"/>
            </w:tcMar>
            <w:vAlign w:val="center"/>
          </w:tcPr>
          <w:p>
            <w:r>
              <w:rPr>
                <w:b w:val="false"/>
                <w:bCs w:val="false"/>
                <w:color w:val="000000"/>
                <w:sz w:val="20"/>
                <w:szCs w:val="20"/>
              </w:rPr>
              <w:t xml:space="preserve">Movies outnumber TV Shows by more than 2 to 1.</w:t>
            </w:r>
          </w:p>
        </w:tc>
      </w:tr>
      <w:tr>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Top 10 Countries</w:t>
            </w:r>
          </w:p>
        </w:tc>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Identify the leading content-producing countries.</w:t>
            </w:r>
          </w:p>
        </w:tc>
        <w:tc>
          <w:tcPr>
            <w:tcW w:type="dxa" w:w="1650"/>
            <w:shd w:fill="F2F2F2" w:val="clear"/>
            <w:tcMar>
              <w:top w:type="dxa" w:w="100"/>
              <w:left w:type="dxa" w:w="120"/>
              <w:bottom w:type="dxa" w:w="100"/>
              <w:right w:type="dxa" w:w="120"/>
            </w:tcMar>
            <w:vAlign w:val="center"/>
          </w:tcPr>
          <w:p>
            <w:r>
              <w:rPr>
                <w:b w:val="false"/>
                <w:bCs w:val="false"/>
                <w:color w:val="000000"/>
                <w:sz w:val="20"/>
                <w:szCs w:val="20"/>
              </w:rPr>
              <w:t xml:space="preserve">Horizontal Bar Chart</w:t>
            </w:r>
          </w:p>
        </w:tc>
        <w:tc>
          <w:tcPr>
            <w:tcW w:type="dxa" w:w="3000"/>
            <w:shd w:fill="F2F2F2" w:val="clear"/>
            <w:tcMar>
              <w:top w:type="dxa" w:w="100"/>
              <w:left w:type="dxa" w:w="120"/>
              <w:bottom w:type="dxa" w:w="100"/>
              <w:right w:type="dxa" w:w="120"/>
            </w:tcMar>
            <w:vAlign w:val="center"/>
          </w:tcPr>
          <w:p>
            <w:r>
              <w:rPr>
                <w:b w:val="false"/>
                <w:bCs w:val="false"/>
                <w:color w:val="000000"/>
                <w:sz w:val="20"/>
                <w:szCs w:val="20"/>
              </w:rPr>
              <w:t xml:space="preserve">The US, India, and UK lead by a wide margin.</w:t>
            </w:r>
          </w:p>
        </w:tc>
      </w:tr>
      <w:tr>
        <w:tc>
          <w:tcPr>
            <w:tcW w:type="dxa" w:w="2100"/>
            <w:tcMar>
              <w:top w:type="dxa" w:w="100"/>
              <w:left w:type="dxa" w:w="120"/>
              <w:bottom w:type="dxa" w:w="100"/>
              <w:right w:type="dxa" w:w="120"/>
            </w:tcMar>
            <w:vAlign w:val="center"/>
          </w:tcPr>
          <w:p>
            <w:r>
              <w:rPr>
                <w:b w:val="false"/>
                <w:bCs w:val="false"/>
                <w:color w:val="000000"/>
                <w:sz w:val="20"/>
                <w:szCs w:val="20"/>
              </w:rPr>
              <w:t xml:space="preserve">Titles Added per Year</w:t>
            </w:r>
          </w:p>
        </w:tc>
        <w:tc>
          <w:tcPr>
            <w:tcW w:type="dxa" w:w="2600"/>
            <w:tcMar>
              <w:top w:type="dxa" w:w="100"/>
              <w:left w:type="dxa" w:w="120"/>
              <w:bottom w:type="dxa" w:w="100"/>
              <w:right w:type="dxa" w:w="120"/>
            </w:tcMar>
            <w:vAlign w:val="center"/>
          </w:tcPr>
          <w:p>
            <w:r>
              <w:rPr>
                <w:b w:val="false"/>
                <w:bCs w:val="false"/>
                <w:color w:val="000000"/>
                <w:sz w:val="20"/>
                <w:szCs w:val="20"/>
              </w:rPr>
              <w:t xml:space="preserve">Track catalogue growth over time.</w:t>
            </w:r>
          </w:p>
        </w:tc>
        <w:tc>
          <w:tcPr>
            <w:tcW w:type="dxa" w:w="1650"/>
            <w:tcMar>
              <w:top w:type="dxa" w:w="100"/>
              <w:left w:type="dxa" w:w="120"/>
              <w:bottom w:type="dxa" w:w="100"/>
              <w:right w:type="dxa" w:w="120"/>
            </w:tcMar>
            <w:vAlign w:val="center"/>
          </w:tcPr>
          <w:p>
            <w:r>
              <w:rPr>
                <w:b w:val="false"/>
                <w:bCs w:val="false"/>
                <w:color w:val="000000"/>
                <w:sz w:val="20"/>
                <w:szCs w:val="20"/>
              </w:rPr>
              <w:t xml:space="preserve">Line Chart</w:t>
            </w:r>
          </w:p>
        </w:tc>
        <w:tc>
          <w:tcPr>
            <w:tcW w:type="dxa" w:w="3000"/>
            <w:tcMar>
              <w:top w:type="dxa" w:w="100"/>
              <w:left w:type="dxa" w:w="120"/>
              <w:bottom w:type="dxa" w:w="100"/>
              <w:right w:type="dxa" w:w="120"/>
            </w:tcMar>
            <w:vAlign w:val="center"/>
          </w:tcPr>
          <w:p>
            <w:r>
              <w:rPr>
                <w:b w:val="false"/>
                <w:bCs w:val="false"/>
                <w:color w:val="000000"/>
                <w:sz w:val="20"/>
                <w:szCs w:val="20"/>
              </w:rPr>
              <w:t xml:space="preserve">Sharp growth 2016–2019, decline in 2020–2021.</w:t>
            </w:r>
          </w:p>
        </w:tc>
      </w:tr>
      <w:tr>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Top 10 Genres</w:t>
            </w:r>
          </w:p>
        </w:tc>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Identify the most common content genres.</w:t>
            </w:r>
          </w:p>
        </w:tc>
        <w:tc>
          <w:tcPr>
            <w:tcW w:type="dxa" w:w="1650"/>
            <w:shd w:fill="F2F2F2" w:val="clear"/>
            <w:tcMar>
              <w:top w:type="dxa" w:w="100"/>
              <w:left w:type="dxa" w:w="120"/>
              <w:bottom w:type="dxa" w:w="100"/>
              <w:right w:type="dxa" w:w="120"/>
            </w:tcMar>
            <w:vAlign w:val="center"/>
          </w:tcPr>
          <w:p>
            <w:r>
              <w:rPr>
                <w:b w:val="false"/>
                <w:bCs w:val="false"/>
                <w:color w:val="000000"/>
                <w:sz w:val="20"/>
                <w:szCs w:val="20"/>
              </w:rPr>
              <w:t xml:space="preserve">Horizontal Bar Chart</w:t>
            </w:r>
          </w:p>
        </w:tc>
        <w:tc>
          <w:tcPr>
            <w:tcW w:type="dxa" w:w="3000"/>
            <w:shd w:fill="F2F2F2" w:val="clear"/>
            <w:tcMar>
              <w:top w:type="dxa" w:w="100"/>
              <w:left w:type="dxa" w:w="120"/>
              <w:bottom w:type="dxa" w:w="100"/>
              <w:right w:type="dxa" w:w="120"/>
            </w:tcMar>
            <w:vAlign w:val="center"/>
          </w:tcPr>
          <w:p>
            <w:r>
              <w:rPr>
                <w:b w:val="false"/>
                <w:bCs w:val="false"/>
                <w:color w:val="000000"/>
                <w:sz w:val="20"/>
                <w:szCs w:val="20"/>
              </w:rPr>
              <w:t xml:space="preserve">International Movies, Dramas, and Comedies lead.</w:t>
            </w:r>
          </w:p>
        </w:tc>
      </w:tr>
      <w:tr>
        <w:tc>
          <w:tcPr>
            <w:tcW w:type="dxa" w:w="2100"/>
            <w:tcMar>
              <w:top w:type="dxa" w:w="100"/>
              <w:left w:type="dxa" w:w="120"/>
              <w:bottom w:type="dxa" w:w="100"/>
              <w:right w:type="dxa" w:w="120"/>
            </w:tcMar>
            <w:vAlign w:val="center"/>
          </w:tcPr>
          <w:p>
            <w:r>
              <w:rPr>
                <w:b w:val="false"/>
                <w:bCs w:val="false"/>
                <w:color w:val="000000"/>
                <w:sz w:val="20"/>
                <w:szCs w:val="20"/>
              </w:rPr>
              <w:t xml:space="preserve">Top 10 Content Ratings</w:t>
            </w:r>
          </w:p>
        </w:tc>
        <w:tc>
          <w:tcPr>
            <w:tcW w:type="dxa" w:w="2600"/>
            <w:tcMar>
              <w:top w:type="dxa" w:w="100"/>
              <w:left w:type="dxa" w:w="120"/>
              <w:bottom w:type="dxa" w:w="100"/>
              <w:right w:type="dxa" w:w="120"/>
            </w:tcMar>
            <w:vAlign w:val="center"/>
          </w:tcPr>
          <w:p>
            <w:r>
              <w:rPr>
                <w:b w:val="false"/>
                <w:bCs w:val="false"/>
                <w:color w:val="000000"/>
                <w:sz w:val="20"/>
                <w:szCs w:val="20"/>
              </w:rPr>
              <w:t xml:space="preserve">Show the audience/maturity mix of the catalogue.</w:t>
            </w:r>
          </w:p>
        </w:tc>
        <w:tc>
          <w:tcPr>
            <w:tcW w:type="dxa" w:w="1650"/>
            <w:tcMar>
              <w:top w:type="dxa" w:w="100"/>
              <w:left w:type="dxa" w:w="120"/>
              <w:bottom w:type="dxa" w:w="100"/>
              <w:right w:type="dxa" w:w="120"/>
            </w:tcMar>
            <w:vAlign w:val="center"/>
          </w:tcPr>
          <w:p>
            <w:r>
              <w:rPr>
                <w:b w:val="false"/>
                <w:bCs w:val="false"/>
                <w:color w:val="000000"/>
                <w:sz w:val="20"/>
                <w:szCs w:val="20"/>
              </w:rPr>
              <w:t xml:space="preserve">Bar Chart</w:t>
            </w:r>
          </w:p>
        </w:tc>
        <w:tc>
          <w:tcPr>
            <w:tcW w:type="dxa" w:w="3000"/>
            <w:tcMar>
              <w:top w:type="dxa" w:w="100"/>
              <w:left w:type="dxa" w:w="120"/>
              <w:bottom w:type="dxa" w:w="100"/>
              <w:right w:type="dxa" w:w="120"/>
            </w:tcMar>
            <w:vAlign w:val="center"/>
          </w:tcPr>
          <w:p>
            <w:r>
              <w:rPr>
                <w:b w:val="false"/>
                <w:bCs w:val="false"/>
                <w:color w:val="000000"/>
                <w:sz w:val="20"/>
                <w:szCs w:val="20"/>
              </w:rPr>
              <w:t xml:space="preserve">TV-MA and TV-14 dominate.</w:t>
            </w:r>
          </w:p>
        </w:tc>
      </w:tr>
      <w:tr>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Movie Duration Distribution</w:t>
            </w:r>
          </w:p>
        </w:tc>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Show how long Netflix movies typically run.</w:t>
            </w:r>
          </w:p>
        </w:tc>
        <w:tc>
          <w:tcPr>
            <w:tcW w:type="dxa" w:w="1650"/>
            <w:shd w:fill="F2F2F2" w:val="clear"/>
            <w:tcMar>
              <w:top w:type="dxa" w:w="100"/>
              <w:left w:type="dxa" w:w="120"/>
              <w:bottom w:type="dxa" w:w="100"/>
              <w:right w:type="dxa" w:w="120"/>
            </w:tcMar>
            <w:vAlign w:val="center"/>
          </w:tcPr>
          <w:p>
            <w:r>
              <w:rPr>
                <w:b w:val="false"/>
                <w:bCs w:val="false"/>
                <w:color w:val="000000"/>
                <w:sz w:val="20"/>
                <w:szCs w:val="20"/>
              </w:rPr>
              <w:t xml:space="preserve">Histogram</w:t>
            </w:r>
          </w:p>
        </w:tc>
        <w:tc>
          <w:tcPr>
            <w:tcW w:type="dxa" w:w="3000"/>
            <w:shd w:fill="F2F2F2" w:val="clear"/>
            <w:tcMar>
              <w:top w:type="dxa" w:w="100"/>
              <w:left w:type="dxa" w:w="120"/>
              <w:bottom w:type="dxa" w:w="100"/>
              <w:right w:type="dxa" w:w="120"/>
            </w:tcMar>
            <w:vAlign w:val="center"/>
          </w:tcPr>
          <w:p>
            <w:r>
              <w:rPr>
                <w:b w:val="false"/>
                <w:bCs w:val="false"/>
                <w:color w:val="000000"/>
                <w:sz w:val="20"/>
                <w:szCs w:val="20"/>
              </w:rPr>
              <w:t xml:space="preserve">Most movies run 85–115 minutes.</w:t>
            </w:r>
          </w:p>
        </w:tc>
      </w:tr>
      <w:tr>
        <w:tc>
          <w:tcPr>
            <w:tcW w:type="dxa" w:w="2100"/>
            <w:tcMar>
              <w:top w:type="dxa" w:w="100"/>
              <w:left w:type="dxa" w:w="120"/>
              <w:bottom w:type="dxa" w:w="100"/>
              <w:right w:type="dxa" w:w="120"/>
            </w:tcMar>
            <w:vAlign w:val="center"/>
          </w:tcPr>
          <w:p>
            <w:r>
              <w:rPr>
                <w:b w:val="false"/>
                <w:bCs w:val="false"/>
                <w:color w:val="000000"/>
                <w:sz w:val="20"/>
                <w:szCs w:val="20"/>
              </w:rPr>
              <w:t xml:space="preserve">TV Show Seasons Distribution</w:t>
            </w:r>
          </w:p>
        </w:tc>
        <w:tc>
          <w:tcPr>
            <w:tcW w:type="dxa" w:w="2600"/>
            <w:tcMar>
              <w:top w:type="dxa" w:w="100"/>
              <w:left w:type="dxa" w:w="120"/>
              <w:bottom w:type="dxa" w:w="100"/>
              <w:right w:type="dxa" w:w="120"/>
            </w:tcMar>
            <w:vAlign w:val="center"/>
          </w:tcPr>
          <w:p>
            <w:r>
              <w:rPr>
                <w:b w:val="false"/>
                <w:bCs w:val="false"/>
                <w:color w:val="000000"/>
                <w:sz w:val="20"/>
                <w:szCs w:val="20"/>
              </w:rPr>
              <w:t xml:space="preserve">Show how many seasons TV Shows typically have.</w:t>
            </w:r>
          </w:p>
        </w:tc>
        <w:tc>
          <w:tcPr>
            <w:tcW w:type="dxa" w:w="1650"/>
            <w:tcMar>
              <w:top w:type="dxa" w:w="100"/>
              <w:left w:type="dxa" w:w="120"/>
              <w:bottom w:type="dxa" w:w="100"/>
              <w:right w:type="dxa" w:w="120"/>
            </w:tcMar>
            <w:vAlign w:val="center"/>
          </w:tcPr>
          <w:p>
            <w:r>
              <w:rPr>
                <w:b w:val="false"/>
                <w:bCs w:val="false"/>
                <w:color w:val="000000"/>
                <w:sz w:val="20"/>
                <w:szCs w:val="20"/>
              </w:rPr>
              <w:t xml:space="preserve">Bar Chart</w:t>
            </w:r>
          </w:p>
        </w:tc>
        <w:tc>
          <w:tcPr>
            <w:tcW w:type="dxa" w:w="3000"/>
            <w:tcMar>
              <w:top w:type="dxa" w:w="100"/>
              <w:left w:type="dxa" w:w="120"/>
              <w:bottom w:type="dxa" w:w="100"/>
              <w:right w:type="dxa" w:w="120"/>
            </w:tcMar>
            <w:vAlign w:val="center"/>
          </w:tcPr>
          <w:p>
            <w:r>
              <w:rPr>
                <w:b w:val="false"/>
                <w:bCs w:val="false"/>
                <w:color w:val="000000"/>
                <w:sz w:val="20"/>
                <w:szCs w:val="20"/>
              </w:rPr>
              <w:t xml:space="preserve">67% of TV Shows have only 1 season.</w:t>
            </w:r>
          </w:p>
        </w:tc>
      </w:tr>
      <w:tr>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Release Year Trend by Type</w:t>
            </w:r>
          </w:p>
        </w:tc>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Compare Movie vs TV Show release trends.</w:t>
            </w:r>
          </w:p>
        </w:tc>
        <w:tc>
          <w:tcPr>
            <w:tcW w:type="dxa" w:w="1650"/>
            <w:shd w:fill="F2F2F2" w:val="clear"/>
            <w:tcMar>
              <w:top w:type="dxa" w:w="100"/>
              <w:left w:type="dxa" w:w="120"/>
              <w:bottom w:type="dxa" w:w="100"/>
              <w:right w:type="dxa" w:w="120"/>
            </w:tcMar>
            <w:vAlign w:val="center"/>
          </w:tcPr>
          <w:p>
            <w:r>
              <w:rPr>
                <w:b w:val="false"/>
                <w:bCs w:val="false"/>
                <w:color w:val="000000"/>
                <w:sz w:val="20"/>
                <w:szCs w:val="20"/>
              </w:rPr>
              <w:t xml:space="preserve">Multi-Line Chart</w:t>
            </w:r>
          </w:p>
        </w:tc>
        <w:tc>
          <w:tcPr>
            <w:tcW w:type="dxa" w:w="3000"/>
            <w:shd w:fill="F2F2F2" w:val="clear"/>
            <w:tcMar>
              <w:top w:type="dxa" w:w="100"/>
              <w:left w:type="dxa" w:w="120"/>
              <w:bottom w:type="dxa" w:w="100"/>
              <w:right w:type="dxa" w:w="120"/>
            </w:tcMar>
            <w:vAlign w:val="center"/>
          </w:tcPr>
          <w:p>
            <w:r>
              <w:rPr>
                <w:b w:val="false"/>
                <w:bCs w:val="false"/>
                <w:color w:val="000000"/>
                <w:sz w:val="20"/>
                <w:szCs w:val="20"/>
              </w:rPr>
              <w:t xml:space="preserve">TV Show releases grew faster after 2015.</w:t>
            </w:r>
          </w:p>
        </w:tc>
      </w:tr>
      <w:tr>
        <w:tc>
          <w:tcPr>
            <w:tcW w:type="dxa" w:w="2100"/>
            <w:tcMar>
              <w:top w:type="dxa" w:w="100"/>
              <w:left w:type="dxa" w:w="120"/>
              <w:bottom w:type="dxa" w:w="100"/>
              <w:right w:type="dxa" w:w="120"/>
            </w:tcMar>
            <w:vAlign w:val="center"/>
          </w:tcPr>
          <w:p>
            <w:r>
              <w:rPr>
                <w:b w:val="false"/>
                <w:bCs w:val="false"/>
                <w:color w:val="000000"/>
                <w:sz w:val="20"/>
                <w:szCs w:val="20"/>
              </w:rPr>
              <w:t xml:space="preserve">Missing Values by Column</w:t>
            </w:r>
          </w:p>
        </w:tc>
        <w:tc>
          <w:tcPr>
            <w:tcW w:type="dxa" w:w="2600"/>
            <w:tcMar>
              <w:top w:type="dxa" w:w="100"/>
              <w:left w:type="dxa" w:w="120"/>
              <w:bottom w:type="dxa" w:w="100"/>
              <w:right w:type="dxa" w:w="120"/>
            </w:tcMar>
            <w:vAlign w:val="center"/>
          </w:tcPr>
          <w:p>
            <w:r>
              <w:rPr>
                <w:b w:val="false"/>
                <w:bCs w:val="false"/>
                <w:color w:val="000000"/>
                <w:sz w:val="20"/>
                <w:szCs w:val="20"/>
              </w:rPr>
              <w:t xml:space="preserve">Visualize data-quality gaps before cleaning.</w:t>
            </w:r>
          </w:p>
        </w:tc>
        <w:tc>
          <w:tcPr>
            <w:tcW w:type="dxa" w:w="1650"/>
            <w:tcMar>
              <w:top w:type="dxa" w:w="100"/>
              <w:left w:type="dxa" w:w="120"/>
              <w:bottom w:type="dxa" w:w="100"/>
              <w:right w:type="dxa" w:w="120"/>
            </w:tcMar>
            <w:vAlign w:val="center"/>
          </w:tcPr>
          <w:p>
            <w:r>
              <w:rPr>
                <w:b w:val="false"/>
                <w:bCs w:val="false"/>
                <w:color w:val="000000"/>
                <w:sz w:val="20"/>
                <w:szCs w:val="20"/>
              </w:rPr>
              <w:t xml:space="preserve">Bar Chart</w:t>
            </w:r>
          </w:p>
        </w:tc>
        <w:tc>
          <w:tcPr>
            <w:tcW w:type="dxa" w:w="3000"/>
            <w:tcMar>
              <w:top w:type="dxa" w:w="100"/>
              <w:left w:type="dxa" w:w="120"/>
              <w:bottom w:type="dxa" w:w="100"/>
              <w:right w:type="dxa" w:w="120"/>
            </w:tcMar>
            <w:vAlign w:val="center"/>
          </w:tcPr>
          <w:p>
            <w:r>
              <w:rPr>
                <w:b w:val="false"/>
                <w:bCs w:val="false"/>
                <w:color w:val="000000"/>
                <w:sz w:val="20"/>
                <w:szCs w:val="20"/>
              </w:rPr>
              <w:t xml:space="preserve">Director had the most missing values.</w:t>
            </w:r>
          </w:p>
        </w:tc>
      </w:tr>
    </w:tbl>
    <w:p>
      <w:r>
        <w:br w:type="page"/>
      </w:r>
    </w:p>
    <w:p>
      <w:pPr>
        <w:pStyle w:val="Heading1"/>
        <w:pBdr>
          <w:bottom w:val="single" w:color="E50914" w:sz="8" w:space="4"/>
        </w:pBdr>
        <w:spacing w:after="200" w:before="400"/>
      </w:pPr>
      <w:r>
        <w:rPr>
          <w:b/>
          <w:bCs/>
          <w:color w:val="221F1F"/>
          <w:sz w:val="32"/>
          <w:szCs w:val="32"/>
        </w:rPr>
        <w:t xml:space="preserve">18. Business Insights</w:t>
      </w:r>
    </w:p>
    <w:p>
      <w:pPr>
        <w:pStyle w:val="ListParagraph"/>
        <w:numPr>
          <w:ilvl w:val="0"/>
          <w:numId w:val="2"/>
        </w:numPr>
        <w:spacing w:after="90"/>
      </w:pPr>
      <w:r>
        <w:rPr>
          <w:b/>
          <w:bCs/>
          <w:sz w:val="22"/>
          <w:szCs w:val="22"/>
        </w:rPr>
        <w:t xml:space="preserve">Movies remain the core of the catalogue: </w:t>
      </w:r>
      <w:r>
        <w:rPr>
          <w:sz w:val="22"/>
          <w:szCs w:val="22"/>
        </w:rPr>
        <w:t xml:space="preserve">At 69.6% of all titles, Movies are still the backbone of Netflix's content library, even as streaming competitors invest heavily in original series.</w:t>
      </w:r>
    </w:p>
    <w:p>
      <w:pPr>
        <w:pStyle w:val="ListParagraph"/>
        <w:numPr>
          <w:ilvl w:val="0"/>
          <w:numId w:val="2"/>
        </w:numPr>
        <w:spacing w:after="90"/>
      </w:pPr>
      <w:r>
        <w:rPr>
          <w:b/>
          <w:bCs/>
          <w:sz w:val="22"/>
          <w:szCs w:val="22"/>
        </w:rPr>
        <w:t xml:space="preserve">Content sourcing is geographically concentrated: </w:t>
      </w:r>
      <w:r>
        <w:rPr>
          <w:sz w:val="22"/>
          <w:szCs w:val="22"/>
        </w:rPr>
        <w:t xml:space="preserve">Just three countries — the United States, India, and the United Kingdom — account for a disproportionately large share of the catalogue, with 124 other countries splitting the remainder.</w:t>
      </w:r>
    </w:p>
    <w:p>
      <w:pPr>
        <w:pStyle w:val="ListParagraph"/>
        <w:numPr>
          <w:ilvl w:val="0"/>
          <w:numId w:val="2"/>
        </w:numPr>
        <w:spacing w:after="90"/>
      </w:pPr>
      <w:r>
        <w:rPr>
          <w:b/>
          <w:bCs/>
          <w:sz w:val="22"/>
          <w:szCs w:val="22"/>
        </w:rPr>
        <w:t xml:space="preserve">Catalogue growth peaked in 2019: </w:t>
      </w:r>
      <w:r>
        <w:rPr>
          <w:sz w:val="22"/>
          <w:szCs w:val="22"/>
        </w:rPr>
        <w:t xml:space="preserve">Titles added per year rose nearly 100-fold between 2011 and 2019, then declined in 2020 and 2021, a pattern consistent with pandemic-related production disruptions.</w:t>
      </w:r>
    </w:p>
    <w:p>
      <w:pPr>
        <w:pStyle w:val="ListParagraph"/>
        <w:numPr>
          <w:ilvl w:val="0"/>
          <w:numId w:val="2"/>
        </w:numPr>
        <w:spacing w:after="90"/>
      </w:pPr>
      <w:r>
        <w:rPr>
          <w:b/>
          <w:bCs/>
          <w:sz w:val="22"/>
          <w:szCs w:val="22"/>
        </w:rPr>
        <w:t xml:space="preserve">Drama and comedy are the safest genre bets: </w:t>
      </w:r>
      <w:r>
        <w:rPr>
          <w:sz w:val="22"/>
          <w:szCs w:val="22"/>
        </w:rPr>
        <w:t xml:space="preserve">"Dramas" and "Comedies" rank among the top genres consistently, suggesting these categories have broad, dependable audience appeal.</w:t>
      </w:r>
    </w:p>
    <w:p>
      <w:pPr>
        <w:pStyle w:val="ListParagraph"/>
        <w:numPr>
          <w:ilvl w:val="0"/>
          <w:numId w:val="2"/>
        </w:numPr>
        <w:spacing w:after="90"/>
      </w:pPr>
      <w:r>
        <w:rPr>
          <w:b/>
          <w:bCs/>
          <w:sz w:val="22"/>
          <w:szCs w:val="22"/>
        </w:rPr>
        <w:t xml:space="preserve">TV strategy favors short-run series: </w:t>
      </w:r>
      <w:r>
        <w:rPr>
          <w:sz w:val="22"/>
          <w:szCs w:val="22"/>
        </w:rPr>
        <w:t xml:space="preserve">67% of TV Shows have only one season, indicating Netflix commissions many shows on a trial basis rather than committing to long multi-season runs upfront.</w:t>
      </w:r>
    </w:p>
    <w:p>
      <w:pPr>
        <w:pStyle w:val="ListParagraph"/>
        <w:numPr>
          <w:ilvl w:val="0"/>
          <w:numId w:val="2"/>
        </w:numPr>
        <w:spacing w:after="90"/>
      </w:pPr>
      <w:r>
        <w:rPr>
          <w:b/>
          <w:bCs/>
          <w:sz w:val="22"/>
          <w:szCs w:val="22"/>
        </w:rPr>
        <w:t xml:space="preserve">The catalogue skews toward mature audiences: </w:t>
      </w:r>
      <w:r>
        <w:rPr>
          <w:sz w:val="22"/>
          <w:szCs w:val="22"/>
        </w:rPr>
        <w:t xml:space="preserve">TV-MA and TV-14 together make up 61% of all rated content, showing the platform's core content mix is not primarily aimed at young children.</w:t>
      </w:r>
    </w:p>
    <w:p>
      <w:pPr>
        <w:pStyle w:val="ListParagraph"/>
        <w:numPr>
          <w:ilvl w:val="0"/>
          <w:numId w:val="2"/>
        </w:numPr>
        <w:spacing w:after="90"/>
      </w:pPr>
      <w:r>
        <w:rPr>
          <w:b/>
          <w:bCs/>
          <w:sz w:val="22"/>
          <w:szCs w:val="22"/>
        </w:rPr>
        <w:t xml:space="preserve">India shows a distinct content pattern: </w:t>
      </w:r>
      <w:r>
        <w:rPr>
          <w:sz w:val="22"/>
          <w:szCs w:val="22"/>
        </w:rPr>
        <w:t xml:space="preserve">India's Movie-to-TV-Show ratio (about 11:1) is far more Movie-heavy than the US or UK, reflecting the historical dominance of the Indian film industry over episodic television in that market's Netflix offering.</w:t>
      </w:r>
    </w:p>
    <w:p>
      <w:r>
        <w:br w:type="page"/>
      </w:r>
    </w:p>
    <w:p>
      <w:pPr>
        <w:pStyle w:val="Heading1"/>
        <w:pBdr>
          <w:bottom w:val="single" w:color="E50914" w:sz="8" w:space="4"/>
        </w:pBdr>
        <w:spacing w:after="200" w:before="400"/>
      </w:pPr>
      <w:r>
        <w:rPr>
          <w:b/>
          <w:bCs/>
          <w:color w:val="221F1F"/>
          <w:sz w:val="32"/>
          <w:szCs w:val="32"/>
        </w:rPr>
        <w:t xml:space="preserve">19. Recommendations</w:t>
      </w:r>
    </w:p>
    <w:p>
      <w:pPr>
        <w:pStyle w:val="Heading3"/>
        <w:spacing w:after="100" w:before="200"/>
      </w:pPr>
      <w:r>
        <w:rPr>
          <w:b/>
          <w:bCs/>
          <w:color w:val="221F1F"/>
          <w:sz w:val="22"/>
          <w:szCs w:val="22"/>
        </w:rPr>
        <w:t xml:space="preserve">1. Diversify content sourcing beyond the top 3 countries</w:t>
      </w:r>
    </w:p>
    <w:p>
      <w:pPr>
        <w:spacing w:after="160" w:line="300"/>
        <w:jc w:val="both"/>
      </w:pPr>
      <w:r>
        <w:rPr>
          <w:b w:val="false"/>
          <w:bCs w:val="false"/>
          <w:i w:val="false"/>
          <w:iCs w:val="false"/>
          <w:color w:val="000000"/>
          <w:sz w:val="22"/>
          <w:szCs w:val="22"/>
        </w:rPr>
        <w:t xml:space="preserve">Why suggested: With the US, India, and UK dominating the catalogue, there is a clear opportunity gap in other regions. Expected business benefit: Investing in under-represented regions (e.g., broader Latin American, African, or Southeast Asian content) could attract new subscriber segments and reduce over-reliance on a few markets.</w:t>
      </w:r>
    </w:p>
    <w:p>
      <w:pPr>
        <w:pStyle w:val="Heading3"/>
        <w:spacing w:after="100" w:before="200"/>
      </w:pPr>
      <w:r>
        <w:rPr>
          <w:b/>
          <w:bCs/>
          <w:color w:val="221F1F"/>
          <w:sz w:val="22"/>
          <w:szCs w:val="22"/>
        </w:rPr>
        <w:t xml:space="preserve">2. Investigate the 2020–2021 content addition slowdown</w:t>
      </w:r>
    </w:p>
    <w:p>
      <w:pPr>
        <w:spacing w:after="160" w:line="300"/>
        <w:jc w:val="both"/>
      </w:pPr>
      <w:r>
        <w:rPr>
          <w:b w:val="false"/>
          <w:bCs w:val="false"/>
          <w:i w:val="false"/>
          <w:iCs w:val="false"/>
          <w:color w:val="000000"/>
          <w:sz w:val="22"/>
          <w:szCs w:val="22"/>
        </w:rPr>
        <w:t xml:space="preserve">Why suggested: The sharp drop in titles added after the 2019 peak stands out from the otherwise steady growth trend. Expected business benefit: Understanding whether this was purely pandemic-driven or reflects a strategic shift would help forecast and plan future content pipeline investment more accurately.</w:t>
      </w:r>
    </w:p>
    <w:p>
      <w:pPr>
        <w:pStyle w:val="Heading3"/>
        <w:spacing w:after="100" w:before="200"/>
      </w:pPr>
      <w:r>
        <w:rPr>
          <w:b/>
          <w:bCs/>
          <w:color w:val="221F1F"/>
          <w:sz w:val="22"/>
          <w:szCs w:val="22"/>
        </w:rPr>
        <w:t xml:space="preserve">3. Continue investing in Drama and Comedy genres</w:t>
      </w:r>
    </w:p>
    <w:p>
      <w:pPr>
        <w:spacing w:after="160" w:line="300"/>
        <w:jc w:val="both"/>
      </w:pPr>
      <w:r>
        <w:rPr>
          <w:b w:val="false"/>
          <w:bCs w:val="false"/>
          <w:i w:val="false"/>
          <w:iCs w:val="false"/>
          <w:color w:val="000000"/>
          <w:sz w:val="22"/>
          <w:szCs w:val="22"/>
        </w:rPr>
        <w:t xml:space="preserve">Why suggested: These genres consistently rank at the top of the catalogue by volume, suggesting proven audience demand. Expected business benefit: Prioritizing acquisition and production budgets toward these dependable genres reduces content investment risk.</w:t>
      </w:r>
    </w:p>
    <w:p>
      <w:pPr>
        <w:pStyle w:val="Heading3"/>
        <w:spacing w:after="100" w:before="200"/>
      </w:pPr>
      <w:r>
        <w:rPr>
          <w:b/>
          <w:bCs/>
          <w:color w:val="221F1F"/>
          <w:sz w:val="22"/>
          <w:szCs w:val="22"/>
        </w:rPr>
        <w:t xml:space="preserve">4. Track single-season show performance to inform renewal decisions</w:t>
      </w:r>
    </w:p>
    <w:p>
      <w:pPr>
        <w:spacing w:after="160" w:line="300"/>
        <w:jc w:val="both"/>
      </w:pPr>
      <w:r>
        <w:rPr>
          <w:b w:val="false"/>
          <w:bCs w:val="false"/>
          <w:i w:val="false"/>
          <w:iCs w:val="false"/>
          <w:color w:val="000000"/>
          <w:sz w:val="22"/>
          <w:szCs w:val="22"/>
        </w:rPr>
        <w:t xml:space="preserve">Why suggested: With 67% of TV Shows having just one season, understanding why (cancellation vs. planned limited series) would clarify content strategy. Expected business benefit: This distinction affects budget planning and helps set clearer expectations with content creators and audiences.</w:t>
      </w:r>
    </w:p>
    <w:p>
      <w:pPr>
        <w:pStyle w:val="Heading3"/>
        <w:spacing w:after="100" w:before="200"/>
      </w:pPr>
      <w:r>
        <w:rPr>
          <w:b/>
          <w:bCs/>
          <w:color w:val="221F1F"/>
          <w:sz w:val="22"/>
          <w:szCs w:val="22"/>
        </w:rPr>
        <w:t xml:space="preserve">5. Improve metadata completeness for director and cast fields</w:t>
      </w:r>
    </w:p>
    <w:p>
      <w:pPr>
        <w:spacing w:after="160" w:line="300"/>
        <w:jc w:val="both"/>
      </w:pPr>
      <w:r>
        <w:rPr>
          <w:b w:val="false"/>
          <w:bCs w:val="false"/>
          <w:i w:val="false"/>
          <w:iCs w:val="false"/>
          <w:color w:val="000000"/>
          <w:sz w:val="22"/>
          <w:szCs w:val="22"/>
        </w:rPr>
        <w:t xml:space="preserve">Why suggested: With director missing in nearly 30% of records, this metadata gap limits any future director- or cast-based analysis (e.g., identifying top-performing directors). Expected business benefit: Better metadata collection at the content-acquisition stage would unlock more precise talent-based content analysis in the future.</w:t>
      </w:r>
    </w:p>
    <w:p>
      <w:r>
        <w:br w:type="page"/>
      </w:r>
    </w:p>
    <w:p>
      <w:pPr>
        <w:pStyle w:val="Heading1"/>
        <w:pBdr>
          <w:bottom w:val="single" w:color="E50914" w:sz="8" w:space="4"/>
        </w:pBdr>
        <w:spacing w:after="200" w:before="400"/>
      </w:pPr>
      <w:r>
        <w:rPr>
          <w:b/>
          <w:bCs/>
          <w:color w:val="221F1F"/>
          <w:sz w:val="32"/>
          <w:szCs w:val="32"/>
        </w:rPr>
        <w:t xml:space="preserve">20. Challenges Faced</w:t>
      </w:r>
    </w:p>
    <w:p>
      <w:pPr>
        <w:pStyle w:val="ListParagraph"/>
        <w:numPr>
          <w:ilvl w:val="0"/>
          <w:numId w:val="2"/>
        </w:numPr>
        <w:spacing w:after="90"/>
      </w:pPr>
      <w:r>
        <w:rPr>
          <w:b/>
          <w:bCs/>
          <w:sz w:val="22"/>
          <w:szCs w:val="22"/>
        </w:rPr>
        <w:t xml:space="preserve">Missing values: </w:t>
      </w:r>
      <w:r>
        <w:rPr>
          <w:sz w:val="22"/>
          <w:szCs w:val="22"/>
        </w:rPr>
        <w:t xml:space="preserve">Three columns (director, cast, country) had substantial missing data, requiring a thoughtful approach (labeling as "Not Specified") rather than simply deleting rows and losing data.</w:t>
      </w:r>
    </w:p>
    <w:p>
      <w:pPr>
        <w:pStyle w:val="ListParagraph"/>
        <w:numPr>
          <w:ilvl w:val="0"/>
          <w:numId w:val="2"/>
        </w:numPr>
        <w:spacing w:after="90"/>
      </w:pPr>
      <w:r>
        <w:rPr>
          <w:b/>
          <w:bCs/>
          <w:sz w:val="22"/>
          <w:szCs w:val="22"/>
        </w:rPr>
        <w:t xml:space="preserve">Data quality issue in the rating column: </w:t>
      </w:r>
      <w:r>
        <w:rPr>
          <w:sz w:val="22"/>
          <w:szCs w:val="22"/>
        </w:rPr>
        <w:t xml:space="preserve">Three rows had duration values ("74 min", "84 min", "66 min") incorrectly stored in the rating field, which required manual inspection to catch and correct — a good reminder that automated cleaning alone is not always enough.</w:t>
      </w:r>
    </w:p>
    <w:p>
      <w:pPr>
        <w:pStyle w:val="ListParagraph"/>
        <w:numPr>
          <w:ilvl w:val="0"/>
          <w:numId w:val="2"/>
        </w:numPr>
        <w:spacing w:after="90"/>
      </w:pPr>
      <w:r>
        <w:rPr>
          <w:b/>
          <w:bCs/>
          <w:sz w:val="22"/>
          <w:szCs w:val="22"/>
        </w:rPr>
        <w:t xml:space="preserve">Inconsistent formatting in duration: </w:t>
      </w:r>
      <w:r>
        <w:rPr>
          <w:sz w:val="22"/>
          <w:szCs w:val="22"/>
        </w:rPr>
        <w:t xml:space="preserve">The duration column combined two very different concepts (minutes for Movies, seasons for TV Shows) in a single text field, requiring careful splitting by content type.</w:t>
      </w:r>
    </w:p>
    <w:p>
      <w:pPr>
        <w:pStyle w:val="ListParagraph"/>
        <w:numPr>
          <w:ilvl w:val="0"/>
          <w:numId w:val="2"/>
        </w:numPr>
        <w:spacing w:after="90"/>
      </w:pPr>
      <w:r>
        <w:rPr>
          <w:b/>
          <w:bCs/>
          <w:sz w:val="22"/>
          <w:szCs w:val="22"/>
        </w:rPr>
        <w:t xml:space="preserve">Multi-value fields: </w:t>
      </w:r>
      <w:r>
        <w:rPr>
          <w:sz w:val="22"/>
          <w:szCs w:val="22"/>
        </w:rPr>
        <w:t xml:space="preserve">The country and listed_in columns often contained multiple comma-separated values per row, which required "exploding" the data into individual entries to get accurate counts per country or genre.</w:t>
      </w:r>
    </w:p>
    <w:p>
      <w:pPr>
        <w:pStyle w:val="ListParagraph"/>
        <w:numPr>
          <w:ilvl w:val="0"/>
          <w:numId w:val="2"/>
        </w:numPr>
        <w:spacing w:after="90"/>
      </w:pPr>
      <w:r>
        <w:rPr>
          <w:b/>
          <w:bCs/>
          <w:sz w:val="22"/>
          <w:szCs w:val="22"/>
        </w:rPr>
        <w:t xml:space="preserve">Data limitations: </w:t>
      </w:r>
      <w:r>
        <w:rPr>
          <w:sz w:val="22"/>
          <w:szCs w:val="22"/>
        </w:rPr>
        <w:t xml:space="preserve">The dataset does not include viewership numbers, subscriber ratings, or revenue data, which limited the business questions that could be answered to catalogue composition rather than content performance.</w:t>
      </w:r>
    </w:p>
    <w:p>
      <w:r>
        <w:br w:type="page"/>
      </w:r>
    </w:p>
    <w:p>
      <w:pPr>
        <w:pStyle w:val="Heading1"/>
        <w:pBdr>
          <w:bottom w:val="single" w:color="E50914" w:sz="8" w:space="4"/>
        </w:pBdr>
        <w:spacing w:after="200" w:before="400"/>
      </w:pPr>
      <w:r>
        <w:rPr>
          <w:b/>
          <w:bCs/>
          <w:color w:val="221F1F"/>
          <w:sz w:val="32"/>
          <w:szCs w:val="32"/>
        </w:rPr>
        <w:t xml:space="preserve">21. Conclusion</w:t>
      </w:r>
    </w:p>
    <w:p>
      <w:pPr>
        <w:spacing w:after="160" w:line="300"/>
        <w:jc w:val="both"/>
      </w:pPr>
      <w:r>
        <w:rPr>
          <w:b w:val="false"/>
          <w:bCs w:val="false"/>
          <w:i w:val="false"/>
          <w:iCs w:val="false"/>
          <w:color w:val="000000"/>
          <w:sz w:val="22"/>
          <w:szCs w:val="22"/>
        </w:rPr>
        <w:t xml:space="preserve">This project analyzed the Netflix Movies and TV Shows dataset from start to finish — starting with raw, unclean data and ending with a set of clear, data-backed business insights. The dataset was explored, cleaned (including catching and fixing a real data-entry error), and analyzed using univariate, bivariate, and multivariate techniques.</w:t>
      </w:r>
    </w:p>
    <w:p>
      <w:pPr>
        <w:spacing w:after="160" w:line="300"/>
        <w:jc w:val="both"/>
      </w:pPr>
      <w:r>
        <w:rPr>
          <w:b w:val="false"/>
          <w:bCs w:val="false"/>
          <w:i w:val="false"/>
          <w:iCs w:val="false"/>
          <w:color w:val="000000"/>
          <w:sz w:val="22"/>
          <w:szCs w:val="22"/>
        </w:rPr>
        <w:t xml:space="preserve">Major findings show that Netflix's catalogue is Movie-heavy but with a growing TV Show presence, concentrated in a small number of content-producing countries, weighted toward mature-audience ratings, and grew fastest between 2016 and 2019 before slowing in the most recent years covered by the data.</w:t>
      </w:r>
    </w:p>
    <w:p>
      <w:pPr>
        <w:spacing w:after="160" w:line="300"/>
        <w:jc w:val="both"/>
      </w:pPr>
      <w:r>
        <w:rPr>
          <w:b w:val="false"/>
          <w:bCs w:val="false"/>
          <w:i w:val="false"/>
          <w:iCs w:val="false"/>
          <w:color w:val="000000"/>
          <w:sz w:val="22"/>
          <w:szCs w:val="22"/>
        </w:rPr>
        <w:t xml:space="preserve">Business value: These insights could support real decisions around regional content investment, genre prioritization, and TV series commissioning strategy — the kind of analysis a content strategy or business intelligence team would perform routinely.</w:t>
      </w:r>
    </w:p>
    <w:p>
      <w:pPr>
        <w:spacing w:after="160" w:line="300"/>
        <w:jc w:val="both"/>
      </w:pPr>
      <w:r>
        <w:rPr>
          <w:b w:val="false"/>
          <w:bCs w:val="false"/>
          <w:i w:val="false"/>
          <w:iCs w:val="false"/>
          <w:color w:val="000000"/>
          <w:sz w:val="22"/>
          <w:szCs w:val="22"/>
        </w:rPr>
        <w:t xml:space="preserve">Final outcome: A cleaned dataset, nine business-focused visualizations, and a complete set of documented insights and recommendations were produced, fulfilling all the objectives set out at the start of this project.</w:t>
      </w:r>
    </w:p>
    <w:p>
      <w:r>
        <w:br w:type="page"/>
      </w:r>
    </w:p>
    <w:p>
      <w:pPr>
        <w:pStyle w:val="Heading1"/>
        <w:pBdr>
          <w:bottom w:val="single" w:color="E50914" w:sz="8" w:space="4"/>
        </w:pBdr>
        <w:spacing w:after="200" w:before="400"/>
      </w:pPr>
      <w:r>
        <w:rPr>
          <w:b/>
          <w:bCs/>
          <w:color w:val="221F1F"/>
          <w:sz w:val="32"/>
          <w:szCs w:val="32"/>
        </w:rPr>
        <w:t xml:space="preserve">22. Future Scope</w:t>
      </w:r>
    </w:p>
    <w:p>
      <w:pPr>
        <w:pStyle w:val="ListParagraph"/>
        <w:numPr>
          <w:ilvl w:val="0"/>
          <w:numId w:val="2"/>
        </w:numPr>
        <w:spacing w:after="90"/>
      </w:pPr>
      <w:r>
        <w:rPr>
          <w:b/>
          <w:bCs/>
          <w:sz w:val="22"/>
          <w:szCs w:val="22"/>
        </w:rPr>
        <w:t xml:space="preserve">Dashboard creation: </w:t>
      </w:r>
      <w:r>
        <w:rPr>
          <w:sz w:val="22"/>
          <w:szCs w:val="22"/>
        </w:rPr>
        <w:t xml:space="preserve">Build an interactive dashboard (e.g., using Power BI, Tableau, or Streamlit) so stakeholders can filter and explore the data themselves.</w:t>
      </w:r>
    </w:p>
    <w:p>
      <w:pPr>
        <w:pStyle w:val="ListParagraph"/>
        <w:numPr>
          <w:ilvl w:val="0"/>
          <w:numId w:val="2"/>
        </w:numPr>
        <w:spacing w:after="90"/>
      </w:pPr>
      <w:r>
        <w:rPr>
          <w:b/>
          <w:bCs/>
          <w:sz w:val="22"/>
          <w:szCs w:val="22"/>
        </w:rPr>
        <w:t xml:space="preserve">Machine learning models: </w:t>
      </w:r>
      <w:r>
        <w:rPr>
          <w:sz w:val="22"/>
          <w:szCs w:val="22"/>
        </w:rPr>
        <w:t xml:space="preserve">Build a genre or rating prediction model based on a title's description and metadata.</w:t>
      </w:r>
    </w:p>
    <w:p>
      <w:pPr>
        <w:pStyle w:val="ListParagraph"/>
        <w:numPr>
          <w:ilvl w:val="0"/>
          <w:numId w:val="2"/>
        </w:numPr>
        <w:spacing w:after="90"/>
      </w:pPr>
      <w:r>
        <w:rPr>
          <w:b/>
          <w:bCs/>
          <w:sz w:val="22"/>
          <w:szCs w:val="22"/>
        </w:rPr>
        <w:t xml:space="preserve">Predictive analytics: </w:t>
      </w:r>
      <w:r>
        <w:rPr>
          <w:sz w:val="22"/>
          <w:szCs w:val="22"/>
        </w:rPr>
        <w:t xml:space="preserve">If viewership data becomes available, build models to predict which upcoming titles are likely to perform well.</w:t>
      </w:r>
    </w:p>
    <w:p>
      <w:pPr>
        <w:pStyle w:val="ListParagraph"/>
        <w:numPr>
          <w:ilvl w:val="0"/>
          <w:numId w:val="2"/>
        </w:numPr>
        <w:spacing w:after="90"/>
      </w:pPr>
      <w:r>
        <w:rPr>
          <w:b/>
          <w:bCs/>
          <w:sz w:val="22"/>
          <w:szCs w:val="22"/>
        </w:rPr>
        <w:t xml:space="preserve">Recommendation systems: </w:t>
      </w:r>
      <w:r>
        <w:rPr>
          <w:sz w:val="22"/>
          <w:szCs w:val="22"/>
        </w:rPr>
        <w:t xml:space="preserve">Use genre, cast, and description data to build a simple content-based recommendation engine.</w:t>
      </w:r>
    </w:p>
    <w:p>
      <w:pPr>
        <w:pStyle w:val="ListParagraph"/>
        <w:numPr>
          <w:ilvl w:val="0"/>
          <w:numId w:val="2"/>
        </w:numPr>
        <w:spacing w:after="90"/>
      </w:pPr>
      <w:r>
        <w:rPr>
          <w:b/>
          <w:bCs/>
          <w:sz w:val="22"/>
          <w:szCs w:val="22"/>
        </w:rPr>
        <w:t xml:space="preserve">Automation: </w:t>
      </w:r>
      <w:r>
        <w:rPr>
          <w:sz w:val="22"/>
          <w:szCs w:val="22"/>
        </w:rPr>
        <w:t xml:space="preserve">Automate this entire analysis to refresh automatically whenever the Netflix catalogue dataset is updated.</w:t>
      </w:r>
    </w:p>
    <w:p>
      <w:pPr>
        <w:pStyle w:val="ListParagraph"/>
        <w:numPr>
          <w:ilvl w:val="0"/>
          <w:numId w:val="2"/>
        </w:numPr>
        <w:spacing w:after="90"/>
      </w:pPr>
      <w:r>
        <w:rPr>
          <w:b/>
          <w:bCs/>
          <w:sz w:val="22"/>
          <w:szCs w:val="22"/>
        </w:rPr>
        <w:t xml:space="preserve">Real-time reporting: </w:t>
      </w:r>
      <w:r>
        <w:rPr>
          <w:sz w:val="22"/>
          <w:szCs w:val="22"/>
        </w:rPr>
        <w:t xml:space="preserve">Connect this analysis pipeline to a live data source for continuously updated business reporting.</w:t>
      </w:r>
    </w:p>
    <w:p>
      <w:r>
        <w:br w:type="page"/>
      </w:r>
    </w:p>
    <w:p>
      <w:pPr>
        <w:pStyle w:val="Heading1"/>
        <w:pBdr>
          <w:bottom w:val="single" w:color="E50914" w:sz="8" w:space="4"/>
        </w:pBdr>
        <w:spacing w:after="200" w:before="400"/>
      </w:pPr>
      <w:r>
        <w:rPr>
          <w:b/>
          <w:bCs/>
          <w:color w:val="221F1F"/>
          <w:sz w:val="32"/>
          <w:szCs w:val="32"/>
        </w:rPr>
        <w:t xml:space="preserve">23. References</w:t>
      </w:r>
    </w:p>
    <w:p>
      <w:pPr>
        <w:pStyle w:val="ListParagraph"/>
        <w:numPr>
          <w:ilvl w:val="0"/>
          <w:numId w:val="2"/>
        </w:numPr>
        <w:spacing w:after="90"/>
      </w:pPr>
      <w:r>
        <w:rPr>
          <w:sz w:val="22"/>
          <w:szCs w:val="22"/>
        </w:rPr>
        <w:t xml:space="preserve">Dataset Source: Netflix Movies and TV Shows dataset (netflix_titles.csv)</w:t>
      </w:r>
    </w:p>
    <w:p>
      <w:pPr>
        <w:pStyle w:val="ListParagraph"/>
        <w:numPr>
          <w:ilvl w:val="0"/>
          <w:numId w:val="2"/>
        </w:numPr>
        <w:spacing w:after="90"/>
      </w:pPr>
      <w:r>
        <w:rPr>
          <w:sz w:val="22"/>
          <w:szCs w:val="22"/>
        </w:rPr>
        <w:t xml:space="preserve">Python Documentation — https://docs.python.org/3/</w:t>
      </w:r>
    </w:p>
    <w:p>
      <w:pPr>
        <w:pStyle w:val="ListParagraph"/>
        <w:numPr>
          <w:ilvl w:val="0"/>
          <w:numId w:val="2"/>
        </w:numPr>
        <w:spacing w:after="90"/>
      </w:pPr>
      <w:r>
        <w:rPr>
          <w:sz w:val="22"/>
          <w:szCs w:val="22"/>
        </w:rPr>
        <w:t xml:space="preserve">Pandas Documentation — https://pandas.pydata.org/docs/</w:t>
      </w:r>
    </w:p>
    <w:p>
      <w:pPr>
        <w:pStyle w:val="ListParagraph"/>
        <w:numPr>
          <w:ilvl w:val="0"/>
          <w:numId w:val="2"/>
        </w:numPr>
        <w:spacing w:after="90"/>
      </w:pPr>
      <w:r>
        <w:rPr>
          <w:sz w:val="22"/>
          <w:szCs w:val="22"/>
        </w:rPr>
        <w:t xml:space="preserve">NumPy Documentation — https://numpy.org/doc/</w:t>
      </w:r>
    </w:p>
    <w:p>
      <w:pPr>
        <w:pStyle w:val="ListParagraph"/>
        <w:numPr>
          <w:ilvl w:val="0"/>
          <w:numId w:val="2"/>
        </w:numPr>
        <w:spacing w:after="90"/>
      </w:pPr>
      <w:r>
        <w:rPr>
          <w:sz w:val="22"/>
          <w:szCs w:val="22"/>
        </w:rPr>
        <w:t xml:space="preserve">Matplotlib Documentation — https://matplotlib.org/stable/index.html</w:t>
      </w:r>
    </w:p>
    <w:p>
      <w:pPr>
        <w:pStyle w:val="ListParagraph"/>
        <w:numPr>
          <w:ilvl w:val="0"/>
          <w:numId w:val="2"/>
        </w:numPr>
        <w:spacing w:after="90"/>
      </w:pPr>
      <w:r>
        <w:rPr>
          <w:sz w:val="22"/>
          <w:szCs w:val="22"/>
        </w:rPr>
        <w:t xml:space="preserve">Seaborn Documentation — https://seaborn.pydata.org/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Netflix Data Analysis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f7f662c87f2ab3c6b22bc4195040510ef7de7f.png"/><Relationship Id="rId10" Type="http://schemas.openxmlformats.org/officeDocument/2006/relationships/image" Target="media/64e7a6be49bd8a795d53edfa01bbf2316af2cafd.png"/><Relationship Id="rId11" Type="http://schemas.openxmlformats.org/officeDocument/2006/relationships/image" Target="media/b1a79dcf1780b5a94daf73f58badfe1b2f5c647b.png"/><Relationship Id="rId12" Type="http://schemas.openxmlformats.org/officeDocument/2006/relationships/image" Target="media/ba97a39ee146af834fc2f7604d1f50e3dc94bc1a.png"/><Relationship Id="rId13" Type="http://schemas.openxmlformats.org/officeDocument/2006/relationships/image" Target="media/8662c94085d0331aba50a27cb2f149ebdf591d60.png"/><Relationship Id="rId14" Type="http://schemas.openxmlformats.org/officeDocument/2006/relationships/image" Target="media/141655cf776af127566491ffae700f341497c091.png"/><Relationship Id="rId15" Type="http://schemas.openxmlformats.org/officeDocument/2006/relationships/image" Target="media/d4f9dd9e7bb66d620e42ea752927e4c64abfc358.png"/><Relationship Id="rId16" Type="http://schemas.openxmlformats.org/officeDocument/2006/relationships/image" Target="media/a02746a661c7aa6cec7e178dc300311ab9503f83.png"/><Relationship Id="rId17" Type="http://schemas.openxmlformats.org/officeDocument/2006/relationships/image" Target="media/64a5c9aec25decd6bc0a312e7ef7ab2d13cfa15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2026-08-26T11:24:29.690Z</dcterms:created>
  <dcterms:modified xsi:type="dcterms:W3CDTF">2026-08-26T11:24:29.690Z</dcterms:modified>
</cp:coreProperties>
</file>

<file path=docProps/custom.xml><?xml version="1.0" encoding="utf-8"?>
<Properties xmlns="http://schemas.openxmlformats.org/officeDocument/2006/custom-properties" xmlns:vt="http://schemas.openxmlformats.org/officeDocument/2006/docPropsVTypes"/>
</file>