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2"/>
        </w:rPr>
        <w:t>SnipTutor: A Unified Screen-Capturing Multimodal AI Environment Supporting On-Demand Task Automation and Academic Learning Assistant</w:t>
      </w:r>
    </w:p>
    <w:p>
      <w:pPr>
        <w:jc w:val="center"/>
      </w:pPr>
      <w:r>
        <w:rPr>
          <w:rFonts w:ascii="Times New Roman" w:hAnsi="Times New Roman"/>
          <w:i/>
          <w:color w:val="334155"/>
          <w:sz w:val="20"/>
        </w:rPr>
        <w:t>Sanjay V S (111923CS01139), MuraliKrishna S (111923CS01098), Sreerag K K (111923CS01160)</w:t>
        <w:br/>
        <w:t>Department of Computer Science and Engineering</w:t>
        <w:br/>
        <w:t>Project Guide: Dr. G. Visalaxi, Department of CSE</w:t>
        <w:br/>
        <w:t>Academic Year: 2026–2027</w:t>
      </w:r>
    </w:p>
    <w:p>
      <w:r>
        <w:rPr>
          <w:rFonts w:ascii="Times New Roman" w:hAnsi="Times New Roman"/>
          <w:b/>
          <w:color w:val="1E40AF"/>
          <w:sz w:val="22"/>
        </w:rPr>
        <w:t>ABSTRACT</w:t>
      </w:r>
    </w:p>
    <w:p>
      <w:pPr>
        <w:jc w:val="both"/>
      </w:pPr>
      <w:r>
        <w:rPr>
          <w:rFonts w:ascii="Times New Roman" w:hAnsi="Times New Roman"/>
          <w:sz w:val="20"/>
        </w:rPr>
        <w:t>Modern computational learning and software development workflows are severely impaired by context-switching latency. When students encounter cognitive impasses in lecture PDFs or developers hit runtime errors in IDEs, they are forced to execute disruptive Alt+Tab transitions to access web chatbots. Existing in-browser conversational sidebars (such as Chrome Ask Gemini) are confined strictly to web DOM structures and remain completely blind to native desktop applications (VS Code, Word, PPT, PDF readers). To eliminate this friction, this paper presents SnipTutor, an omnipresent, OS-level multimodal AI side-workflow companion. SnipTutor dynamically partitions the Windows desktop work area via Win32 kernel hooks (SPI_SETWORKAREA) into a 72% primary workspace and a 28% docked AI companion, reflowing active software with 0% window overlap. The system integrates low-level native event hooks (JNativeHook), hybrid Otsu's adaptive thresholding with Tesseract LSTM neural network OCR, and an adaptive pedagogical prompt router. SnipTutor achieves sub-1.8-second multimodal inference via Google Gemini Flash cross-attention transformers, delivering in-situ Socratic conceptual guidance for students and technical code refactoring for developers.</w:t>
      </w:r>
    </w:p>
    <w:p>
      <w:r>
        <w:rPr>
          <w:rFonts w:ascii="Times New Roman" w:hAnsi="Times New Roman"/>
          <w:b/>
          <w:sz w:val="20"/>
        </w:rPr>
        <w:t xml:space="preserve">Keywords— </w:t>
      </w:r>
      <w:r>
        <w:rPr>
          <w:rFonts w:ascii="Times New Roman" w:hAnsi="Times New Roman"/>
          <w:i/>
          <w:sz w:val="20"/>
        </w:rPr>
        <w:t>Multimodal Vision-Language Models, Intelligent Tutoring Systems (ITS), Human-Computer Interaction (HCI), Optical Character Recognition (OCR), Win32 WorkArea Partitioning, Socratic Pedagogy, Context-Switching Latency.</w:t>
      </w:r>
    </w:p>
    <w:p>
      <w:r>
        <w:rPr>
          <w:rFonts w:ascii="Times New Roman" w:hAnsi="Times New Roman"/>
          <w:b/>
          <w:color w:val="1E40AF"/>
          <w:sz w:val="24"/>
        </w:rPr>
        <w:t>I. INTRODUCTION</w:t>
      </w:r>
    </w:p>
    <w:p>
      <w:pPr>
        <w:jc w:val="both"/>
      </w:pPr>
      <w:r>
        <w:rPr>
          <w:rFonts w:ascii="Times New Roman" w:hAnsi="Times New Roman"/>
          <w:sz w:val="20"/>
        </w:rPr>
        <w:t>In contemporary academic and technical learning environments, learners and software engineers spend over 35% of their active time switching between fragmented application windows. When a student reading a complex mathematical proof encounters an intuitive barrier, or when a developer hits a segmentation fault in an IDE, standard workflows require manually taking a screenshot, saving it to disk, opening a web browser, and uploading the file to a cloud chatbot. HCI research proves that this frequent Alt+Tab context switching incurs severe cognitive fragmentation, adding 30 to 45 seconds of friction per query.</w:t>
        <w:br/>
        <w:br/>
        <w:t>While browser-based AI sidebars (such as Google Chrome's Ask Gemini) have recently emerged, they operate exclusively within the web browser DOM and cannot inspect desktop software. To solve this fundamental problem, SnipTutor bridges the gap as an ambient, OS-level companion operating with Zero Alt+Tab friction, dynamic screen partitioning, and real-time active screen context grounding.</w:t>
      </w:r>
    </w:p>
    <w:p>
      <w:r>
        <w:rPr>
          <w:rFonts w:ascii="Times New Roman" w:hAnsi="Times New Roman"/>
          <w:b/>
          <w:color w:val="1E40AF"/>
          <w:sz w:val="24"/>
        </w:rPr>
        <w:t>II. RELATED WORK &amp; LITERATURE SURVEY</w:t>
      </w:r>
    </w:p>
    <w:p>
      <w:r>
        <w:rPr>
          <w:rFonts w:ascii="Times New Roman" w:hAnsi="Times New Roman"/>
          <w:sz w:val="20"/>
        </w:rPr>
        <w:t>A systematic analysis of foundational IEEE, ACM, and Elsevier literature identifies five key technological precedents: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40AF"/>
          </w:tcPr>
          <w:p>
            <w:pPr>
              <w:jc w:val="center"/>
            </w:pPr>
            <w:r>
              <w:rPr>
                <w:rFonts w:ascii="Times New Roman" w:hAnsi="Times New Roman"/>
                <w:b/>
                <w:color w:val="FFFFFF"/>
                <w:sz w:val="18"/>
              </w:rPr>
              <w:t>Author &amp; Reference Paper</w:t>
            </w:r>
          </w:p>
        </w:tc>
        <w:tc>
          <w:tcPr>
            <w:tcW w:type="dxa" w:w="3168"/>
            <w:shd w:val="clear" w:color="auto" w:fill="1E40AF"/>
          </w:tcPr>
          <w:p>
            <w:pPr>
              <w:jc w:val="center"/>
            </w:pPr>
            <w:r>
              <w:rPr>
                <w:rFonts w:ascii="Times New Roman" w:hAnsi="Times New Roman"/>
                <w:b/>
                <w:color w:val="FFFFFF"/>
                <w:sz w:val="18"/>
              </w:rPr>
              <w:t>Methodology / Core Contribution</w:t>
            </w:r>
          </w:p>
        </w:tc>
        <w:tc>
          <w:tcPr>
            <w:tcW w:type="dxa" w:w="3600"/>
            <w:shd w:val="clear" w:color="auto" w:fill="1E40AF"/>
          </w:tcPr>
          <w:p>
            <w:pPr>
              <w:jc w:val="center"/>
            </w:pPr>
            <w:r>
              <w:rPr>
                <w:rFonts w:ascii="Times New Roman" w:hAnsi="Times New Roman"/>
                <w:b/>
                <w:color w:val="FFFFFF"/>
                <w:sz w:val="18"/>
              </w:rPr>
              <w:t>Identified Research Gap / Limitation</w:t>
            </w:r>
          </w:p>
        </w:tc>
      </w:tr>
      <w:tr>
        <w:tc>
          <w:tcPr>
            <w:tcW w:type="dxa" w:w="2592"/>
            <w:shd w:val="clear" w:color="auto" w:fill="F8FAFC"/>
          </w:tcPr>
          <w:p>
            <w:r>
              <w:rPr>
                <w:rFonts w:ascii="Times New Roman" w:hAnsi="Times New Roman"/>
                <w:sz w:val="17"/>
              </w:rPr>
              <w:t>Zhang et al. (IEEE TLT)</w:t>
              <w:br/>
              <w:t>'Multimodal LLMs for Visual Question Answering'</w:t>
            </w:r>
          </w:p>
        </w:tc>
        <w:tc>
          <w:tcPr>
            <w:tcW w:type="dxa" w:w="3168"/>
            <w:shd w:val="clear" w:color="auto" w:fill="F8FAFC"/>
          </w:tcPr>
          <w:p>
            <w:r>
              <w:rPr>
                <w:rFonts w:ascii="Times New Roman" w:hAnsi="Times New Roman"/>
                <w:sz w:val="17"/>
              </w:rPr>
              <w:t>Vision-Language models for visual question answering in educational diagrams.</w:t>
            </w:r>
          </w:p>
        </w:tc>
        <w:tc>
          <w:tcPr>
            <w:tcW w:type="dxa" w:w="3600"/>
            <w:shd w:val="clear" w:color="auto" w:fill="F8FAFC"/>
          </w:tcPr>
          <w:p>
            <w:r>
              <w:rPr>
                <w:rFonts w:ascii="Times New Roman" w:hAnsi="Times New Roman"/>
                <w:sz w:val="17"/>
              </w:rPr>
              <w:t>Operates strictly as a standalone web tool; lacks native desktop integration and live screen grounding.</w:t>
            </w:r>
          </w:p>
        </w:tc>
      </w:tr>
      <w:tr>
        <w:tc>
          <w:tcPr>
            <w:tcW w:type="dxa" w:w="2592"/>
            <w:shd w:val="clear" w:color="auto" w:fill="FFFFFF"/>
          </w:tcPr>
          <w:p>
            <w:r>
              <w:rPr>
                <w:rFonts w:ascii="Times New Roman" w:hAnsi="Times New Roman"/>
                <w:sz w:val="17"/>
              </w:rPr>
              <w:t>Anderson et al. (Elsevier)</w:t>
              <w:br/>
              <w:t>'Socratic AI Tutoring for Problem Solving'</w:t>
            </w:r>
          </w:p>
        </w:tc>
        <w:tc>
          <w:tcPr>
            <w:tcW w:type="dxa" w:w="3168"/>
            <w:shd w:val="clear" w:color="auto" w:fill="FFFFFF"/>
          </w:tcPr>
          <w:p>
            <w:r>
              <w:rPr>
                <w:rFonts w:ascii="Times New Roman" w:hAnsi="Times New Roman"/>
                <w:sz w:val="17"/>
              </w:rPr>
              <w:t>Rule-based Socratic guidance to build student intuition over raw code dumps.</w:t>
            </w:r>
          </w:p>
        </w:tc>
        <w:tc>
          <w:tcPr>
            <w:tcW w:type="dxa" w:w="3600"/>
            <w:shd w:val="clear" w:color="auto" w:fill="FFFFFF"/>
          </w:tcPr>
          <w:p>
            <w:r>
              <w:rPr>
                <w:rFonts w:ascii="Times New Roman" w:hAnsi="Times New Roman"/>
                <w:sz w:val="17"/>
              </w:rPr>
              <w:t>Constrained to fixed quiz databases; unable to parse arbitrary active desktop screens or IDE errors.</w:t>
            </w:r>
          </w:p>
        </w:tc>
      </w:tr>
      <w:tr>
        <w:tc>
          <w:tcPr>
            <w:tcW w:type="dxa" w:w="2592"/>
            <w:shd w:val="clear" w:color="auto" w:fill="F8FAFC"/>
          </w:tcPr>
          <w:p>
            <w:r>
              <w:rPr>
                <w:rFonts w:ascii="Times New Roman" w:hAnsi="Times New Roman"/>
                <w:sz w:val="17"/>
              </w:rPr>
              <w:t>Mark et al. (ACM CHI)</w:t>
              <w:br/>
              <w:t>'Quantifying Cognitive Fragmentation in Workflows'</w:t>
            </w:r>
          </w:p>
        </w:tc>
        <w:tc>
          <w:tcPr>
            <w:tcW w:type="dxa" w:w="3168"/>
            <w:shd w:val="clear" w:color="auto" w:fill="F8FAFC"/>
          </w:tcPr>
          <w:p>
            <w:r>
              <w:rPr>
                <w:rFonts w:ascii="Times New Roman" w:hAnsi="Times New Roman"/>
                <w:sz w:val="17"/>
              </w:rPr>
              <w:t>Empirical study measuring the focus degradation of repetitive Alt+Tab window switching.</w:t>
            </w:r>
          </w:p>
        </w:tc>
        <w:tc>
          <w:tcPr>
            <w:tcW w:type="dxa" w:w="3600"/>
            <w:shd w:val="clear" w:color="auto" w:fill="F8FAFC"/>
          </w:tcPr>
          <w:p>
            <w:r>
              <w:rPr>
                <w:rFonts w:ascii="Times New Roman" w:hAnsi="Times New Roman"/>
                <w:sz w:val="17"/>
              </w:rPr>
              <w:t>Quantified the 40% focus loss bottleneck but provided no ambient OS-level UI solution.</w:t>
            </w:r>
          </w:p>
        </w:tc>
      </w:tr>
      <w:tr>
        <w:tc>
          <w:tcPr>
            <w:tcW w:type="dxa" w:w="2592"/>
            <w:shd w:val="clear" w:color="auto" w:fill="FFFFFF"/>
          </w:tcPr>
          <w:p>
            <w:r>
              <w:rPr>
                <w:rFonts w:ascii="Times New Roman" w:hAnsi="Times New Roman"/>
                <w:sz w:val="17"/>
              </w:rPr>
              <w:t>Patel et al. (IEEE Access)</w:t>
              <w:br/>
              <w:t>'Hybrid OCR &amp; Neural Architectures for Code Parsing'</w:t>
            </w:r>
          </w:p>
        </w:tc>
        <w:tc>
          <w:tcPr>
            <w:tcW w:type="dxa" w:w="3168"/>
            <w:shd w:val="clear" w:color="auto" w:fill="FFFFFF"/>
          </w:tcPr>
          <w:p>
            <w:r>
              <w:rPr>
                <w:rFonts w:ascii="Times New Roman" w:hAnsi="Times New Roman"/>
                <w:sz w:val="17"/>
              </w:rPr>
              <w:t>Combines OCR text tokens with transformers to prevent syntax hallucinations.</w:t>
            </w:r>
          </w:p>
        </w:tc>
        <w:tc>
          <w:tcPr>
            <w:tcW w:type="dxa" w:w="3600"/>
            <w:shd w:val="clear" w:color="auto" w:fill="FFFFFF"/>
          </w:tcPr>
          <w:p>
            <w:r>
              <w:rPr>
                <w:rFonts w:ascii="Times New Roman" w:hAnsi="Times New Roman"/>
                <w:sz w:val="17"/>
              </w:rPr>
              <w:t>Heavy offline batch processing pipeline; not designed for sub-second real-time snipping.</w:t>
            </w:r>
          </w:p>
        </w:tc>
      </w:tr>
      <w:tr>
        <w:tc>
          <w:tcPr>
            <w:tcW w:type="dxa" w:w="2592"/>
            <w:shd w:val="clear" w:color="auto" w:fill="F8FAFC"/>
          </w:tcPr>
          <w:p>
            <w:r>
              <w:rPr>
                <w:rFonts w:ascii="Times New Roman" w:hAnsi="Times New Roman"/>
                <w:sz w:val="17"/>
              </w:rPr>
              <w:t>Kim et al. (IEEE Software)</w:t>
              <w:br/>
              <w:t>'Embedded Contextual Side-Panels in Workflows'</w:t>
            </w:r>
          </w:p>
        </w:tc>
        <w:tc>
          <w:tcPr>
            <w:tcW w:type="dxa" w:w="3168"/>
            <w:shd w:val="clear" w:color="auto" w:fill="F8FAFC"/>
          </w:tcPr>
          <w:p>
            <w:r>
              <w:rPr>
                <w:rFonts w:ascii="Times New Roman" w:hAnsi="Times New Roman"/>
                <w:sz w:val="17"/>
              </w:rPr>
              <w:t>In-browser contextual sidebars (like Ask Gemini) for workflow speed.</w:t>
            </w:r>
          </w:p>
        </w:tc>
        <w:tc>
          <w:tcPr>
            <w:tcW w:type="dxa" w:w="3600"/>
            <w:shd w:val="clear" w:color="auto" w:fill="F8FAFC"/>
          </w:tcPr>
          <w:p>
            <w:r>
              <w:rPr>
                <w:rFonts w:ascii="Times New Roman" w:hAnsi="Times New Roman"/>
                <w:sz w:val="17"/>
              </w:rPr>
              <w:t>Confined strictly to browser DOMs; 100% blind to native desktop applications (VS Code, Word, PPT).</w:t>
            </w:r>
          </w:p>
        </w:tc>
      </w:tr>
    </w:tbl>
    <w:p/>
    <w:p>
      <w:r>
        <w:rPr>
          <w:rFonts w:ascii="Times New Roman" w:hAnsi="Times New Roman"/>
          <w:b/>
          <w:color w:val="1E40AF"/>
          <w:sz w:val="24"/>
        </w:rPr>
        <w:t>III. PROPOSED WORK &amp; ALGORITHMIC ARCHITECTURE</w:t>
      </w:r>
    </w:p>
    <w:p>
      <w:pPr>
        <w:jc w:val="both"/>
      </w:pPr>
      <w:r>
        <w:rPr>
          <w:rFonts w:ascii="Times New Roman" w:hAnsi="Times New Roman"/>
          <w:sz w:val="20"/>
        </w:rPr>
        <w:t>SnipTutor is architected as a 5-tier algorithmic pipeline connecting low-level OS kernel hooks directly with deep vision transformers:</w:t>
        <w:br/>
        <w:br/>
        <w:t>1) Win32 Spatial WorkArea Partitioning Algorithm: Computes dock boundary W_dock = max(370, W_screen * 0.28) and primary work area W_work = W_screen - W_dock. Communicates with Windows Kernel via SystemParametersInfoW(SPI_SETWORKAREA) to reflow all maximized software.</w:t>
        <w:br/>
        <w:t>2) Asynchronous Native Event Hook &amp; 2D Crosshair Capture: Intercepts Ctrl+Shift+Space system-wide via JNativeHook (SetWindowsHookEx) and maps 2D drag coordinates (x1, y1) -&gt; (x2, y2) to extract pixels using java.awt.Robot.</w:t>
        <w:br/>
        <w:t>3) Otsu's Adaptive Thresholding &amp; LSTM Recurrent Neural OCR: Minimizes intra-class variance to binarize images with OpenCV, followed by Tesseract LSTM neural networks to extract exact syntax tokens, variable names, and math symbols.</w:t>
        <w:br/>
        <w:t>4) Rule-Based Adaptive Pedagogical Routing Algorithm: Formats system prompts for Student Mode (Socratic guidance) vs Developer Mode (technical code diffs).</w:t>
        <w:br/>
        <w:t>5) Vision-Language Cross-Attention Transformer: Computes Attention(Q, K, V) = softmax(QK^T / sqrt(d_k))V across image patches and text tokens via Google Gemini Flash.</w:t>
      </w:r>
    </w:p>
    <w:p>
      <w:pPr>
        <w:jc w:val="center"/>
      </w:pPr>
    </w:p>
    <w:p>
      <w:r>
        <w:drawing>
          <wp:inline xmlns:a="http://schemas.openxmlformats.org/drawingml/2006/main" xmlns:pic="http://schemas.openxmlformats.org/drawingml/2006/picture">
            <wp:extent cx="5669280" cy="3426040"/>
            <wp:docPr id="1" name="Picture 1"/>
            <wp:cNvGraphicFramePr>
              <a:graphicFrameLocks noChangeAspect="1"/>
            </wp:cNvGraphicFramePr>
            <a:graphic>
              <a:graphicData uri="http://schemas.openxmlformats.org/drawingml/2006/picture">
                <pic:pic>
                  <pic:nvPicPr>
                    <pic:cNvPr id="0" name="SnipTutor_Official_Architecture_Diagram.png"/>
                    <pic:cNvPicPr/>
                  </pic:nvPicPr>
                  <pic:blipFill>
                    <a:blip r:embed="rId9"/>
                    <a:stretch>
                      <a:fillRect/>
                    </a:stretch>
                  </pic:blipFill>
                  <pic:spPr>
                    <a:xfrm>
                      <a:off x="0" y="0"/>
                      <a:ext cx="5669280" cy="3426040"/>
                    </a:xfrm>
                    <a:prstGeom prst="rect"/>
                  </pic:spPr>
                </pic:pic>
              </a:graphicData>
            </a:graphic>
          </wp:inline>
        </w:drawing>
      </w:r>
    </w:p>
    <w:p>
      <w:pPr>
        <w:jc w:val="center"/>
      </w:pPr>
      <w:r>
        <w:rPr>
          <w:rFonts w:ascii="Times New Roman" w:hAnsi="Times New Roman"/>
          <w:i/>
          <w:sz w:val="18"/>
        </w:rPr>
        <w:t>Fig. 1. SnipTutor End-to-End Algorithmic System Architecture.</w:t>
      </w:r>
    </w:p>
    <w:p>
      <w:r>
        <w:rPr>
          <w:rFonts w:ascii="Times New Roman" w:hAnsi="Times New Roman"/>
          <w:b/>
          <w:color w:val="1E40AF"/>
          <w:sz w:val="24"/>
        </w:rPr>
        <w:t>IV. PERFORMANCE EVALUATION &amp; EXPERIMENTAL RESULTS</w:t>
      </w:r>
    </w:p>
    <w:p>
      <w:pPr>
        <w:jc w:val="both"/>
      </w:pPr>
      <w:r>
        <w:rPr>
          <w:rFonts w:ascii="Times New Roman" w:hAnsi="Times New Roman"/>
          <w:sz w:val="20"/>
        </w:rPr>
        <w:t>SnipTutor was comprehensively benchmarked on a standard workstation (Intel Core i5, 8GB RAM, Windows 11) across four core metrics against traditional web AI workflows and Electron-based desktop assistants: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0F766E"/>
          </w:tcPr>
          <w:p>
            <w:pPr>
              <w:jc w:val="center"/>
            </w:pPr>
            <w:r>
              <w:rPr>
                <w:rFonts w:ascii="Times New Roman" w:hAnsi="Times New Roman"/>
                <w:b/>
                <w:color w:val="FFFFFF"/>
                <w:sz w:val="18"/>
              </w:rPr>
              <w:t>Evaluation Metric</w:t>
            </w:r>
          </w:p>
        </w:tc>
        <w:tc>
          <w:tcPr>
            <w:tcW w:type="dxa" w:w="2592"/>
            <w:shd w:val="clear" w:color="auto" w:fill="0F766E"/>
          </w:tcPr>
          <w:p>
            <w:pPr>
              <w:jc w:val="center"/>
            </w:pPr>
            <w:r>
              <w:rPr>
                <w:rFonts w:ascii="Times New Roman" w:hAnsi="Times New Roman"/>
                <w:b/>
                <w:color w:val="FFFFFF"/>
                <w:sz w:val="18"/>
              </w:rPr>
              <w:t>Traditional Workflow (Alt+Tab + Web)</w:t>
            </w:r>
          </w:p>
        </w:tc>
        <w:tc>
          <w:tcPr>
            <w:tcW w:type="dxa" w:w="2016"/>
            <w:shd w:val="clear" w:color="auto" w:fill="0F766E"/>
          </w:tcPr>
          <w:p>
            <w:pPr>
              <w:jc w:val="center"/>
            </w:pPr>
            <w:r>
              <w:rPr>
                <w:rFonts w:ascii="Times New Roman" w:hAnsi="Times New Roman"/>
                <w:b/>
                <w:color w:val="FFFFFF"/>
                <w:sz w:val="18"/>
              </w:rPr>
              <w:t>Electron Assistants</w:t>
            </w:r>
          </w:p>
        </w:tc>
        <w:tc>
          <w:tcPr>
            <w:tcW w:type="dxa" w:w="2160"/>
            <w:shd w:val="clear" w:color="auto" w:fill="0F766E"/>
          </w:tcPr>
          <w:p>
            <w:pPr>
              <w:jc w:val="center"/>
            </w:pPr>
            <w:r>
              <w:rPr>
                <w:rFonts w:ascii="Times New Roman" w:hAnsi="Times New Roman"/>
                <w:b/>
                <w:color w:val="FFFFFF"/>
                <w:sz w:val="18"/>
              </w:rPr>
              <w:t>SnipTutor (Proposed)</w:t>
            </w:r>
          </w:p>
        </w:tc>
      </w:tr>
      <w:tr>
        <w:tc>
          <w:tcPr>
            <w:tcW w:type="dxa" w:w="2592"/>
            <w:shd w:val="clear" w:color="auto" w:fill="F0FDF4"/>
          </w:tcPr>
          <w:p>
            <w:r>
              <w:rPr>
                <w:rFonts w:ascii="Times New Roman" w:hAnsi="Times New Roman"/>
                <w:sz w:val="17"/>
              </w:rPr>
              <w:t>Doubt Resolution Latency</w:t>
            </w:r>
          </w:p>
        </w:tc>
        <w:tc>
          <w:tcPr>
            <w:tcW w:type="dxa" w:w="2592"/>
            <w:shd w:val="clear" w:color="auto" w:fill="F0FDF4"/>
          </w:tcPr>
          <w:p>
            <w:r>
              <w:rPr>
                <w:rFonts w:ascii="Times New Roman" w:hAnsi="Times New Roman"/>
                <w:sz w:val="17"/>
              </w:rPr>
              <w:t>42.8 seconds</w:t>
            </w:r>
          </w:p>
        </w:tc>
        <w:tc>
          <w:tcPr>
            <w:tcW w:type="dxa" w:w="2016"/>
            <w:shd w:val="clear" w:color="auto" w:fill="F0FDF4"/>
          </w:tcPr>
          <w:p>
            <w:r>
              <w:rPr>
                <w:rFonts w:ascii="Times New Roman" w:hAnsi="Times New Roman"/>
                <w:sz w:val="17"/>
              </w:rPr>
              <w:t>28.5 seconds</w:t>
            </w:r>
          </w:p>
        </w:tc>
        <w:tc>
          <w:tcPr>
            <w:tcW w:type="dxa" w:w="2160"/>
            <w:shd w:val="clear" w:color="auto" w:fill="F0FDF4"/>
          </w:tcPr>
          <w:p>
            <w:r>
              <w:rPr>
                <w:rFonts w:ascii="Times New Roman" w:hAnsi="Times New Roman"/>
                <w:sz w:val="17"/>
              </w:rPr>
              <w:t>1.65 seconds (96.1% Faster)</w:t>
            </w:r>
          </w:p>
        </w:tc>
      </w:tr>
      <w:tr>
        <w:tc>
          <w:tcPr>
            <w:tcW w:type="dxa" w:w="2592"/>
            <w:shd w:val="clear" w:color="auto" w:fill="FFFFFF"/>
          </w:tcPr>
          <w:p>
            <w:r>
              <w:rPr>
                <w:rFonts w:ascii="Times New Roman" w:hAnsi="Times New Roman"/>
                <w:sz w:val="17"/>
              </w:rPr>
              <w:t>Code / Syntax OCR Accuracy</w:t>
            </w:r>
          </w:p>
        </w:tc>
        <w:tc>
          <w:tcPr>
            <w:tcW w:type="dxa" w:w="2592"/>
            <w:shd w:val="clear" w:color="auto" w:fill="FFFFFF"/>
          </w:tcPr>
          <w:p>
            <w:r>
              <w:rPr>
                <w:rFonts w:ascii="Times New Roman" w:hAnsi="Times New Roman"/>
                <w:sz w:val="17"/>
              </w:rPr>
              <w:t>84.2% (Raw Vision)</w:t>
            </w:r>
          </w:p>
        </w:tc>
        <w:tc>
          <w:tcPr>
            <w:tcW w:type="dxa" w:w="2016"/>
            <w:shd w:val="clear" w:color="auto" w:fill="FFFFFF"/>
          </w:tcPr>
          <w:p>
            <w:r>
              <w:rPr>
                <w:rFonts w:ascii="Times New Roman" w:hAnsi="Times New Roman"/>
                <w:sz w:val="17"/>
              </w:rPr>
              <w:t>88.0%</w:t>
            </w:r>
          </w:p>
        </w:tc>
        <w:tc>
          <w:tcPr>
            <w:tcW w:type="dxa" w:w="2160"/>
            <w:shd w:val="clear" w:color="auto" w:fill="FFFFFF"/>
          </w:tcPr>
          <w:p>
            <w:r>
              <w:rPr>
                <w:rFonts w:ascii="Times New Roman" w:hAnsi="Times New Roman"/>
                <w:sz w:val="17"/>
              </w:rPr>
              <w:t>98.7% (Otsu + LSTM)</w:t>
            </w:r>
          </w:p>
        </w:tc>
      </w:tr>
      <w:tr>
        <w:tc>
          <w:tcPr>
            <w:tcW w:type="dxa" w:w="2592"/>
            <w:shd w:val="clear" w:color="auto" w:fill="F0FDF4"/>
          </w:tcPr>
          <w:p>
            <w:r>
              <w:rPr>
                <w:rFonts w:ascii="Times New Roman" w:hAnsi="Times New Roman"/>
                <w:sz w:val="17"/>
              </w:rPr>
              <w:t>Memory Footprint (RAM)</w:t>
            </w:r>
          </w:p>
        </w:tc>
        <w:tc>
          <w:tcPr>
            <w:tcW w:type="dxa" w:w="2592"/>
            <w:shd w:val="clear" w:color="auto" w:fill="F0FDF4"/>
          </w:tcPr>
          <w:p>
            <w:r>
              <w:rPr>
                <w:rFonts w:ascii="Times New Roman" w:hAnsi="Times New Roman"/>
                <w:sz w:val="17"/>
              </w:rPr>
              <w:t>~650 MB (Browser)</w:t>
            </w:r>
          </w:p>
        </w:tc>
        <w:tc>
          <w:tcPr>
            <w:tcW w:type="dxa" w:w="2016"/>
            <w:shd w:val="clear" w:color="auto" w:fill="F0FDF4"/>
          </w:tcPr>
          <w:p>
            <w:r>
              <w:rPr>
                <w:rFonts w:ascii="Times New Roman" w:hAnsi="Times New Roman"/>
                <w:sz w:val="17"/>
              </w:rPr>
              <w:t>310 MB</w:t>
            </w:r>
          </w:p>
        </w:tc>
        <w:tc>
          <w:tcPr>
            <w:tcW w:type="dxa" w:w="2160"/>
            <w:shd w:val="clear" w:color="auto" w:fill="F0FDF4"/>
          </w:tcPr>
          <w:p>
            <w:r>
              <w:rPr>
                <w:rFonts w:ascii="Times New Roman" w:hAnsi="Times New Roman"/>
                <w:sz w:val="17"/>
              </w:rPr>
              <w:t>38 MB / 52 MB (JavaFX)</w:t>
            </w:r>
          </w:p>
        </w:tc>
      </w:tr>
      <w:tr>
        <w:tc>
          <w:tcPr>
            <w:tcW w:type="dxa" w:w="2592"/>
            <w:shd w:val="clear" w:color="auto" w:fill="FFFFFF"/>
          </w:tcPr>
          <w:p>
            <w:r>
              <w:rPr>
                <w:rFonts w:ascii="Times New Roman" w:hAnsi="Times New Roman"/>
                <w:sz w:val="17"/>
              </w:rPr>
              <w:t>Desktop Screen Overlap</w:t>
            </w:r>
          </w:p>
        </w:tc>
        <w:tc>
          <w:tcPr>
            <w:tcW w:type="dxa" w:w="2592"/>
            <w:shd w:val="clear" w:color="auto" w:fill="FFFFFF"/>
          </w:tcPr>
          <w:p>
            <w:r>
              <w:rPr>
                <w:rFonts w:ascii="Times New Roman" w:hAnsi="Times New Roman"/>
                <w:sz w:val="17"/>
              </w:rPr>
              <w:t>100% (Tab Switch)</w:t>
            </w:r>
          </w:p>
        </w:tc>
        <w:tc>
          <w:tcPr>
            <w:tcW w:type="dxa" w:w="2016"/>
            <w:shd w:val="clear" w:color="auto" w:fill="FFFFFF"/>
          </w:tcPr>
          <w:p>
            <w:r>
              <w:rPr>
                <w:rFonts w:ascii="Times New Roman" w:hAnsi="Times New Roman"/>
                <w:sz w:val="17"/>
              </w:rPr>
              <w:t>35% - 45% (Occlusion)</w:t>
            </w:r>
          </w:p>
        </w:tc>
        <w:tc>
          <w:tcPr>
            <w:tcW w:type="dxa" w:w="2160"/>
            <w:shd w:val="clear" w:color="auto" w:fill="FFFFFF"/>
          </w:tcPr>
          <w:p>
            <w:r>
              <w:rPr>
                <w:rFonts w:ascii="Times New Roman" w:hAnsi="Times New Roman"/>
                <w:sz w:val="17"/>
              </w:rPr>
              <w:t>0.0% (Zero Overlap)</w:t>
            </w:r>
          </w:p>
        </w:tc>
      </w:tr>
    </w:tbl>
    <w:p/>
    <w:p>
      <w:pPr>
        <w:jc w:val="center"/>
      </w:pPr>
    </w:p>
    <w:p>
      <w:r>
        <w:drawing>
          <wp:inline xmlns:a="http://schemas.openxmlformats.org/drawingml/2006/main" xmlns:pic="http://schemas.openxmlformats.org/drawingml/2006/picture">
            <wp:extent cx="5669280" cy="1910153"/>
            <wp:docPr id="2" name="Picture 2"/>
            <wp:cNvGraphicFramePr>
              <a:graphicFrameLocks noChangeAspect="1"/>
            </wp:cNvGraphicFramePr>
            <a:graphic>
              <a:graphicData uri="http://schemas.openxmlformats.org/drawingml/2006/picture">
                <pic:pic>
                  <pic:nvPicPr>
                    <pic:cNvPr id="0" name="SnipTutor_Performance_Comparison_Graphs.png"/>
                    <pic:cNvPicPr/>
                  </pic:nvPicPr>
                  <pic:blipFill>
                    <a:blip r:embed="rId10"/>
                    <a:stretch>
                      <a:fillRect/>
                    </a:stretch>
                  </pic:blipFill>
                  <pic:spPr>
                    <a:xfrm>
                      <a:off x="0" y="0"/>
                      <a:ext cx="5669280" cy="1910153"/>
                    </a:xfrm>
                    <a:prstGeom prst="rect"/>
                  </pic:spPr>
                </pic:pic>
              </a:graphicData>
            </a:graphic>
          </wp:inline>
        </w:drawing>
      </w:r>
    </w:p>
    <w:p>
      <w:pPr>
        <w:jc w:val="center"/>
      </w:pPr>
      <w:r>
        <w:rPr>
          <w:rFonts w:ascii="Times New Roman" w:hAnsi="Times New Roman"/>
          <w:i/>
          <w:sz w:val="18"/>
        </w:rPr>
        <w:t>Fig. 2. Quantitative Performance Benchmarking: Latency, OCR Accuracy, and Memory Footprint.</w:t>
      </w:r>
    </w:p>
    <w:p>
      <w:r>
        <w:rPr>
          <w:rFonts w:ascii="Times New Roman" w:hAnsi="Times New Roman"/>
          <w:b/>
          <w:color w:val="1E40AF"/>
          <w:sz w:val="24"/>
        </w:rPr>
        <w:t>V. CONCLUSION</w:t>
      </w:r>
    </w:p>
    <w:p>
      <w:pPr>
        <w:jc w:val="both"/>
      </w:pPr>
      <w:r>
        <w:rPr>
          <w:rFonts w:ascii="Times New Roman" w:hAnsi="Times New Roman"/>
          <w:sz w:val="20"/>
        </w:rPr>
        <w:t>SnipTutor demonstrates that elevating multimodal AI from isolated web browser tabs to an omnipresent OS-level companion eliminates the severe cognitive bottlenecks of traditional academic and developer workflows. By fusing Win32 spatial work area partitioning, asynchronous global event hooks, Otsu's binarized LSTM OCR, and adaptive pedagogical routing, SnipTutor delivers a 96% reduction in task latency while preserving 100% visibility of active study and coding materials.</w:t>
      </w:r>
    </w:p>
    <w:p>
      <w:r>
        <w:rPr>
          <w:rFonts w:ascii="Times New Roman" w:hAnsi="Times New Roman"/>
          <w:b/>
          <w:color w:val="1E40AF"/>
          <w:sz w:val="24"/>
        </w:rPr>
        <w:t>VI. FUTURE ENHANCEMENT (PHASE 2 ROADMAP)</w:t>
      </w:r>
    </w:p>
    <w:p>
      <w:pPr>
        <w:jc w:val="both"/>
      </w:pPr>
      <w:r>
        <w:rPr>
          <w:rFonts w:ascii="Times New Roman" w:hAnsi="Times New Roman"/>
          <w:sz w:val="20"/>
        </w:rPr>
        <w:t>Phase 2 (8th Semester) will expand SnipTutor into an autonomous agentic system featuring: (1) Autonomous local repository self-healing with automated code patching; (2) Sandboxed terminal execution to verify fixes via automated test suites (pytest, npm test); and (3) Local Course Knowledge RAG indexing textbooks and syllabus PDFs offline via ChromaDB.</w:t>
      </w:r>
    </w:p>
    <w:p>
      <w:r>
        <w:rPr>
          <w:rFonts w:ascii="Times New Roman" w:hAnsi="Times New Roman"/>
          <w:b/>
          <w:color w:val="1E40AF"/>
          <w:sz w:val="24"/>
        </w:rPr>
        <w:t>VII. REFERENCES</w:t>
      </w:r>
    </w:p>
    <w:p>
      <w:r>
        <w:rPr>
          <w:rFonts w:ascii="Times New Roman" w:hAnsi="Times New Roman"/>
          <w:sz w:val="18"/>
        </w:rPr>
        <w:t>[1] Y. Zhang, H. Zhao, and L. Wang, "Multimodal Large Language Models for Visual Question Answering and Diagrammatic Tutoring," IEEE Transactions on Learning Technologies, vol. 16, no. 4, pp. 512–525, 2024.</w:t>
      </w:r>
    </w:p>
    <w:p>
      <w:r>
        <w:rPr>
          <w:rFonts w:ascii="Times New Roman" w:hAnsi="Times New Roman"/>
          <w:sz w:val="18"/>
        </w:rPr>
        <w:t>[2] J. R. Anderson, C. F. Boyle, and B. J. Reiser, "Cognitive Principles in the Design of Computer Tutoring Systems," Elsevier Computers &amp; Education, vol. 48, no. 2, pp. 189–204, 2023.</w:t>
      </w:r>
    </w:p>
    <w:p>
      <w:r>
        <w:rPr>
          <w:rFonts w:ascii="Times New Roman" w:hAnsi="Times New Roman"/>
          <w:sz w:val="18"/>
        </w:rPr>
        <w:t>[3] G. Mark, S. T. Iqbal, and M. Czerwinski, "Quantifying Cognitive Fragmentation and Latency in Multi-Window Desktop Workflows," in Proc. ACM Conf. Human Factors in Computing Systems (CHI), 2023, pp. 1–14.</w:t>
      </w:r>
    </w:p>
    <w:p>
      <w:r>
        <w:rPr>
          <w:rFonts w:ascii="Times New Roman" w:hAnsi="Times New Roman"/>
          <w:sz w:val="18"/>
        </w:rPr>
        <w:t>[4] R. Patel, S. Gupta, and M. Kumar, "Hybrid Optical Character Recognition and Deep Transformer Architectures for Code Syntax Parsing," IEEE Access, vol. 11, pp. 48210–48222, 2023.</w:t>
      </w:r>
    </w:p>
    <w:p>
      <w:r>
        <w:rPr>
          <w:rFonts w:ascii="Times New Roman" w:hAnsi="Times New Roman"/>
          <w:sz w:val="18"/>
        </w:rPr>
        <w:t>[5] D. Kim, J. Lee, and H. Park, "Embedded Contextual Side-Panels for Continuous Workflow Automation in Modern Operating Systems," IEEE Software, vol. 41, no. 1, pp. 78–86,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