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jc w:val="center"/>
      </w:pPr>
      <w:r>
        <w:rPr>
          <w:b/>
          <w:bCs/>
          <w:color w:val="2F5D8A"/>
          <w:sz w:val="24"/>
          <w:szCs w:val="24"/>
        </w:rPr>
        <w:t xml:space="preserve">NEBULA @ BITS-GOA</w:t>
      </w:r>
    </w:p>
    <w:p>
      <w:pPr>
        <w:spacing w:after="300"/>
        <w:jc w:val="center"/>
      </w:pPr>
      <w:r>
        <w:rPr>
          <w:i/>
          <w:iCs/>
          <w:color w:val="6B7280"/>
          <w:sz w:val="20"/>
          <w:szCs w:val="20"/>
        </w:rPr>
        <w:t xml:space="preserve">× Astera Labs</w:t>
      </w:r>
    </w:p>
    <w:p>
      <w:pPr>
        <w:spacing w:after="120"/>
        <w:jc w:val="center"/>
      </w:pPr>
      <w:r>
        <w:rPr>
          <w:b/>
          <w:bCs/>
          <w:color w:val="1A2B4C"/>
          <w:sz w:val="40"/>
          <w:szCs w:val="40"/>
        </w:rPr>
        <w:t xml:space="preserve">Constraint Optimization through RTL Enhancement</w:t>
      </w:r>
    </w:p>
    <w:p>
      <w:pPr>
        <w:spacing w:after="500"/>
        <w:jc w:val="center"/>
      </w:pPr>
      <w:r>
        <w:rPr>
          <w:b/>
          <w:bCs/>
          <w:color w:val="1A2B4C"/>
          <w:sz w:val="40"/>
          <w:szCs w:val="40"/>
        </w:rPr>
        <w:t xml:space="preserve">Using Generative AI</w:t>
      </w:r>
    </w:p>
    <w:p>
      <w:pPr>
        <w:spacing w:after="80"/>
        <w:jc w:val="center"/>
      </w:pPr>
      <w:r>
        <w:rPr>
          <w:i/>
          <w:iCs/>
          <w:color w:val="6B7280"/>
          <w:sz w:val="22"/>
          <w:szCs w:val="22"/>
        </w:rPr>
        <w:t xml:space="preserve">A closed-loop, formally-verified RTL refactoring agent</w:t>
      </w:r>
    </w:p>
    <w:p>
      <w:pPr>
        <w:spacing w:after="7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A2B4C" w:val="clear"/>
            <w:tcMar>
              <w:top w:type="dxa" w:w="100"/>
              <w:left w:type="dxa" w:w="120"/>
              <w:bottom w:type="dxa" w:w="100"/>
              <w:right w:type="dxa" w:w="120"/>
            </w:tcMar>
            <w:vAlign w:val="center"/>
          </w:tcPr>
          <w:p>
            <w:r>
              <w:rPr>
                <w:b/>
                <w:bCs/>
                <w:color w:val="FFFFFF"/>
                <w:sz w:val="18"/>
                <w:szCs w:val="18"/>
              </w:rPr>
              <w:t xml:space="preserve">Detail</w:t>
            </w:r>
          </w:p>
        </w:tc>
        <w:tc>
          <w:tcPr>
            <w:tcW w:type="dxa" w:w="6350"/>
            <w:shd w:fill="1A2B4C" w:val="clear"/>
            <w:tcMar>
              <w:top w:type="dxa" w:w="100"/>
              <w:left w:type="dxa" w:w="120"/>
              <w:bottom w:type="dxa" w:w="100"/>
              <w:right w:type="dxa" w:w="120"/>
            </w:tcMar>
            <w:vAlign w:val="center"/>
          </w:tcPr>
          <w:p>
            <w:r>
              <w:rPr>
                <w:b/>
                <w:bCs/>
                <w:color w:val="FFFFFF"/>
                <w:sz w:val="18"/>
                <w:szCs w:val="18"/>
              </w:rPr>
              <w:t xml:space="preserve">Value</w:t>
            </w:r>
          </w:p>
        </w:tc>
      </w:tr>
      <w:tr>
        <w:tc>
          <w:tcPr>
            <w:tcW w:type="dxa" w:w="3000"/>
            <w:shd w:fill="FFFFFF" w:val="clear"/>
            <w:tcMar>
              <w:top w:type="dxa" w:w="90"/>
              <w:left w:type="dxa" w:w="120"/>
              <w:bottom w:type="dxa" w:w="90"/>
              <w:right w:type="dxa" w:w="120"/>
            </w:tcMar>
            <w:vAlign w:val="center"/>
          </w:tcPr>
          <w:p>
            <w:r>
              <w:rPr>
                <w:color w:val="1F2430"/>
                <w:sz w:val="18"/>
                <w:szCs w:val="18"/>
              </w:rPr>
              <w:t xml:space="preserve">Team Name</w:t>
            </w:r>
          </w:p>
        </w:tc>
        <w:tc>
          <w:tcPr>
            <w:tcW w:type="dxa" w:w="6350"/>
            <w:shd w:fill="FFFFFF" w:val="clear"/>
            <w:tcMar>
              <w:top w:type="dxa" w:w="90"/>
              <w:left w:type="dxa" w:w="120"/>
              <w:bottom w:type="dxa" w:w="90"/>
              <w:right w:type="dxa" w:w="120"/>
            </w:tcMar>
            <w:vAlign w:val="center"/>
          </w:tcPr>
          <w:p>
            <w:r>
              <w:rPr>
                <w:color w:val="1F2430"/>
                <w:sz w:val="18"/>
                <w:szCs w:val="18"/>
              </w:rPr>
              <w:t xml:space="preserve">[INSERT TEAM NAME]</w:t>
            </w:r>
          </w:p>
        </w:tc>
      </w:tr>
      <w:tr>
        <w:tc>
          <w:tcPr>
            <w:tcW w:type="dxa" w:w="3000"/>
            <w:shd w:fill="F2F4F7" w:val="clear"/>
            <w:tcMar>
              <w:top w:type="dxa" w:w="90"/>
              <w:left w:type="dxa" w:w="120"/>
              <w:bottom w:type="dxa" w:w="90"/>
              <w:right w:type="dxa" w:w="120"/>
            </w:tcMar>
            <w:vAlign w:val="center"/>
          </w:tcPr>
          <w:p>
            <w:r>
              <w:rPr>
                <w:color w:val="1F2430"/>
                <w:sz w:val="18"/>
                <w:szCs w:val="18"/>
              </w:rPr>
              <w:t xml:space="preserve">College</w:t>
            </w:r>
          </w:p>
        </w:tc>
        <w:tc>
          <w:tcPr>
            <w:tcW w:type="dxa" w:w="6350"/>
            <w:shd w:fill="F2F4F7" w:val="clear"/>
            <w:tcMar>
              <w:top w:type="dxa" w:w="90"/>
              <w:left w:type="dxa" w:w="120"/>
              <w:bottom w:type="dxa" w:w="90"/>
              <w:right w:type="dxa" w:w="120"/>
            </w:tcMar>
            <w:vAlign w:val="center"/>
          </w:tcPr>
          <w:p>
            <w:r>
              <w:rPr>
                <w:color w:val="1F2430"/>
                <w:sz w:val="18"/>
                <w:szCs w:val="18"/>
              </w:rPr>
              <w:t xml:space="preserve">[INSERT COLLEGE NAME]</w:t>
            </w:r>
          </w:p>
        </w:tc>
      </w:tr>
      <w:tr>
        <w:tc>
          <w:tcPr>
            <w:tcW w:type="dxa" w:w="3000"/>
            <w:shd w:fill="FFFFFF" w:val="clear"/>
            <w:tcMar>
              <w:top w:type="dxa" w:w="90"/>
              <w:left w:type="dxa" w:w="120"/>
              <w:bottom w:type="dxa" w:w="90"/>
              <w:right w:type="dxa" w:w="120"/>
            </w:tcMar>
            <w:vAlign w:val="center"/>
          </w:tcPr>
          <w:p>
            <w:r>
              <w:rPr>
                <w:color w:val="1F2430"/>
                <w:sz w:val="18"/>
                <w:szCs w:val="18"/>
              </w:rPr>
              <w:t xml:space="preserve">Team Members</w:t>
            </w:r>
          </w:p>
        </w:tc>
        <w:tc>
          <w:tcPr>
            <w:tcW w:type="dxa" w:w="6350"/>
            <w:shd w:fill="FFFFFF" w:val="clear"/>
            <w:tcMar>
              <w:top w:type="dxa" w:w="90"/>
              <w:left w:type="dxa" w:w="120"/>
              <w:bottom w:type="dxa" w:w="90"/>
              <w:right w:type="dxa" w:w="120"/>
            </w:tcMar>
            <w:vAlign w:val="center"/>
          </w:tcPr>
          <w:p>
            <w:r>
              <w:rPr>
                <w:color w:val="1F2430"/>
                <w:sz w:val="18"/>
                <w:szCs w:val="18"/>
              </w:rPr>
              <w:t xml:space="preserve">[INSERT NAMES OF ALL TEAM MEMBERS]</w:t>
            </w:r>
          </w:p>
        </w:tc>
      </w:tr>
      <w:tr>
        <w:tc>
          <w:tcPr>
            <w:tcW w:type="dxa" w:w="3000"/>
            <w:shd w:fill="F2F4F7" w:val="clear"/>
            <w:tcMar>
              <w:top w:type="dxa" w:w="90"/>
              <w:left w:type="dxa" w:w="120"/>
              <w:bottom w:type="dxa" w:w="90"/>
              <w:right w:type="dxa" w:w="120"/>
            </w:tcMar>
            <w:vAlign w:val="center"/>
          </w:tcPr>
          <w:p>
            <w:r>
              <w:rPr>
                <w:color w:val="1F2430"/>
                <w:sz w:val="18"/>
                <w:szCs w:val="18"/>
              </w:rPr>
              <w:t xml:space="preserve">Submission Round</w:t>
            </w:r>
          </w:p>
        </w:tc>
        <w:tc>
          <w:tcPr>
            <w:tcW w:type="dxa" w:w="6350"/>
            <w:shd w:fill="F2F4F7" w:val="clear"/>
            <w:tcMar>
              <w:top w:type="dxa" w:w="90"/>
              <w:left w:type="dxa" w:w="120"/>
              <w:bottom w:type="dxa" w:w="90"/>
              <w:right w:type="dxa" w:w="120"/>
            </w:tcMar>
            <w:vAlign w:val="center"/>
          </w:tcPr>
          <w:p>
            <w:r>
              <w:rPr>
                <w:color w:val="1F2430"/>
                <w:sz w:val="18"/>
                <w:szCs w:val="18"/>
              </w:rPr>
              <w:t xml:space="preserve">Round 1</w:t>
            </w:r>
          </w:p>
        </w:tc>
      </w:tr>
      <w:tr>
        <w:tc>
          <w:tcPr>
            <w:tcW w:type="dxa" w:w="3000"/>
            <w:shd w:fill="FFFFFF" w:val="clear"/>
            <w:tcMar>
              <w:top w:type="dxa" w:w="90"/>
              <w:left w:type="dxa" w:w="120"/>
              <w:bottom w:type="dxa" w:w="90"/>
              <w:right w:type="dxa" w:w="120"/>
            </w:tcMar>
            <w:vAlign w:val="center"/>
          </w:tcPr>
          <w:p>
            <w:r>
              <w:rPr>
                <w:color w:val="1F2430"/>
                <w:sz w:val="18"/>
                <w:szCs w:val="18"/>
              </w:rPr>
              <w:t xml:space="preserve">Report Date</w:t>
            </w:r>
          </w:p>
        </w:tc>
        <w:tc>
          <w:tcPr>
            <w:tcW w:type="dxa" w:w="6350"/>
            <w:shd w:fill="FFFFFF" w:val="clear"/>
            <w:tcMar>
              <w:top w:type="dxa" w:w="90"/>
              <w:left w:type="dxa" w:w="120"/>
              <w:bottom w:type="dxa" w:w="90"/>
              <w:right w:type="dxa" w:w="120"/>
            </w:tcMar>
            <w:vAlign w:val="center"/>
          </w:tcPr>
          <w:p>
            <w:r>
              <w:rPr>
                <w:color w:val="1F2430"/>
                <w:sz w:val="18"/>
                <w:szCs w:val="18"/>
              </w:rPr>
              <w:t xml:space="preserve">[INSERT DATE]</w:t>
            </w:r>
          </w:p>
        </w:tc>
      </w:tr>
    </w:tbl>
    <w:p>
      <w:pPr>
        <w:spacing w:after="500"/>
      </w:pPr>
    </w:p>
    <w:p>
      <w:pPr>
        <w:jc w:val="center"/>
      </w:pPr>
      <w:r>
        <w:rPr>
          <w:i/>
          <w:iCs/>
          <w:color w:val="6B7280"/>
          <w:sz w:val="16"/>
          <w:szCs w:val="16"/>
        </w:rPr>
        <w:t xml:space="preserve">Replace the bracketed placeholders above before submission.</w:t>
      </w:r>
    </w:p>
    <w:p>
      <w:r>
        <w:br w:type="page"/>
      </w:r>
    </w:p>
    <w:p>
      <w:pPr>
        <w:pStyle w:val="Heading1"/>
        <w:pBdr>
          <w:bottom w:val="single" w:color="1A2B4C" w:sz="8" w:space="4"/>
        </w:pBdr>
        <w:spacing w:after="160" w:before="360"/>
      </w:pPr>
      <w:r>
        <w:rPr>
          <w:b/>
          <w:bCs/>
          <w:color w:val="1A2B4C"/>
          <w:sz w:val="28"/>
          <w:szCs w:val="28"/>
        </w:rPr>
        <w:t xml:space="preserve">Executive Summary</w:t>
      </w:r>
    </w:p>
    <w:p>
      <w:pPr>
        <w:spacing w:after="160" w:line="276"/>
        <w:jc w:val="both"/>
      </w:pPr>
      <w:r>
        <w:rPr>
          <w:color w:val="1F2430"/>
          <w:sz w:val="20"/>
          <w:szCs w:val="20"/>
        </w:rPr>
        <w:t xml:space="preserve">Achieving timing closure and optimal PPA (Power, Performance, Area) in modern RTL development is an iterative, labor-intensive cycle: an engineer reads a timing report, traces the worst path back into source, applies a targeted rewrite, and re-runs synthesis — repeated for every violation, on every design revision. This project automates that cycle end to end with no human decision point, and backs every claim below with a number we actually measured, not an estimate.</w:t>
      </w:r>
    </w:p>
    <w:p>
      <w:pPr>
        <w:pStyle w:val="Heading2"/>
        <w:spacing w:after="120" w:before="260"/>
      </w:pPr>
      <w:r>
        <w:rPr>
          <w:b/>
          <w:bCs/>
          <w:color w:val="2F5D8A"/>
          <w:sz w:val="22"/>
          <w:szCs w:val="22"/>
        </w:rPr>
        <w:t xml:space="preserve">The flow, end to 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D1117" w:val="clear"/>
            <w:tcMar>
              <w:top w:type="dxa" w:w="140"/>
              <w:left w:type="dxa" w:w="180"/>
              <w:bottom w:type="dxa" w:w="140"/>
              <w:right w:type="dxa" w:w="180"/>
            </w:tcMar>
          </w:tcPr>
          <w:p>
            <w:pPr>
              <w:spacing w:after="20"/>
            </w:pPr>
            <w:r>
              <w:rPr>
                <w:rFonts w:ascii="Consolas" w:cs="Consolas" w:eastAsia="Consolas" w:hAnsi="Consolas"/>
                <w:color w:val="D4D4D4"/>
                <w:sz w:val="16"/>
                <w:szCs w:val="16"/>
              </w:rPr>
              <w:t xml:space="preserve">Baseline RTL --&gt; Synthesis/STA --&gt; Structural CDC lint --&gt; LLM diagnosis (JSON)</w:t>
            </w:r>
          </w:p>
          <w:p>
            <w:pPr>
              <w:spacing w:after="20"/>
            </w:pPr>
            <w:r>
              <w:rPr>
                <w:rFonts w:ascii="Consolas" w:cs="Consolas" w:eastAsia="Consolas" w:hAnsi="Consolas"/>
                <w:color w:val="D4D4D4"/>
                <w:sz w:val="16"/>
                <w:szCs w:val="16"/>
              </w:rPr>
              <w:t xml:space="preserve">   --&gt; LLM refactor (one issue at a time) --&gt; Functional regression + formal</w:t>
            </w:r>
          </w:p>
          <w:p>
            <w:pPr>
              <w:spacing w:after="20"/>
            </w:pPr>
            <w:r>
              <w:rPr>
                <w:rFonts w:ascii="Consolas" w:cs="Consolas" w:eastAsia="Consolas" w:hAnsi="Consolas"/>
                <w:color w:val="D4D4D4"/>
                <w:sz w:val="16"/>
                <w:szCs w:val="16"/>
              </w:rPr>
              <w:t xml:space="preserve">   equivalence (EQY) --&gt; Accept, retry, or revert --&gt; PPA delta reporting</w:t>
            </w:r>
          </w:p>
        </w:tc>
      </w:tr>
    </w:tbl>
    <w:p>
      <w:pPr>
        <w:pStyle w:val="Heading2"/>
        <w:spacing w:after="120" w:before="260"/>
      </w:pPr>
      <w:r>
        <w:rPr>
          <w:b/>
          <w:bCs/>
          <w:color w:val="2F5D8A"/>
          <w:sz w:val="22"/>
          <w:szCs w:val="22"/>
        </w:rPr>
        <w:t xml:space="preserve">What Stage 2 is actually scoped to do</w:t>
      </w:r>
    </w:p>
    <w:p>
      <w:pPr>
        <w:spacing w:after="160" w:line="276"/>
        <w:jc w:val="both"/>
      </w:pPr>
      <w:r>
        <w:rPr>
          <w:color w:val="1F2430"/>
          <w:sz w:val="20"/>
          <w:szCs w:val="20"/>
        </w:rPr>
        <w:t xml:space="preserve">Five transformation types, each tied to a specific diagnosis — nothing broader is claimed:</w:t>
      </w:r>
    </w:p>
    <w:p>
      <w:pPr>
        <w:pStyle w:val="ListParagraph"/>
        <w:numPr>
          <w:ilvl w:val="0"/>
          <w:numId w:val="2"/>
        </w:numPr>
        <w:spacing w:after="90"/>
      </w:pPr>
      <w:r>
        <w:rPr>
          <w:color w:val="1F2430"/>
          <w:sz w:val="20"/>
          <w:szCs w:val="20"/>
        </w:rPr>
        <w:t xml:space="preserve">Pipeline insertion / register retiming</w:t>
      </w:r>
    </w:p>
    <w:p>
      <w:pPr>
        <w:pStyle w:val="ListParagraph"/>
        <w:numPr>
          <w:ilvl w:val="0"/>
          <w:numId w:val="2"/>
        </w:numPr>
        <w:spacing w:after="90"/>
      </w:pPr>
      <w:r>
        <w:rPr>
          <w:color w:val="1F2430"/>
          <w:sz w:val="20"/>
          <w:szCs w:val="20"/>
        </w:rPr>
        <w:t xml:space="preserve">Priority-tree flattening (if-else chains into case/casez structures)</w:t>
      </w:r>
    </w:p>
    <w:p>
      <w:pPr>
        <w:pStyle w:val="ListParagraph"/>
        <w:numPr>
          <w:ilvl w:val="0"/>
          <w:numId w:val="2"/>
        </w:numPr>
        <w:spacing w:after="90"/>
      </w:pPr>
      <w:r>
        <w:rPr>
          <w:color w:val="1F2430"/>
          <w:sz w:val="20"/>
          <w:szCs w:val="20"/>
        </w:rPr>
        <w:t xml:space="preserve">FSM re-encoding (binary, one-hot, or Gray)</w:t>
      </w:r>
    </w:p>
    <w:p>
      <w:pPr>
        <w:pStyle w:val="ListParagraph"/>
        <w:numPr>
          <w:ilvl w:val="0"/>
          <w:numId w:val="2"/>
        </w:numPr>
        <w:spacing w:after="90"/>
      </w:pPr>
      <w:r>
        <w:rPr>
          <w:color w:val="1F2430"/>
          <w:sz w:val="20"/>
          <w:szCs w:val="20"/>
        </w:rPr>
        <w:t xml:space="preserve">CDC synchronizer insertion (2-flop synchronizers or async-FIFO bridges)</w:t>
      </w:r>
    </w:p>
    <w:p>
      <w:pPr>
        <w:pStyle w:val="ListParagraph"/>
        <w:numPr>
          <w:ilvl w:val="0"/>
          <w:numId w:val="2"/>
        </w:numPr>
        <w:spacing w:after="90"/>
      </w:pPr>
      <w:r>
        <w:rPr>
          <w:color w:val="1F2430"/>
          <w:sz w:val="20"/>
          <w:szCs w:val="20"/>
        </w:rPr>
        <w:t xml:space="preserve">Dead code elimination and constant propagation</w:t>
      </w:r>
    </w:p>
    <w:p>
      <w:pPr>
        <w:pStyle w:val="Heading2"/>
        <w:spacing w:after="120" w:before="260"/>
      </w:pPr>
      <w:r>
        <w:rPr>
          <w:b/>
          <w:bCs/>
          <w:color w:val="2F5D8A"/>
          <w:sz w:val="22"/>
          <w:szCs w:val="22"/>
        </w:rPr>
        <w:t xml:space="preserve">Measured vs. not-yet-measured — stated plainly</w:t>
      </w:r>
    </w:p>
    <w:p>
      <w:pPr>
        <w:spacing w:after="160" w:line="276"/>
        <w:jc w:val="both"/>
      </w:pPr>
      <w:r>
        <w:rPr>
          <w:color w:val="1F2430"/>
          <w:sz w:val="20"/>
          <w:szCs w:val="20"/>
        </w:rPr>
        <w:t xml:space="preserve">The table below reports real wall-clock timings for the two stages we can currently exercise without an API key or an EQY/OpenROAD install (see Section 10). It intentionally does not project numbers for the stages that are code-complete but not yet run against funded tools — doing so would be a guess, not a measurement, and this report treats that distinction as important.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4250"/>
      </w:tblGrid>
      <w:tr>
        <w:trPr>
          <w:tblHeader/>
        </w:trPr>
        <w:tc>
          <w:tcPr>
            <w:tcW w:type="dxa" w:w="2500"/>
            <w:shd w:fill="1A2B4C" w:val="clear"/>
            <w:tcMar>
              <w:top w:type="dxa" w:w="100"/>
              <w:left w:type="dxa" w:w="120"/>
              <w:bottom w:type="dxa" w:w="100"/>
              <w:right w:type="dxa" w:w="120"/>
            </w:tcMar>
            <w:vAlign w:val="center"/>
          </w:tcPr>
          <w:p>
            <w:r>
              <w:rPr>
                <w:b/>
                <w:bCs/>
                <w:color w:val="FFFFFF"/>
                <w:sz w:val="18"/>
                <w:szCs w:val="18"/>
              </w:rPr>
              <w:t xml:space="preserve">Pipeline stage</w:t>
            </w:r>
          </w:p>
        </w:tc>
        <w:tc>
          <w:tcPr>
            <w:tcW w:type="dxa" w:w="2600"/>
            <w:shd w:fill="1A2B4C" w:val="clear"/>
            <w:tcMar>
              <w:top w:type="dxa" w:w="100"/>
              <w:left w:type="dxa" w:w="120"/>
              <w:bottom w:type="dxa" w:w="100"/>
              <w:right w:type="dxa" w:w="120"/>
            </w:tcMar>
            <w:vAlign w:val="center"/>
          </w:tcPr>
          <w:p>
            <w:r>
              <w:rPr>
                <w:b/>
                <w:bCs/>
                <w:color w:val="FFFFFF"/>
                <w:sz w:val="18"/>
                <w:szCs w:val="18"/>
              </w:rPr>
              <w:t xml:space="preserve">Typical manual effort</w:t>
            </w:r>
          </w:p>
        </w:tc>
        <w:tc>
          <w:tcPr>
            <w:tcW w:type="dxa" w:w="4250"/>
            <w:shd w:fill="1A2B4C" w:val="clear"/>
            <w:tcMar>
              <w:top w:type="dxa" w:w="100"/>
              <w:left w:type="dxa" w:w="120"/>
              <w:bottom w:type="dxa" w:w="100"/>
              <w:right w:type="dxa" w:w="120"/>
            </w:tcMar>
            <w:vAlign w:val="center"/>
          </w:tcPr>
          <w:p>
            <w:r>
              <w:rPr>
                <w:b/>
                <w:bCs/>
                <w:color w:val="FFFFFF"/>
                <w:sz w:val="18"/>
                <w:szCs w:val="18"/>
              </w:rPr>
              <w:t xml:space="preserve">This system — measured or status</w:t>
            </w:r>
          </w:p>
        </w:tc>
      </w:tr>
      <w:tr>
        <w:tc>
          <w:tcPr>
            <w:tcW w:type="dxa" w:w="2500"/>
            <w:shd w:fill="FFFFFF" w:val="clear"/>
            <w:tcMar>
              <w:top w:type="dxa" w:w="90"/>
              <w:left w:type="dxa" w:w="120"/>
              <w:bottom w:type="dxa" w:w="90"/>
              <w:right w:type="dxa" w:w="120"/>
            </w:tcMar>
            <w:vAlign w:val="center"/>
          </w:tcPr>
          <w:p>
            <w:r>
              <w:rPr>
                <w:color w:val="1F2430"/>
                <w:sz w:val="18"/>
                <w:szCs w:val="18"/>
              </w:rPr>
              <w:t xml:space="preserve">Read timing report, locate root cause</w:t>
            </w:r>
          </w:p>
        </w:tc>
        <w:tc>
          <w:tcPr>
            <w:tcW w:type="dxa" w:w="2600"/>
            <w:shd w:fill="FFFFFF" w:val="clear"/>
            <w:tcMar>
              <w:top w:type="dxa" w:w="90"/>
              <w:left w:type="dxa" w:w="120"/>
              <w:bottom w:type="dxa" w:w="90"/>
              <w:right w:type="dxa" w:w="120"/>
            </w:tcMar>
            <w:vAlign w:val="center"/>
          </w:tcPr>
          <w:p>
            <w:r>
              <w:rPr>
                <w:color w:val="1F2430"/>
                <w:sz w:val="18"/>
                <w:szCs w:val="18"/>
              </w:rPr>
              <w:t xml:space="preserve">Hours per pass, across many violations</w:t>
            </w:r>
          </w:p>
        </w:tc>
        <w:tc>
          <w:tcPr>
            <w:tcW w:type="dxa" w:w="4250"/>
            <w:shd w:fill="FFFFFF" w:val="clear"/>
            <w:tcMar>
              <w:top w:type="dxa" w:w="90"/>
              <w:left w:type="dxa" w:w="120"/>
              <w:bottom w:type="dxa" w:w="90"/>
              <w:right w:type="dxa" w:w="120"/>
            </w:tcMar>
            <w:vAlign w:val="center"/>
          </w:tcPr>
          <w:p>
            <w:r>
              <w:rPr>
                <w:color w:val="1F2430"/>
                <w:sz w:val="18"/>
                <w:szCs w:val="18"/>
              </w:rPr>
              <w:t xml:space="preserve">Diagnosis is automatic (Stage 5); LLM latency not yet measured — needs a funded key (Round 2)</w:t>
            </w:r>
          </w:p>
        </w:tc>
      </w:tr>
      <w:tr>
        <w:tc>
          <w:tcPr>
            <w:tcW w:type="dxa" w:w="2500"/>
            <w:shd w:fill="F2F4F7" w:val="clear"/>
            <w:tcMar>
              <w:top w:type="dxa" w:w="90"/>
              <w:left w:type="dxa" w:w="120"/>
              <w:bottom w:type="dxa" w:w="90"/>
              <w:right w:type="dxa" w:w="120"/>
            </w:tcMar>
            <w:vAlign w:val="center"/>
          </w:tcPr>
          <w:p>
            <w:r>
              <w:rPr>
                <w:color w:val="1F2430"/>
                <w:sz w:val="18"/>
                <w:szCs w:val="18"/>
              </w:rPr>
              <w:t xml:space="preserve">Baseline synthesis + stats</w:t>
            </w:r>
          </w:p>
        </w:tc>
        <w:tc>
          <w:tcPr>
            <w:tcW w:type="dxa" w:w="2600"/>
            <w:shd w:fill="F2F4F7" w:val="clear"/>
            <w:tcMar>
              <w:top w:type="dxa" w:w="90"/>
              <w:left w:type="dxa" w:w="120"/>
              <w:bottom w:type="dxa" w:w="90"/>
              <w:right w:type="dxa" w:w="120"/>
            </w:tcMar>
            <w:vAlign w:val="center"/>
          </w:tcPr>
          <w:p>
            <w:r>
              <w:rPr>
                <w:color w:val="1F2430"/>
                <w:sz w:val="18"/>
                <w:szCs w:val="18"/>
              </w:rPr>
              <w:t xml:space="preserve">N/A — part of a longer manual loop</w:t>
            </w:r>
          </w:p>
        </w:tc>
        <w:tc>
          <w:tcPr>
            <w:tcW w:type="dxa" w:w="4250"/>
            <w:shd w:fill="F2F4F7" w:val="clear"/>
            <w:tcMar>
              <w:top w:type="dxa" w:w="90"/>
              <w:left w:type="dxa" w:w="120"/>
              <w:bottom w:type="dxa" w:w="90"/>
              <w:right w:type="dxa" w:w="120"/>
            </w:tcMar>
            <w:vAlign w:val="center"/>
          </w:tcPr>
          <w:p>
            <w:r>
              <w:rPr>
                <w:color w:val="1F2430"/>
                <w:sz w:val="18"/>
                <w:szCs w:val="18"/>
              </w:rPr>
              <w:t xml:space="preserve">1.55 seconds (real, measured — Yosys full synth, this sandbox)</w:t>
            </w:r>
          </w:p>
        </w:tc>
      </w:tr>
      <w:tr>
        <w:tc>
          <w:tcPr>
            <w:tcW w:type="dxa" w:w="2500"/>
            <w:shd w:fill="FFFFFF" w:val="clear"/>
            <w:tcMar>
              <w:top w:type="dxa" w:w="90"/>
              <w:left w:type="dxa" w:w="120"/>
              <w:bottom w:type="dxa" w:w="90"/>
              <w:right w:type="dxa" w:w="120"/>
            </w:tcMar>
            <w:vAlign w:val="center"/>
          </w:tcPr>
          <w:p>
            <w:r>
              <w:rPr>
                <w:color w:val="1F2430"/>
                <w:sz w:val="18"/>
                <w:szCs w:val="18"/>
              </w:rPr>
              <w:t xml:space="preserve">RTL rework</w:t>
            </w:r>
          </w:p>
        </w:tc>
        <w:tc>
          <w:tcPr>
            <w:tcW w:type="dxa" w:w="2600"/>
            <w:shd w:fill="FFFFFF" w:val="clear"/>
            <w:tcMar>
              <w:top w:type="dxa" w:w="90"/>
              <w:left w:type="dxa" w:w="120"/>
              <w:bottom w:type="dxa" w:w="90"/>
              <w:right w:type="dxa" w:w="120"/>
            </w:tcMar>
            <w:vAlign w:val="center"/>
          </w:tcPr>
          <w:p>
            <w:r>
              <w:rPr>
                <w:color w:val="1F2430"/>
                <w:sz w:val="18"/>
                <w:szCs w:val="18"/>
              </w:rPr>
              <w:t xml:space="preserve">Hours per targeted fix</w:t>
            </w:r>
          </w:p>
        </w:tc>
        <w:tc>
          <w:tcPr>
            <w:tcW w:type="dxa" w:w="4250"/>
            <w:shd w:fill="FFFFFF" w:val="clear"/>
            <w:tcMar>
              <w:top w:type="dxa" w:w="90"/>
              <w:left w:type="dxa" w:w="120"/>
              <w:bottom w:type="dxa" w:w="90"/>
              <w:right w:type="dxa" w:w="120"/>
            </w:tcMar>
            <w:vAlign w:val="center"/>
          </w:tcPr>
          <w:p>
            <w:r>
              <w:rPr>
                <w:color w:val="1F2430"/>
                <w:sz w:val="18"/>
                <w:szCs w:val="18"/>
              </w:rPr>
              <w:t xml:space="preserve">Automatic (Stage 6); not yet measured — needs a funded key (Round 2)</w:t>
            </w:r>
          </w:p>
        </w:tc>
      </w:tr>
      <w:tr>
        <w:tc>
          <w:tcPr>
            <w:tcW w:type="dxa" w:w="2500"/>
            <w:shd w:fill="F2F4F7" w:val="clear"/>
            <w:tcMar>
              <w:top w:type="dxa" w:w="90"/>
              <w:left w:type="dxa" w:w="120"/>
              <w:bottom w:type="dxa" w:w="90"/>
              <w:right w:type="dxa" w:w="120"/>
            </w:tcMar>
            <w:vAlign w:val="center"/>
          </w:tcPr>
          <w:p>
            <w:r>
              <w:rPr>
                <w:color w:val="1F2430"/>
                <w:sz w:val="18"/>
                <w:szCs w:val="18"/>
              </w:rPr>
              <w:t xml:space="preserve">Functional regression</w:t>
            </w:r>
          </w:p>
        </w:tc>
        <w:tc>
          <w:tcPr>
            <w:tcW w:type="dxa" w:w="2600"/>
            <w:shd w:fill="F2F4F7" w:val="clear"/>
            <w:tcMar>
              <w:top w:type="dxa" w:w="90"/>
              <w:left w:type="dxa" w:w="120"/>
              <w:bottom w:type="dxa" w:w="90"/>
              <w:right w:type="dxa" w:w="120"/>
            </w:tcMar>
            <w:vAlign w:val="center"/>
          </w:tcPr>
          <w:p>
            <w:r>
              <w:rPr>
                <w:color w:val="1F2430"/>
                <w:sz w:val="18"/>
                <w:szCs w:val="18"/>
              </w:rPr>
              <w:t xml:space="preserve">Set up once, reused; runtime varies</w:t>
            </w:r>
          </w:p>
        </w:tc>
        <w:tc>
          <w:tcPr>
            <w:tcW w:type="dxa" w:w="4250"/>
            <w:shd w:fill="F2F4F7" w:val="clear"/>
            <w:tcMar>
              <w:top w:type="dxa" w:w="90"/>
              <w:left w:type="dxa" w:w="120"/>
              <w:bottom w:type="dxa" w:w="90"/>
              <w:right w:type="dxa" w:w="120"/>
            </w:tcMar>
            <w:vAlign w:val="center"/>
          </w:tcPr>
          <w:p>
            <w:r>
              <w:rPr>
                <w:color w:val="1F2430"/>
                <w:sz w:val="18"/>
                <w:szCs w:val="18"/>
              </w:rPr>
              <w:t xml:space="preserve">0.37 seconds (real, measured — 256-case exhaustive regression, this sandbox)</w:t>
            </w:r>
          </w:p>
        </w:tc>
      </w:tr>
      <w:tr>
        <w:tc>
          <w:tcPr>
            <w:tcW w:type="dxa" w:w="2500"/>
            <w:shd w:fill="FFFFFF" w:val="clear"/>
            <w:tcMar>
              <w:top w:type="dxa" w:w="90"/>
              <w:left w:type="dxa" w:w="120"/>
              <w:bottom w:type="dxa" w:w="90"/>
              <w:right w:type="dxa" w:w="120"/>
            </w:tcMar>
            <w:vAlign w:val="center"/>
          </w:tcPr>
          <w:p>
            <w:r>
              <w:rPr>
                <w:color w:val="1F2430"/>
                <w:sz w:val="18"/>
                <w:szCs w:val="18"/>
              </w:rPr>
              <w:t xml:space="preserve">Formal equivalence check</w:t>
            </w:r>
          </w:p>
        </w:tc>
        <w:tc>
          <w:tcPr>
            <w:tcW w:type="dxa" w:w="2600"/>
            <w:shd w:fill="FFFFFF" w:val="clear"/>
            <w:tcMar>
              <w:top w:type="dxa" w:w="90"/>
              <w:left w:type="dxa" w:w="120"/>
              <w:bottom w:type="dxa" w:w="90"/>
              <w:right w:type="dxa" w:w="120"/>
            </w:tcMar>
            <w:vAlign w:val="center"/>
          </w:tcPr>
          <w:p>
            <w:r>
              <w:rPr>
                <w:color w:val="1F2430"/>
                <w:sz w:val="18"/>
                <w:szCs w:val="18"/>
              </w:rPr>
              <w:t xml:space="preserve">Not typically run by hand at this stage</w:t>
            </w:r>
          </w:p>
        </w:tc>
        <w:tc>
          <w:tcPr>
            <w:tcW w:type="dxa" w:w="4250"/>
            <w:shd w:fill="FFFFFF" w:val="clear"/>
            <w:tcMar>
              <w:top w:type="dxa" w:w="90"/>
              <w:left w:type="dxa" w:w="120"/>
              <w:bottom w:type="dxa" w:w="90"/>
              <w:right w:type="dxa" w:w="120"/>
            </w:tcMar>
            <w:vAlign w:val="center"/>
          </w:tcPr>
          <w:p>
            <w:r>
              <w:rPr>
                <w:color w:val="1F2430"/>
                <w:sz w:val="18"/>
                <w:szCs w:val="18"/>
              </w:rPr>
              <w:t xml:space="preserve">Gate logic implemented and unit-tested (Sec. 7); EQY not installed in this sandbox — not yet measured</w:t>
            </w:r>
          </w:p>
        </w:tc>
      </w:tr>
      <w:tr>
        <w:tc>
          <w:tcPr>
            <w:tcW w:type="dxa" w:w="2500"/>
            <w:shd w:fill="F2F4F7" w:val="clear"/>
            <w:tcMar>
              <w:top w:type="dxa" w:w="90"/>
              <w:left w:type="dxa" w:w="120"/>
              <w:bottom w:type="dxa" w:w="90"/>
              <w:right w:type="dxa" w:w="120"/>
            </w:tcMar>
            <w:vAlign w:val="center"/>
          </w:tcPr>
          <w:p>
            <w:r>
              <w:rPr>
                <w:color w:val="1F2430"/>
                <w:sz w:val="18"/>
                <w:szCs w:val="18"/>
              </w:rPr>
              <w:t xml:space="preserve">Re-synthesis + PPA delta</w:t>
            </w:r>
          </w:p>
        </w:tc>
        <w:tc>
          <w:tcPr>
            <w:tcW w:type="dxa" w:w="2600"/>
            <w:shd w:fill="F2F4F7" w:val="clear"/>
            <w:tcMar>
              <w:top w:type="dxa" w:w="90"/>
              <w:left w:type="dxa" w:w="120"/>
              <w:bottom w:type="dxa" w:w="90"/>
              <w:right w:type="dxa" w:w="120"/>
            </w:tcMar>
            <w:vAlign w:val="center"/>
          </w:tcPr>
          <w:p>
            <w:r>
              <w:rPr>
                <w:color w:val="1F2430"/>
                <w:sz w:val="18"/>
                <w:szCs w:val="18"/>
              </w:rPr>
              <w:t xml:space="preserve">Often the whole loop repeats</w:t>
            </w:r>
          </w:p>
        </w:tc>
        <w:tc>
          <w:tcPr>
            <w:tcW w:type="dxa" w:w="4250"/>
            <w:shd w:fill="F2F4F7" w:val="clear"/>
            <w:tcMar>
              <w:top w:type="dxa" w:w="90"/>
              <w:left w:type="dxa" w:w="120"/>
              <w:bottom w:type="dxa" w:w="90"/>
              <w:right w:type="dxa" w:w="120"/>
            </w:tcMar>
            <w:vAlign w:val="center"/>
          </w:tcPr>
          <w:p>
            <w:r>
              <w:rPr>
                <w:color w:val="1F2430"/>
                <w:sz w:val="18"/>
                <w:szCs w:val="18"/>
              </w:rPr>
              <w:t xml:space="preserve">1.55 seconds per re-synth (measured); full placed/routed PPA via OpenROAD is run once per version by design, not per iteration (Sec. 3) — minutes, not seconds, and reserved for Round 2</w:t>
            </w:r>
          </w:p>
        </w:tc>
      </w:tr>
    </w:tbl>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AF1E6" w:val="clear"/>
            <w:tcMar>
              <w:top w:type="dxa" w:w="140"/>
              <w:left w:type="dxa" w:w="200"/>
              <w:bottom w:type="dxa" w:w="140"/>
              <w:right w:type="dxa" w:w="200"/>
            </w:tcMar>
          </w:tcPr>
          <w:p>
            <w:pPr>
              <w:spacing w:after="60"/>
            </w:pPr>
            <w:r>
              <w:rPr>
                <w:b/>
                <w:bCs/>
                <w:color w:val="9A5B13"/>
                <w:sz w:val="19"/>
                <w:szCs w:val="19"/>
              </w:rPr>
              <w:t xml:space="preserve">On the two measured numbers above:</w:t>
            </w:r>
          </w:p>
          <w:p>
            <w:pPr>
              <w:jc w:val="both"/>
            </w:pPr>
            <w:r>
              <w:rPr>
                <w:color w:val="1F2430"/>
                <w:sz w:val="19"/>
                <w:szCs w:val="19"/>
              </w:rPr>
              <w:t xml:space="preserve">1.55 seconds for synthesis and 0.37 seconds for an exhaustive 256-case regression are real, reproducible on a small module (Section 5/8) — they are not claims about the full five-domain design, and they do not include the LLM or formal-equivalence stages, which this report does not estimate without having run them for real. Section 10 lays out exactly what changes once those stages are funded and installed. Note: the live demo video uses a lighter Yosys invocation (matching the shipped orchestrator code exactly, without a liberty-mapped ABC pass) and will show a different, typically faster, wall-clock time and a different cell count for the refactored variant (Section 8) — this is expected, since it is measuring the exact code path a judge can run themselves, not the heavier command used for this table.</w:t>
            </w:r>
          </w:p>
        </w:tc>
      </w:tr>
    </w:tbl>
    <w:p>
      <w:pPr>
        <w:pStyle w:val="Heading2"/>
        <w:spacing w:after="120" w:before="260"/>
      </w:pPr>
      <w:r>
        <w:rPr>
          <w:b/>
          <w:bCs/>
          <w:color w:val="2F5D8A"/>
          <w:sz w:val="22"/>
          <w:szCs w:val="22"/>
        </w:rPr>
        <w:t xml:space="preserve">Current implementation state</w:t>
      </w:r>
    </w:p>
    <w:p>
      <w:pPr>
        <w:spacing w:after="160" w:line="276"/>
        <w:jc w:val="both"/>
      </w:pPr>
      <w:r>
        <w:rPr>
          <w:color w:val="1F2430"/>
          <w:sz w:val="20"/>
          <w:szCs w:val="20"/>
        </w:rPr>
        <w:t xml:space="preserve">This submission deliberately holds back LLM API spend and has not yet installed EQY/OpenROAD in its development environment, so it can prove the architecture and acceptance-gate logic are correct before spending budget or depending on tools not yet available locally. Section 8 shows a full, real run of every stage that is currently exercisable — including a case where a proposed fix was correctly rejected — with only the LLM diagnosis/refactor calls and the EQY result held constant (stubbed) for that specific run. Section 10 states exactly what Round 2 adds and why.</w:t>
      </w:r>
    </w:p>
    <w:p>
      <w:pPr>
        <w:pStyle w:val="Heading1"/>
        <w:pBdr>
          <w:bottom w:val="single" w:color="1A2B4C" w:sz="8" w:space="4"/>
        </w:pBdr>
        <w:spacing w:after="160" w:before="360"/>
      </w:pPr>
      <w:r>
        <w:rPr>
          <w:b/>
          <w:bCs/>
          <w:color w:val="1A2B4C"/>
          <w:sz w:val="28"/>
          <w:szCs w:val="28"/>
        </w:rPr>
        <w:t xml:space="preserve">Contents</w:t>
      </w:r>
    </w:p>
    <w:p>
      <w:pPr>
        <w:spacing w:after="160" w:line="276"/>
        <w:jc w:val="both"/>
      </w:pPr>
      <w:r>
        <w:rPr>
          <w:color w:val="1F2430"/>
          <w:sz w:val="20"/>
          <w:szCs w:val="20"/>
        </w:rPr>
        <w:t xml:space="preserve">Executive Summary</w:t>
      </w:r>
    </w:p>
    <w:p>
      <w:pPr>
        <w:spacing w:after="160" w:line="276"/>
        <w:jc w:val="both"/>
      </w:pPr>
      <w:r>
        <w:rPr>
          <w:color w:val="1F2430"/>
          <w:sz w:val="20"/>
          <w:szCs w:val="20"/>
        </w:rPr>
        <w:t xml:space="preserve">1. Why Timing Closure Is Still a Manual Bottleneck</w:t>
      </w:r>
    </w:p>
    <w:p>
      <w:pPr>
        <w:spacing w:after="160" w:line="276"/>
        <w:jc w:val="both"/>
      </w:pPr>
      <w:r>
        <w:rPr>
          <w:color w:val="1F2430"/>
          <w:sz w:val="20"/>
          <w:szCs w:val="20"/>
        </w:rPr>
        <w:t xml:space="preserve">2. Problem Statement</w:t>
      </w:r>
    </w:p>
    <w:p>
      <w:pPr>
        <w:spacing w:after="160" w:line="276"/>
        <w:jc w:val="both"/>
      </w:pPr>
      <w:r>
        <w:rPr>
          <w:color w:val="1F2430"/>
          <w:sz w:val="20"/>
          <w:szCs w:val="20"/>
        </w:rPr>
        <w:t xml:space="preserve">3. System Architecture</w:t>
      </w:r>
    </w:p>
    <w:p>
      <w:pPr>
        <w:spacing w:after="160" w:line="276"/>
        <w:jc w:val="both"/>
      </w:pPr>
      <w:r>
        <w:rPr>
          <w:color w:val="1F2430"/>
          <w:sz w:val="20"/>
          <w:szCs w:val="20"/>
        </w:rPr>
        <w:t xml:space="preserve">4. Input Design — Constraints and Real Baseline Numbers</w:t>
      </w:r>
    </w:p>
    <w:p>
      <w:pPr>
        <w:spacing w:after="160" w:line="276"/>
        <w:jc w:val="both"/>
      </w:pPr>
      <w:r>
        <w:rPr>
          <w:color w:val="1F2430"/>
          <w:sz w:val="20"/>
          <w:szCs w:val="20"/>
        </w:rPr>
        <w:t xml:space="preserve">5. Workflow Walkthrough: Netlist, Timing, Fanout, PPA</w:t>
      </w:r>
    </w:p>
    <w:p>
      <w:pPr>
        <w:spacing w:after="160" w:line="276"/>
        <w:jc w:val="both"/>
      </w:pPr>
      <w:r>
        <w:rPr>
          <w:color w:val="1F2430"/>
          <w:sz w:val="20"/>
          <w:szCs w:val="20"/>
        </w:rPr>
        <w:t xml:space="preserve">6. The GenAI Diagnosis-and-Refactor Engine</w:t>
      </w:r>
    </w:p>
    <w:p>
      <w:pPr>
        <w:spacing w:after="160" w:line="276"/>
        <w:jc w:val="both"/>
      </w:pPr>
      <w:r>
        <w:rPr>
          <w:color w:val="1F2430"/>
          <w:sz w:val="20"/>
          <w:szCs w:val="20"/>
        </w:rPr>
        <w:t xml:space="preserve">7. Verification — Regression and Formal Equivalence</w:t>
      </w:r>
    </w:p>
    <w:p>
      <w:pPr>
        <w:spacing w:after="160" w:line="276"/>
        <w:jc w:val="both"/>
      </w:pPr>
      <w:r>
        <w:rPr>
          <w:color w:val="1F2430"/>
          <w:sz w:val="20"/>
          <w:szCs w:val="20"/>
        </w:rPr>
        <w:t xml:space="preserve">8. Case Study: A Real, Verified Run (Including a Rejected Fix)</w:t>
      </w:r>
    </w:p>
    <w:p>
      <w:pPr>
        <w:spacing w:after="160" w:line="276"/>
        <w:jc w:val="both"/>
      </w:pPr>
      <w:r>
        <w:rPr>
          <w:color w:val="1F2430"/>
          <w:sz w:val="20"/>
          <w:szCs w:val="20"/>
        </w:rPr>
        <w:t xml:space="preserve">9. Verified Capabilities — What the Code Actually Does Today</w:t>
      </w:r>
    </w:p>
    <w:p>
      <w:pPr>
        <w:spacing w:after="160" w:line="276"/>
        <w:jc w:val="both"/>
      </w:pPr>
      <w:r>
        <w:rPr>
          <w:color w:val="1F2430"/>
          <w:sz w:val="20"/>
          <w:szCs w:val="20"/>
        </w:rPr>
        <w:t xml:space="preserve">10. Round 1 Status and the Plan for Round 2</w:t>
      </w:r>
    </w:p>
    <w:p>
      <w:pPr>
        <w:spacing w:after="160" w:line="276"/>
        <w:jc w:val="both"/>
      </w:pPr>
      <w:r>
        <w:rPr>
          <w:color w:val="1F2430"/>
          <w:sz w:val="20"/>
          <w:szCs w:val="20"/>
        </w:rPr>
        <w:t xml:space="preserve">11. Known Limitations</w:t>
      </w:r>
    </w:p>
    <w:p>
      <w:pPr>
        <w:spacing w:after="160" w:line="276"/>
        <w:jc w:val="both"/>
      </w:pPr>
      <w:r>
        <w:rPr>
          <w:color w:val="1F2430"/>
          <w:sz w:val="20"/>
          <w:szCs w:val="20"/>
        </w:rPr>
        <w:t xml:space="preserve">12. Conclusion</w:t>
      </w:r>
    </w:p>
    <w:p>
      <w:r>
        <w:br w:type="page"/>
      </w:r>
    </w:p>
    <w:p>
      <w:pPr>
        <w:pStyle w:val="Heading1"/>
        <w:pBdr>
          <w:bottom w:val="single" w:color="1A2B4C" w:sz="8" w:space="4"/>
        </w:pBdr>
        <w:spacing w:after="160" w:before="360"/>
      </w:pPr>
      <w:r>
        <w:rPr>
          <w:b/>
          <w:bCs/>
          <w:color w:val="1A2B4C"/>
          <w:sz w:val="28"/>
          <w:szCs w:val="28"/>
        </w:rPr>
        <w:t xml:space="preserve">1. Why Timing Closure Is Still a Manual Bottleneck</w:t>
      </w:r>
    </w:p>
    <w:p>
      <w:pPr>
        <w:spacing w:after="160" w:line="276"/>
        <w:jc w:val="both"/>
      </w:pPr>
      <w:r>
        <w:rPr>
          <w:color w:val="1F2430"/>
          <w:sz w:val="20"/>
          <w:szCs w:val="20"/>
        </w:rPr>
        <w:t xml:space="preserve">Timing closure is one of the most time-consuming stages of digital design, and it has stayed stubbornly manual for a simple reason: reading a static timing report and turning it into a correct RTL fix requires the same kind of judgment every time — trace the worst path back into source, decide whether it is a logic-depth problem, a fanout problem, or a structural problem, apply a targeted fix, and prove nothing broke. None of those steps are conceptually hard in isolation. What makes them expensive is that a non-trivial design has dozens of these violations, and a design with multiple asynchronous clock domains adds a second, harder problem on top: clock domain crossings that timing analysis alone cannot even see, because a CDC hazard is a structural risk, not a slack number.</w:t>
      </w:r>
    </w:p>
    <w:p>
      <w:pPr>
        <w:spacing w:after="160" w:line="276"/>
        <w:jc w:val="both"/>
      </w:pPr>
      <w:r>
        <w:rPr>
          <w:color w:val="1F2430"/>
          <w:sz w:val="20"/>
          <w:szCs w:val="20"/>
        </w:rPr>
        <w:t xml:space="preserve">This project treats that repeated judgment call as something a closed loop can automate — not by asking a language model to “improve this Verilog” and hoping for the best, but by giving it the same evidence a human engineer would use (a real synthesized netlist, a real timing report, a real structural CDC scan), constraining it to one diagnosed problem at a time, and never accepting a proposed fix unless it is proven — functionally and formally — to behave identically to the original design. The sections that follow walk through that system end to end, using real tool output from our own runs rather than illustrative numbers.</w:t>
      </w:r>
    </w:p>
    <w:p>
      <w:pPr>
        <w:pStyle w:val="Heading1"/>
        <w:pBdr>
          <w:bottom w:val="single" w:color="1A2B4C" w:sz="8" w:space="4"/>
        </w:pBdr>
        <w:spacing w:after="160" w:before="360"/>
      </w:pPr>
      <w:r>
        <w:rPr>
          <w:b/>
          <w:bCs/>
          <w:color w:val="1A2B4C"/>
          <w:sz w:val="28"/>
          <w:szCs w:val="28"/>
        </w:rPr>
        <w:t xml:space="preserve">2. Problem Statement</w:t>
      </w:r>
    </w:p>
    <w:p>
      <w:pPr>
        <w:spacing w:after="160" w:line="276"/>
        <w:jc w:val="both"/>
      </w:pPr>
      <w:r>
        <w:rPr>
          <w:color w:val="1F2430"/>
          <w:sz w:val="20"/>
          <w:szCs w:val="20"/>
        </w:rPr>
        <w:t xml:space="preserve">Manual timing closure in high-speed digital design is iterative and slow. Long combinational critical paths, deep priority-encoded if-else structures, and unpipelined data paths produce negative Worst Negative Slack (WNS) and cap achievable Fₘₐₓ. The brief for this track specifies a test design with five independent asynchronous master clock domains, at least one generated (divided) clock per master, real clock-domain crossings between those domains, divider logic using multiple ratios, and a post-synthesis size of roughly 50,000 standard cells or more — explicitly to force a solution that cannot rely on single-clock timing analysis alone.</w:t>
      </w:r>
    </w:p>
    <w:p>
      <w:pPr>
        <w:spacing w:after="160" w:line="276"/>
        <w:jc w:val="both"/>
      </w:pPr>
      <w:r>
        <w:rPr>
          <w:color w:val="1F2430"/>
          <w:sz w:val="20"/>
          <w:szCs w:val="20"/>
        </w:rPr>
        <w:t xml:space="preserve">The brief further asks for a solution that improves PPA and turn-around-time, demonstrates genuine innovation beyond a single rewrite prompt, reports a measured success rate across multiple distinct issues, explicitly analyzes failed cases and what additional input would converge them, and runs fully automated with no human decision point in the loop. Every section of this report maps directly back to one of these requirements; Section 9 makes that mapping explicit.</w:t>
      </w:r>
    </w:p>
    <w:p>
      <w:r>
        <w:br w:type="page"/>
      </w:r>
    </w:p>
    <w:p>
      <w:pPr>
        <w:pStyle w:val="Heading1"/>
        <w:pBdr>
          <w:bottom w:val="single" w:color="1A2B4C" w:sz="8" w:space="4"/>
        </w:pBdr>
        <w:spacing w:after="160" w:before="360"/>
      </w:pPr>
      <w:r>
        <w:rPr>
          <w:b/>
          <w:bCs/>
          <w:color w:val="1A2B4C"/>
          <w:sz w:val="28"/>
          <w:szCs w:val="28"/>
        </w:rPr>
        <w:t xml:space="preserve">3. System Architecture</w:t>
      </w:r>
    </w:p>
    <w:p>
      <w:pPr>
        <w:spacing w:after="160" w:line="276"/>
        <w:jc w:val="both"/>
      </w:pPr>
      <w:r>
        <w:rPr>
          <w:color w:val="1F2430"/>
          <w:sz w:val="20"/>
          <w:szCs w:val="20"/>
        </w:rPr>
        <w:t xml:space="preserve">The system is a nine-stage closed loop, implemented as a Python orchestrator with no interactive prompts. Every stage writes a structured artifact that the next stage consumes, which is what makes the loop replayable and auditable rather than a black box.</w:t>
      </w:r>
    </w:p>
    <w:p>
      <w:pPr>
        <w:spacing w:after="40" w:before="160"/>
        <w:jc w:val="center"/>
      </w:pPr>
      <w:r>
        <w:drawing>
          <wp:inline distT="0" distB="0" distL="0" distR="0">
            <wp:extent cx="5762625"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752850"/>
                    </a:xfrm>
                    <a:prstGeom prst="rect">
                      <a:avLst/>
                    </a:prstGeom>
                  </pic:spPr>
                </pic:pic>
              </a:graphicData>
            </a:graphic>
          </wp:inline>
        </w:drawing>
      </w:r>
    </w:p>
    <w:p>
      <w:pPr>
        <w:spacing w:after="240" w:before="60"/>
        <w:jc w:val="center"/>
      </w:pPr>
      <w:r>
        <w:rPr>
          <w:i/>
          <w:iCs/>
          <w:color w:val="6B7280"/>
          <w:sz w:val="17"/>
          <w:szCs w:val="17"/>
        </w:rPr>
        <w:t xml:space="preserve">Figure 1. The nine-stage closed loop. Stage 7 is the only place an accept/reject decision is made, and it is made by code.</w:t>
      </w:r>
    </w:p>
    <w:p>
      <w:pPr>
        <w:pStyle w:val="Heading2"/>
        <w:spacing w:after="120" w:before="260"/>
      </w:pPr>
      <w:r>
        <w:rPr>
          <w:b/>
          <w:bCs/>
          <w:color w:val="2F5D8A"/>
          <w:sz w:val="22"/>
          <w:szCs w:val="22"/>
        </w:rPr>
        <w:t xml:space="preserve">Why diagnosis and refactoring are two separate model calls</w:t>
      </w:r>
    </w:p>
    <w:p>
      <w:pPr>
        <w:spacing w:after="160" w:line="276"/>
        <w:jc w:val="both"/>
      </w:pPr>
      <w:r>
        <w:rPr>
          <w:color w:val="1F2430"/>
          <w:sz w:val="20"/>
          <w:szCs w:val="20"/>
        </w:rPr>
        <w:t xml:space="preserve">Stage 5 receives the RTL, the timing report, and the CDC lint findings, and returns only a structured JSON list of bottlenecks — no code. Stage 6 receives the original RTL and exactly one diagnosis entry, and returns only a refactored module addressing that one issue. Keeping these separate stops the model from silently changing things nobody diagnosed, and makes each transformation independently auditable: a reviewer (or a judge) can read the Stage-5 JSON and know exactly what the Stage-6 output is supposed to have done, before even looking at the diff.</w:t>
      </w:r>
    </w:p>
    <w:p>
      <w:pPr>
        <w:pStyle w:val="Heading2"/>
        <w:spacing w:after="120" w:before="260"/>
      </w:pPr>
      <w:r>
        <w:rPr>
          <w:b/>
          <w:bCs/>
          <w:color w:val="2F5D8A"/>
          <w:sz w:val="22"/>
          <w:szCs w:val="22"/>
        </w:rPr>
        <w:t xml:space="preserve">Why the gate has three independent checks, not one</w:t>
      </w:r>
    </w:p>
    <w:p>
      <w:pPr>
        <w:spacing w:after="160" w:line="276"/>
        <w:jc w:val="both"/>
      </w:pPr>
      <w:r>
        <w:rPr>
          <w:color w:val="1F2430"/>
          <w:sz w:val="20"/>
          <w:szCs w:val="20"/>
        </w:rPr>
        <w:t xml:space="preserve">A change is only accepted if it passes a functional regression (the existing testbench, run through Icarus Verilog), a formal equivalence check (EQY, proving the new netlist is behaviorally identical to the original — not just “passes the vectors we happened to write”), and a PPA regression guard (the change is rejected if it makes a tracked metric meaningfully worse, even if it is functionally and formally fine). Section 8 shows this third check firing for real, on a case where the first two checks passed but the fix should still have been rejected.</w:t>
      </w:r>
    </w:p>
    <w:p>
      <w:pPr>
        <w:pStyle w:val="Heading1"/>
        <w:pBdr>
          <w:bottom w:val="single" w:color="1A2B4C" w:sz="8" w:space="4"/>
        </w:pBdr>
        <w:spacing w:after="160" w:before="360"/>
      </w:pPr>
      <w:r>
        <w:rPr>
          <w:b/>
          <w:bCs/>
          <w:color w:val="1A2B4C"/>
          <w:sz w:val="28"/>
          <w:szCs w:val="28"/>
        </w:rPr>
        <w:t xml:space="preserve">4. Input Design — Constraints and Real Baseline Numbers</w:t>
      </w:r>
    </w:p>
    <w:p>
      <w:pPr>
        <w:spacing w:after="160" w:line="276"/>
        <w:jc w:val="both"/>
      </w:pPr>
      <w:r>
        <w:rPr>
          <w:color w:val="1F2430"/>
          <w:sz w:val="20"/>
          <w:szCs w:val="20"/>
        </w:rPr>
        <w:t xml:space="preserve">The brief's design-under-test constraints are treated as hard requirements, not suggestions. Our input design is a five-domain fabric built specifically to satisfy every one of them: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2100"/>
        <w:gridCol w:w="3350"/>
      </w:tblGrid>
      <w:tr>
        <w:trPr>
          <w:tblHeader/>
        </w:trPr>
        <w:tc>
          <w:tcPr>
            <w:tcW w:type="dxa" w:w="1100"/>
            <w:shd w:fill="1A2B4C" w:val="clear"/>
            <w:tcMar>
              <w:top w:type="dxa" w:w="100"/>
              <w:left w:type="dxa" w:w="120"/>
              <w:bottom w:type="dxa" w:w="100"/>
              <w:right w:type="dxa" w:w="120"/>
            </w:tcMar>
            <w:vAlign w:val="center"/>
          </w:tcPr>
          <w:p>
            <w:r>
              <w:rPr>
                <w:b/>
                <w:bCs/>
                <w:color w:val="FFFFFF"/>
                <w:sz w:val="18"/>
                <w:szCs w:val="18"/>
              </w:rPr>
              <w:t xml:space="preserve">Domain</w:t>
            </w:r>
          </w:p>
        </w:tc>
        <w:tc>
          <w:tcPr>
            <w:tcW w:type="dxa" w:w="2800"/>
            <w:shd w:fill="1A2B4C" w:val="clear"/>
            <w:tcMar>
              <w:top w:type="dxa" w:w="100"/>
              <w:left w:type="dxa" w:w="120"/>
              <w:bottom w:type="dxa" w:w="100"/>
              <w:right w:type="dxa" w:w="120"/>
            </w:tcMar>
            <w:vAlign w:val="center"/>
          </w:tcPr>
          <w:p>
            <w:r>
              <w:rPr>
                <w:b/>
                <w:bCs/>
                <w:color w:val="FFFFFF"/>
                <w:sz w:val="18"/>
                <w:szCs w:val="18"/>
              </w:rPr>
              <w:t xml:space="preserve">Master clock</w:t>
            </w:r>
          </w:p>
        </w:tc>
        <w:tc>
          <w:tcPr>
            <w:tcW w:type="dxa" w:w="2100"/>
            <w:shd w:fill="1A2B4C" w:val="clear"/>
            <w:tcMar>
              <w:top w:type="dxa" w:w="100"/>
              <w:left w:type="dxa" w:w="120"/>
              <w:bottom w:type="dxa" w:w="100"/>
              <w:right w:type="dxa" w:w="120"/>
            </w:tcMar>
            <w:vAlign w:val="center"/>
          </w:tcPr>
          <w:p>
            <w:r>
              <w:rPr>
                <w:b/>
                <w:bCs/>
                <w:color w:val="FFFFFF"/>
                <w:sz w:val="18"/>
                <w:szCs w:val="18"/>
              </w:rPr>
              <w:t xml:space="preserve">Generated clock</w:t>
            </w:r>
          </w:p>
        </w:tc>
        <w:tc>
          <w:tcPr>
            <w:tcW w:type="dxa" w:w="3350"/>
            <w:shd w:fill="1A2B4C" w:val="clear"/>
            <w:tcMar>
              <w:top w:type="dxa" w:w="100"/>
              <w:left w:type="dxa" w:w="120"/>
              <w:bottom w:type="dxa" w:w="100"/>
              <w:right w:type="dxa" w:w="120"/>
            </w:tcMar>
            <w:vAlign w:val="center"/>
          </w:tcPr>
          <w:p>
            <w:r>
              <w:rPr>
                <w:b/>
                <w:bCs/>
                <w:color w:val="FFFFFF"/>
                <w:sz w:val="18"/>
                <w:szCs w:val="18"/>
              </w:rPr>
              <w:t xml:space="preserve">Representative logic</w:t>
            </w:r>
          </w:p>
        </w:tc>
      </w:tr>
      <w:tr>
        <w:tc>
          <w:tcPr>
            <w:tcW w:type="dxa" w:w="1100"/>
            <w:shd w:fill="FFFFFF" w:val="clear"/>
            <w:tcMar>
              <w:top w:type="dxa" w:w="90"/>
              <w:left w:type="dxa" w:w="120"/>
              <w:bottom w:type="dxa" w:w="90"/>
              <w:right w:type="dxa" w:w="120"/>
            </w:tcMar>
            <w:vAlign w:val="center"/>
          </w:tcPr>
          <w:p>
            <w:r>
              <w:rPr>
                <w:color w:val="1F2430"/>
                <w:sz w:val="18"/>
                <w:szCs w:val="18"/>
              </w:rPr>
              <w:t xml:space="preserve">A</w:t>
            </w:r>
          </w:p>
        </w:tc>
        <w:tc>
          <w:tcPr>
            <w:tcW w:type="dxa" w:w="2800"/>
            <w:shd w:fill="FFFFFF" w:val="clear"/>
            <w:tcMar>
              <w:top w:type="dxa" w:w="90"/>
              <w:left w:type="dxa" w:w="120"/>
              <w:bottom w:type="dxa" w:w="90"/>
              <w:right w:type="dxa" w:w="120"/>
            </w:tcMar>
            <w:vAlign w:val="center"/>
          </w:tcPr>
          <w:p>
            <w:r>
              <w:rPr>
                <w:color w:val="1F2430"/>
                <w:sz w:val="18"/>
                <w:szCs w:val="18"/>
              </w:rPr>
              <w:t xml:space="preserve">clk_a (independent, free-running)</w:t>
            </w:r>
          </w:p>
        </w:tc>
        <w:tc>
          <w:tcPr>
            <w:tcW w:type="dxa" w:w="2100"/>
            <w:shd w:fill="FFFFFF" w:val="clear"/>
            <w:tcMar>
              <w:top w:type="dxa" w:w="90"/>
              <w:left w:type="dxa" w:w="120"/>
              <w:bottom w:type="dxa" w:w="90"/>
              <w:right w:type="dxa" w:w="120"/>
            </w:tcMar>
            <w:vAlign w:val="center"/>
          </w:tcPr>
          <w:p>
            <w:r>
              <w:rPr>
                <w:color w:val="1F2430"/>
                <w:sz w:val="18"/>
                <w:szCs w:val="18"/>
              </w:rPr>
              <w:t xml:space="preserve">clk_a_div2 (÷2, even)</w:t>
            </w:r>
          </w:p>
        </w:tc>
        <w:tc>
          <w:tcPr>
            <w:tcW w:type="dxa" w:w="3350"/>
            <w:shd w:fill="FFFFFF" w:val="clear"/>
            <w:tcMar>
              <w:top w:type="dxa" w:w="90"/>
              <w:left w:type="dxa" w:w="120"/>
              <w:bottom w:type="dxa" w:w="90"/>
              <w:right w:type="dxa" w:w="120"/>
            </w:tcMar>
            <w:vAlign w:val="center"/>
          </w:tcPr>
          <w:p>
            <w:r>
              <w:rPr>
                <w:color w:val="1F2430"/>
                <w:sz w:val="18"/>
                <w:szCs w:val="18"/>
              </w:rPr>
              <w:t xml:space="preserve">Sensor sampler + FIFO</w:t>
            </w:r>
          </w:p>
        </w:tc>
      </w:tr>
      <w:tr>
        <w:tc>
          <w:tcPr>
            <w:tcW w:type="dxa" w:w="1100"/>
            <w:shd w:fill="F2F4F7" w:val="clear"/>
            <w:tcMar>
              <w:top w:type="dxa" w:w="90"/>
              <w:left w:type="dxa" w:w="120"/>
              <w:bottom w:type="dxa" w:w="90"/>
              <w:right w:type="dxa" w:w="120"/>
            </w:tcMar>
            <w:vAlign w:val="center"/>
          </w:tcPr>
          <w:p>
            <w:r>
              <w:rPr>
                <w:color w:val="1F2430"/>
                <w:sz w:val="18"/>
                <w:szCs w:val="18"/>
              </w:rPr>
              <w:t xml:space="preserve">B</w:t>
            </w:r>
          </w:p>
        </w:tc>
        <w:tc>
          <w:tcPr>
            <w:tcW w:type="dxa" w:w="2800"/>
            <w:shd w:fill="F2F4F7" w:val="clear"/>
            <w:tcMar>
              <w:top w:type="dxa" w:w="90"/>
              <w:left w:type="dxa" w:w="120"/>
              <w:bottom w:type="dxa" w:w="90"/>
              <w:right w:type="dxa" w:w="120"/>
            </w:tcMar>
            <w:vAlign w:val="center"/>
          </w:tcPr>
          <w:p>
            <w:r>
              <w:rPr>
                <w:color w:val="1F2430"/>
                <w:sz w:val="18"/>
                <w:szCs w:val="18"/>
              </w:rPr>
              <w:t xml:space="preserve">clk_b (independent, unrelated freq.)</w:t>
            </w:r>
          </w:p>
        </w:tc>
        <w:tc>
          <w:tcPr>
            <w:tcW w:type="dxa" w:w="2100"/>
            <w:shd w:fill="F2F4F7" w:val="clear"/>
            <w:tcMar>
              <w:top w:type="dxa" w:w="90"/>
              <w:left w:type="dxa" w:w="120"/>
              <w:bottom w:type="dxa" w:w="90"/>
              <w:right w:type="dxa" w:w="120"/>
            </w:tcMar>
            <w:vAlign w:val="center"/>
          </w:tcPr>
          <w:p>
            <w:r>
              <w:rPr>
                <w:color w:val="1F2430"/>
                <w:sz w:val="18"/>
                <w:szCs w:val="18"/>
              </w:rPr>
              <w:t xml:space="preserve">clk_b_div3 (÷3, odd)</w:t>
            </w:r>
          </w:p>
        </w:tc>
        <w:tc>
          <w:tcPr>
            <w:tcW w:type="dxa" w:w="3350"/>
            <w:shd w:fill="F2F4F7" w:val="clear"/>
            <w:tcMar>
              <w:top w:type="dxa" w:w="90"/>
              <w:left w:type="dxa" w:w="120"/>
              <w:bottom w:type="dxa" w:w="90"/>
              <w:right w:type="dxa" w:w="120"/>
            </w:tcMar>
            <w:vAlign w:val="center"/>
          </w:tcPr>
          <w:p>
            <w:r>
              <w:rPr>
                <w:color w:val="1F2430"/>
                <w:sz w:val="18"/>
                <w:szCs w:val="18"/>
              </w:rPr>
              <w:t xml:space="preserve">UART-style serializer + control FSM</w:t>
            </w:r>
          </w:p>
        </w:tc>
      </w:tr>
      <w:tr>
        <w:tc>
          <w:tcPr>
            <w:tcW w:type="dxa" w:w="1100"/>
            <w:shd w:fill="FFFFFF" w:val="clear"/>
            <w:tcMar>
              <w:top w:type="dxa" w:w="90"/>
              <w:left w:type="dxa" w:w="120"/>
              <w:bottom w:type="dxa" w:w="90"/>
              <w:right w:type="dxa" w:w="120"/>
            </w:tcMar>
            <w:vAlign w:val="center"/>
          </w:tcPr>
          <w:p>
            <w:r>
              <w:rPr>
                <w:color w:val="1F2430"/>
                <w:sz w:val="18"/>
                <w:szCs w:val="18"/>
              </w:rPr>
              <w:t xml:space="preserve">C</w:t>
            </w:r>
          </w:p>
        </w:tc>
        <w:tc>
          <w:tcPr>
            <w:tcW w:type="dxa" w:w="2800"/>
            <w:shd w:fill="FFFFFF" w:val="clear"/>
            <w:tcMar>
              <w:top w:type="dxa" w:w="90"/>
              <w:left w:type="dxa" w:w="120"/>
              <w:bottom w:type="dxa" w:w="90"/>
              <w:right w:type="dxa" w:w="120"/>
            </w:tcMar>
            <w:vAlign w:val="center"/>
          </w:tcPr>
          <w:p>
            <w:r>
              <w:rPr>
                <w:color w:val="1F2430"/>
                <w:sz w:val="18"/>
                <w:szCs w:val="18"/>
              </w:rPr>
              <w:t xml:space="preserve">clk_c (independent, unrelated freq.)</w:t>
            </w:r>
          </w:p>
        </w:tc>
        <w:tc>
          <w:tcPr>
            <w:tcW w:type="dxa" w:w="2100"/>
            <w:shd w:fill="FFFFFF" w:val="clear"/>
            <w:tcMar>
              <w:top w:type="dxa" w:w="90"/>
              <w:left w:type="dxa" w:w="120"/>
              <w:bottom w:type="dxa" w:w="90"/>
              <w:right w:type="dxa" w:w="120"/>
            </w:tcMar>
            <w:vAlign w:val="center"/>
          </w:tcPr>
          <w:p>
            <w:r>
              <w:rPr>
                <w:color w:val="1F2430"/>
                <w:sz w:val="18"/>
                <w:szCs w:val="18"/>
              </w:rPr>
              <w:t xml:space="preserve">clk_c_div4 (÷4, even)</w:t>
            </w:r>
          </w:p>
        </w:tc>
        <w:tc>
          <w:tcPr>
            <w:tcW w:type="dxa" w:w="3350"/>
            <w:shd w:fill="FFFFFF" w:val="clear"/>
            <w:tcMar>
              <w:top w:type="dxa" w:w="90"/>
              <w:left w:type="dxa" w:w="120"/>
              <w:bottom w:type="dxa" w:w="90"/>
              <w:right w:type="dxa" w:w="120"/>
            </w:tcMar>
            <w:vAlign w:val="center"/>
          </w:tcPr>
          <w:p>
            <w:r>
              <w:rPr>
                <w:color w:val="1F2430"/>
                <w:sz w:val="18"/>
                <w:szCs w:val="18"/>
              </w:rPr>
              <w:t xml:space="preserve">CRC / checksum datapath</w:t>
            </w:r>
          </w:p>
        </w:tc>
      </w:tr>
      <w:tr>
        <w:tc>
          <w:tcPr>
            <w:tcW w:type="dxa" w:w="1100"/>
            <w:shd w:fill="F2F4F7" w:val="clear"/>
            <w:tcMar>
              <w:top w:type="dxa" w:w="90"/>
              <w:left w:type="dxa" w:w="120"/>
              <w:bottom w:type="dxa" w:w="90"/>
              <w:right w:type="dxa" w:w="120"/>
            </w:tcMar>
            <w:vAlign w:val="center"/>
          </w:tcPr>
          <w:p>
            <w:r>
              <w:rPr>
                <w:color w:val="1F2430"/>
                <w:sz w:val="18"/>
                <w:szCs w:val="18"/>
              </w:rPr>
              <w:t xml:space="preserve">D</w:t>
            </w:r>
          </w:p>
        </w:tc>
        <w:tc>
          <w:tcPr>
            <w:tcW w:type="dxa" w:w="2800"/>
            <w:shd w:fill="F2F4F7" w:val="clear"/>
            <w:tcMar>
              <w:top w:type="dxa" w:w="90"/>
              <w:left w:type="dxa" w:w="120"/>
              <w:bottom w:type="dxa" w:w="90"/>
              <w:right w:type="dxa" w:w="120"/>
            </w:tcMar>
            <w:vAlign w:val="center"/>
          </w:tcPr>
          <w:p>
            <w:r>
              <w:rPr>
                <w:color w:val="1F2430"/>
                <w:sz w:val="18"/>
                <w:szCs w:val="18"/>
              </w:rPr>
              <w:t xml:space="preserve">clk_d (independent, unrelated freq.)</w:t>
            </w:r>
          </w:p>
        </w:tc>
        <w:tc>
          <w:tcPr>
            <w:tcW w:type="dxa" w:w="2100"/>
            <w:shd w:fill="F2F4F7" w:val="clear"/>
            <w:tcMar>
              <w:top w:type="dxa" w:w="90"/>
              <w:left w:type="dxa" w:w="120"/>
              <w:bottom w:type="dxa" w:w="90"/>
              <w:right w:type="dxa" w:w="120"/>
            </w:tcMar>
            <w:vAlign w:val="center"/>
          </w:tcPr>
          <w:p>
            <w:r>
              <w:rPr>
                <w:color w:val="1F2430"/>
                <w:sz w:val="18"/>
                <w:szCs w:val="18"/>
              </w:rPr>
              <w:t xml:space="preserve">clk_d_div5 (÷5, odd)</w:t>
            </w:r>
          </w:p>
        </w:tc>
        <w:tc>
          <w:tcPr>
            <w:tcW w:type="dxa" w:w="3350"/>
            <w:shd w:fill="F2F4F7" w:val="clear"/>
            <w:tcMar>
              <w:top w:type="dxa" w:w="90"/>
              <w:left w:type="dxa" w:w="120"/>
              <w:bottom w:type="dxa" w:w="90"/>
              <w:right w:type="dxa" w:w="120"/>
            </w:tcMar>
            <w:vAlign w:val="center"/>
          </w:tcPr>
          <w:p>
            <w:r>
              <w:rPr>
                <w:color w:val="1F2430"/>
                <w:sz w:val="18"/>
                <w:szCs w:val="18"/>
              </w:rPr>
              <w:t xml:space="preserve">Register file + priority arbiter</w:t>
            </w:r>
          </w:p>
        </w:tc>
      </w:tr>
      <w:tr>
        <w:tc>
          <w:tcPr>
            <w:tcW w:type="dxa" w:w="1100"/>
            <w:shd w:fill="FFFFFF" w:val="clear"/>
            <w:tcMar>
              <w:top w:type="dxa" w:w="90"/>
              <w:left w:type="dxa" w:w="120"/>
              <w:bottom w:type="dxa" w:w="90"/>
              <w:right w:type="dxa" w:w="120"/>
            </w:tcMar>
            <w:vAlign w:val="center"/>
          </w:tcPr>
          <w:p>
            <w:r>
              <w:rPr>
                <w:color w:val="1F2430"/>
                <w:sz w:val="18"/>
                <w:szCs w:val="18"/>
              </w:rPr>
              <w:t xml:space="preserve">E</w:t>
            </w:r>
          </w:p>
        </w:tc>
        <w:tc>
          <w:tcPr>
            <w:tcW w:type="dxa" w:w="2800"/>
            <w:shd w:fill="FFFFFF" w:val="clear"/>
            <w:tcMar>
              <w:top w:type="dxa" w:w="90"/>
              <w:left w:type="dxa" w:w="120"/>
              <w:bottom w:type="dxa" w:w="90"/>
              <w:right w:type="dxa" w:w="120"/>
            </w:tcMar>
            <w:vAlign w:val="center"/>
          </w:tcPr>
          <w:p>
            <w:r>
              <w:rPr>
                <w:color w:val="1F2430"/>
                <w:sz w:val="18"/>
                <w:szCs w:val="18"/>
              </w:rPr>
              <w:t xml:space="preserve">clk_e (independent, unrelated freq.)</w:t>
            </w:r>
          </w:p>
        </w:tc>
        <w:tc>
          <w:tcPr>
            <w:tcW w:type="dxa" w:w="2100"/>
            <w:shd w:fill="FFFFFF" w:val="clear"/>
            <w:tcMar>
              <w:top w:type="dxa" w:w="90"/>
              <w:left w:type="dxa" w:w="120"/>
              <w:bottom w:type="dxa" w:w="90"/>
              <w:right w:type="dxa" w:w="120"/>
            </w:tcMar>
            <w:vAlign w:val="center"/>
          </w:tcPr>
          <w:p>
            <w:r>
              <w:rPr>
                <w:color w:val="1F2430"/>
                <w:sz w:val="18"/>
                <w:szCs w:val="18"/>
              </w:rPr>
              <w:t xml:space="preserve">clk_e_div6 (÷6, even)</w:t>
            </w:r>
          </w:p>
        </w:tc>
        <w:tc>
          <w:tcPr>
            <w:tcW w:type="dxa" w:w="3350"/>
            <w:shd w:fill="FFFFFF" w:val="clear"/>
            <w:tcMar>
              <w:top w:type="dxa" w:w="90"/>
              <w:left w:type="dxa" w:w="120"/>
              <w:bottom w:type="dxa" w:w="90"/>
              <w:right w:type="dxa" w:w="120"/>
            </w:tcMar>
            <w:vAlign w:val="center"/>
          </w:tcPr>
          <w:p>
            <w:r>
              <w:rPr>
                <w:color w:val="1F2430"/>
                <w:sz w:val="18"/>
                <w:szCs w:val="18"/>
              </w:rPr>
              <w:t xml:space="preserve">Aggregator FSM + output packer</w:t>
            </w:r>
          </w:p>
        </w:tc>
      </w:tr>
    </w:tbl>
    <w:p>
      <w:pPr>
        <w:spacing w:after="160"/>
      </w:pPr>
    </w:p>
    <w:p>
      <w:pPr>
        <w:spacing w:after="160" w:line="276"/>
        <w:jc w:val="both"/>
      </w:pPr>
      <w:r>
        <w:rPr>
          <w:color w:val="1F2430"/>
          <w:sz w:val="20"/>
          <w:szCs w:val="20"/>
        </w:rPr>
        <w:t xml:space="preserve">Every domain E crossing is synchronized deliberately — single-bit control handshakes through 2-flop synchronizers, multi-bit data buses (sensor samples, CRC results, register-file reads) through Gray-coded asynchronous FIFOs — so the design contains both CDC styles the agent's structural lint needs to reason about, and enough real sub-blocks to legitimately clear the ~50K cell target without padding with dead logic.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AF1E6" w:val="clear"/>
            <w:tcMar>
              <w:top w:type="dxa" w:w="140"/>
              <w:left w:type="dxa" w:w="200"/>
              <w:bottom w:type="dxa" w:w="140"/>
              <w:right w:type="dxa" w:w="200"/>
            </w:tcMar>
          </w:tcPr>
          <w:p>
            <w:pPr>
              <w:spacing w:after="60"/>
            </w:pPr>
            <w:r>
              <w:rPr>
                <w:b/>
                <w:bCs/>
                <w:color w:val="9A5B13"/>
                <w:sz w:val="19"/>
                <w:szCs w:val="19"/>
              </w:rPr>
              <w:t xml:space="preserve">Status of this section as submitted:</w:t>
            </w:r>
          </w:p>
          <w:p>
            <w:pPr>
              <w:jc w:val="both"/>
            </w:pPr>
            <w:r>
              <w:rPr>
                <w:color w:val="1F2430"/>
                <w:sz w:val="19"/>
                <w:szCs w:val="19"/>
              </w:rPr>
              <w:t xml:space="preserve">The clock-domain table above reflects the design specification and structure. Full-design synthesis (confirming the actual ≥50K cell count and 10+ clock nets in one synthesized netlist) is scheduled for completion alongside the Round 2 funded run — see Section 10. Every number elsewhere in this report (Sections 5 and 8) comes from a smaller module actually synthesized and simulated during development, not from this full design, and is labeled as such throughout.</w:t>
            </w:r>
          </w:p>
        </w:tc>
      </w:tr>
    </w:tbl>
    <w:p>
      <w:pPr>
        <w:pStyle w:val="Heading1"/>
        <w:pBdr>
          <w:bottom w:val="single" w:color="1A2B4C" w:sz="8" w:space="4"/>
        </w:pBdr>
        <w:spacing w:after="160" w:before="360"/>
      </w:pPr>
      <w:r>
        <w:rPr>
          <w:b/>
          <w:bCs/>
          <w:color w:val="1A2B4C"/>
          <w:sz w:val="28"/>
          <w:szCs w:val="28"/>
        </w:rPr>
        <w:t xml:space="preserve">5. Workflow Walkthrough: Netlist, Timing, Fanout, PPA</w:t>
      </w:r>
    </w:p>
    <w:p>
      <w:pPr>
        <w:spacing w:after="160" w:line="276"/>
        <w:jc w:val="both"/>
      </w:pPr>
      <w:r>
        <w:rPr>
          <w:color w:val="1F2430"/>
          <w:sz w:val="20"/>
          <w:szCs w:val="20"/>
        </w:rPr>
        <w:t xml:space="preserve">This section walks the pipeline stage by stage using a real module and real tool output, so every claim here is something that was actually run, not a description of what the tools are supposed to do. The module used is priority_encoder.v, an 8-bit priority encoder with a deliberately deep if-else chain — the same class of issue as the encoder(if).v smoke test from our earliest toolchain validation, extended with a full 256-case self-checking testbench.</w:t>
      </w:r>
    </w:p>
    <w:p>
      <w:pPr>
        <w:pStyle w:val="Heading2"/>
        <w:spacing w:after="120" w:before="260"/>
      </w:pPr>
      <w:r>
        <w:rPr>
          <w:b/>
          <w:bCs/>
          <w:color w:val="2F5D8A"/>
          <w:sz w:val="22"/>
          <w:szCs w:val="22"/>
        </w:rPr>
        <w:t xml:space="preserve">Step 1 — Netlist generation (Yosys)</w:t>
      </w:r>
    </w:p>
    <w:p>
      <w:pPr>
        <w:spacing w:after="160" w:line="276"/>
        <w:jc w:val="both"/>
      </w:pPr>
      <w:r>
        <w:rPr>
          <w:color w:val="1F2430"/>
          <w:sz w:val="20"/>
          <w:szCs w:val="20"/>
        </w:rPr>
        <w:t xml:space="preserve">The module is synthesized through a full synth flow, and the real reported cell count 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D1117" w:val="clear"/>
            <w:tcMar>
              <w:top w:type="dxa" w:w="140"/>
              <w:left w:type="dxa" w:w="180"/>
              <w:bottom w:type="dxa" w:w="140"/>
              <w:right w:type="dxa" w:w="180"/>
            </w:tcMar>
          </w:tcPr>
          <w:p>
            <w:pPr>
              <w:spacing w:after="20"/>
            </w:pPr>
            <w:r>
              <w:rPr>
                <w:rFonts w:ascii="Consolas" w:cs="Consolas" w:eastAsia="Consolas" w:hAnsi="Consolas"/>
                <w:color w:val="D4D4D4"/>
                <w:sz w:val="16"/>
                <w:szCs w:val="16"/>
              </w:rPr>
              <w:t xml:space="preserve">$ yosys -p "read_verilog priority_encoder.v; synth -top priority_encoder; stat"</w:t>
            </w:r>
          </w:p>
          <w:p>
            <w:pPr>
              <w:spacing w:after="20"/>
            </w:pPr>
            <w:r>
              <w:rPr>
                <w:rFonts w:ascii="Consolas" w:cs="Consolas" w:eastAsia="Consolas" w:hAnsi="Consolas"/>
                <w:color w:val="D4D4D4"/>
                <w:sz w:val="16"/>
                <w:szCs w:val="16"/>
              </w:rPr>
              <w:t xml:space="preserve">...</w:t>
            </w:r>
          </w:p>
          <w:p>
            <w:pPr>
              <w:spacing w:after="20"/>
            </w:pPr>
            <w:r>
              <w:rPr>
                <w:rFonts w:ascii="Consolas" w:cs="Consolas" w:eastAsia="Consolas" w:hAnsi="Consolas"/>
                <w:color w:val="D4D4D4"/>
                <w:sz w:val="16"/>
                <w:szCs w:val="16"/>
              </w:rPr>
              <w:t xml:space="preserve">   Number of cells:                 21</w:t>
            </w:r>
          </w:p>
          <w:p>
            <w:pPr>
              <w:spacing w:after="20"/>
            </w:pPr>
            <w:r>
              <w:rPr>
                <w:rFonts w:ascii="Consolas" w:cs="Consolas" w:eastAsia="Consolas" w:hAnsi="Consolas"/>
                <w:color w:val="D4D4D4"/>
                <w:sz w:val="16"/>
                <w:szCs w:val="16"/>
              </w:rPr>
              <w:t xml:space="preserve">     $_MUX_                          8</w:t>
            </w:r>
          </w:p>
          <w:p>
            <w:pPr>
              <w:spacing w:after="20"/>
            </w:pPr>
            <w:r>
              <w:rPr>
                <w:rFonts w:ascii="Consolas" w:cs="Consolas" w:eastAsia="Consolas" w:hAnsi="Consolas"/>
                <w:color w:val="D4D4D4"/>
                <w:sz w:val="16"/>
                <w:szCs w:val="16"/>
              </w:rPr>
              <w:t xml:space="preserve">     $_OR_                           9</w:t>
            </w:r>
          </w:p>
          <w:p>
            <w:pPr>
              <w:spacing w:after="20"/>
            </w:pPr>
            <w:r>
              <w:rPr>
                <w:rFonts w:ascii="Consolas" w:cs="Consolas" w:eastAsia="Consolas" w:hAnsi="Consolas"/>
                <w:color w:val="D4D4D4"/>
                <w:sz w:val="16"/>
                <w:szCs w:val="16"/>
              </w:rPr>
              <w:t xml:space="preserve">     $_SDFF_PP1_                     4</w:t>
            </w:r>
          </w:p>
        </w:tc>
      </w:tr>
    </w:tbl>
    <w:p>
      <w:pPr>
        <w:pStyle w:val="Heading2"/>
        <w:spacing w:after="120" w:before="260"/>
      </w:pPr>
      <w:r>
        <w:rPr>
          <w:b/>
          <w:bCs/>
          <w:color w:val="2F5D8A"/>
          <w:sz w:val="22"/>
          <w:szCs w:val="22"/>
        </w:rPr>
        <w:t xml:space="preserve">Step 2 — Fanout extraction (from the Yosys JSON netlist)</w:t>
      </w:r>
    </w:p>
    <w:p>
      <w:pPr>
        <w:spacing w:after="160" w:line="276"/>
        <w:jc w:val="both"/>
      </w:pPr>
      <w:r>
        <w:rPr>
          <w:color w:val="1F2430"/>
          <w:sz w:val="20"/>
          <w:szCs w:val="20"/>
        </w:rPr>
        <w:t xml:space="preserve">Cell count alone does not capture load on individual nets. tools.py writes a JSON netlist alongside the Verilog output and computes per-net fanout by counting how many cell input ports each net bit drives: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D1117" w:val="clear"/>
            <w:tcMar>
              <w:top w:type="dxa" w:w="140"/>
              <w:left w:type="dxa" w:w="180"/>
              <w:bottom w:type="dxa" w:w="140"/>
              <w:right w:type="dxa" w:w="180"/>
            </w:tcMar>
          </w:tcPr>
          <w:p>
            <w:pPr>
              <w:spacing w:after="20"/>
            </w:pPr>
            <w:r>
              <w:rPr>
                <w:rFonts w:ascii="Consolas" w:cs="Consolas" w:eastAsia="Consolas" w:hAnsi="Consolas"/>
                <w:color w:val="D4D4D4"/>
                <w:sz w:val="16"/>
                <w:szCs w:val="16"/>
              </w:rPr>
              <w:t xml:space="preserve">$ python3 -c "from agent.tools import compute_fanout; print(compute_fanout('synth_netlist.json'))"</w:t>
            </w:r>
          </w:p>
          <w:p>
            <w:pPr>
              <w:spacing w:after="20"/>
            </w:pPr>
            <w:r>
              <w:rPr>
                <w:rFonts w:ascii="Consolas" w:cs="Consolas" w:eastAsia="Consolas" w:hAnsi="Consolas"/>
                <w:color w:val="D4D4D4"/>
                <w:sz w:val="16"/>
                <w:szCs w:val="16"/>
              </w:rPr>
              <w:t xml:space="preserve">{'max_fanout': 6, 'avg_fanout': 1.93, 'net_count': 28}</w:t>
            </w:r>
          </w:p>
        </w:tc>
      </w:tr>
    </w:tbl>
    <w:p>
      <w:pPr>
        <w:pStyle w:val="Heading2"/>
        <w:spacing w:after="120" w:before="260"/>
      </w:pPr>
      <w:r>
        <w:rPr>
          <w:b/>
          <w:bCs/>
          <w:color w:val="2F5D8A"/>
          <w:sz w:val="22"/>
          <w:szCs w:val="22"/>
        </w:rPr>
        <w:t xml:space="preserve">Step 3 — Timing report (OpenSTA)</w:t>
      </w:r>
    </w:p>
    <w:p>
      <w:pPr>
        <w:spacing w:after="160" w:line="276"/>
        <w:jc w:val="both"/>
      </w:pPr>
      <w:r>
        <w:rPr>
          <w:color w:val="1F2430"/>
          <w:sz w:val="20"/>
          <w:szCs w:val="20"/>
        </w:rPr>
        <w:t xml:space="preserve">OpenSTA consumes the synthesized netlist plus an SDC file defining every clock — including generated clocks and their divide ratios — and reports real WNS/TNS per domain, not a synthesis-tool estimate. agent/sdc_gen.py generates this file programmatically from a plain Python clock list rather than by hand, specifically so the five-master, multi-ratio SDC required by this design does not go stale as signals get renamed during development.</w:t>
      </w:r>
    </w:p>
    <w:p>
      <w:pPr>
        <w:pStyle w:val="Heading2"/>
        <w:spacing w:after="120" w:before="260"/>
      </w:pPr>
      <w:r>
        <w:rPr>
          <w:b/>
          <w:bCs/>
          <w:color w:val="2F5D8A"/>
          <w:sz w:val="22"/>
          <w:szCs w:val="22"/>
        </w:rPr>
        <w:t xml:space="preserve">Step 4 — PPA baseline recorded</w:t>
      </w:r>
    </w:p>
    <w:p>
      <w:pPr>
        <w:spacing w:after="160" w:line="276"/>
        <w:jc w:val="both"/>
      </w:pPr>
      <w:r>
        <w:rPr>
          <w:color w:val="1F2430"/>
          <w:sz w:val="20"/>
          <w:szCs w:val="20"/>
        </w:rPr>
        <w:t xml:space="preserve">The cell count, fanout summary, and (once liberty/SDC are attached) WNS/TNS figures are written into the module's baseline_metrics record before any LLM call happens — this is the “before” half of every before/after comparison in this report and in the final success-rate statistic.</w:t>
      </w:r>
    </w:p>
    <w:p>
      <w:pPr>
        <w:pStyle w:val="Heading1"/>
        <w:pBdr>
          <w:bottom w:val="single" w:color="1A2B4C" w:sz="8" w:space="4"/>
        </w:pBdr>
        <w:spacing w:after="160" w:before="360"/>
      </w:pPr>
      <w:r>
        <w:rPr>
          <w:b/>
          <w:bCs/>
          <w:color w:val="1A2B4C"/>
          <w:sz w:val="28"/>
          <w:szCs w:val="28"/>
        </w:rPr>
        <w:t xml:space="preserve">6. The GenAI Diagnosis-and-Refactor Engine</w:t>
      </w:r>
    </w:p>
    <w:p>
      <w:pPr>
        <w:spacing w:after="160" w:line="276"/>
        <w:jc w:val="both"/>
      </w:pPr>
      <w:r>
        <w:rPr>
          <w:color w:val="1F2430"/>
          <w:sz w:val="20"/>
          <w:szCs w:val="20"/>
        </w:rPr>
        <w:t xml:space="preserve">This is the part of the system that is genuinely generative, and it is scoped narrowly on purpose. Stage 5 is given the RTL, the timing summary, and the CDC lint findings, and asked for nothing but a JSON array of bottlenecks. For the module above, a diagnosis in the shape the system actually produces looks like this: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D1117" w:val="clear"/>
            <w:tcMar>
              <w:top w:type="dxa" w:w="140"/>
              <w:left w:type="dxa" w:w="180"/>
              <w:bottom w:type="dxa" w:w="140"/>
              <w:right w:type="dxa" w:w="180"/>
            </w:tcMar>
          </w:tcPr>
          <w:p>
            <w:pPr>
              <w:spacing w:after="20"/>
            </w:pPr>
            <w:r>
              <w:rPr>
                <w:rFonts w:ascii="Consolas" w:cs="Consolas" w:eastAsia="Consolas" w:hAnsi="Consolas"/>
                <w:color w:val="D4D4D4"/>
                <w:sz w:val="16"/>
                <w:szCs w:val="16"/>
              </w:rPr>
              <w:t xml:space="preserve">[</w:t>
            </w:r>
          </w:p>
          <w:p>
            <w:pPr>
              <w:spacing w:after="20"/>
            </w:pPr>
            <w:r>
              <w:rPr>
                <w:rFonts w:ascii="Consolas" w:cs="Consolas" w:eastAsia="Consolas" w:hAnsi="Consolas"/>
                <w:color w:val="D4D4D4"/>
                <w:sz w:val="16"/>
                <w:szCs w:val="16"/>
              </w:rPr>
              <w:t xml:space="preserve">  {</w:t>
            </w:r>
          </w:p>
          <w:p>
            <w:pPr>
              <w:spacing w:after="20"/>
            </w:pPr>
            <w:r>
              <w:rPr>
                <w:rFonts w:ascii="Consolas" w:cs="Consolas" w:eastAsia="Consolas" w:hAnsi="Consolas"/>
                <w:color w:val="D4D4D4"/>
                <w:sz w:val="16"/>
                <w:szCs w:val="16"/>
              </w:rPr>
              <w:t xml:space="preserve">    "issue": "deep_if_else",</w:t>
            </w:r>
          </w:p>
          <w:p>
            <w:pPr>
              <w:spacing w:after="20"/>
            </w:pPr>
            <w:r>
              <w:rPr>
                <w:rFonts w:ascii="Consolas" w:cs="Consolas" w:eastAsia="Consolas" w:hAnsi="Consolas"/>
                <w:color w:val="D4D4D4"/>
                <w:sz w:val="16"/>
                <w:szCs w:val="16"/>
              </w:rPr>
              <w:t xml:space="preserve">    "target_line": 9,</w:t>
            </w:r>
          </w:p>
          <w:p>
            <w:pPr>
              <w:spacing w:after="20"/>
            </w:pPr>
            <w:r>
              <w:rPr>
                <w:rFonts w:ascii="Consolas" w:cs="Consolas" w:eastAsia="Consolas" w:hAnsi="Consolas"/>
                <w:color w:val="D4D4D4"/>
                <w:sz w:val="16"/>
                <w:szCs w:val="16"/>
              </w:rPr>
              <w:t xml:space="preserve">    "signal": "pos",</w:t>
            </w:r>
          </w:p>
          <w:p>
            <w:pPr>
              <w:spacing w:after="20"/>
            </w:pPr>
            <w:r>
              <w:rPr>
                <w:rFonts w:ascii="Consolas" w:cs="Consolas" w:eastAsia="Consolas" w:hAnsi="Consolas"/>
                <w:color w:val="D4D4D4"/>
                <w:sz w:val="16"/>
                <w:szCs w:val="16"/>
              </w:rPr>
              <w:t xml:space="preserve">    "recommendation": "case_statement",</w:t>
            </w:r>
          </w:p>
          <w:p>
            <w:pPr>
              <w:spacing w:after="20"/>
            </w:pPr>
            <w:r>
              <w:rPr>
                <w:rFonts w:ascii="Consolas" w:cs="Consolas" w:eastAsia="Consolas" w:hAnsi="Consolas"/>
                <w:color w:val="D4D4D4"/>
                <w:sz w:val="16"/>
                <w:szCs w:val="16"/>
              </w:rPr>
              <w:t xml:space="preserve">    "severity": "high"</w:t>
            </w:r>
          </w:p>
          <w:p>
            <w:pPr>
              <w:spacing w:after="20"/>
            </w:pPr>
            <w:r>
              <w:rPr>
                <w:rFonts w:ascii="Consolas" w:cs="Consolas" w:eastAsia="Consolas" w:hAnsi="Consolas"/>
                <w:color w:val="D4D4D4"/>
                <w:sz w:val="16"/>
                <w:szCs w:val="16"/>
              </w:rPr>
              <w:t xml:space="preserve">  }</w:t>
            </w:r>
          </w:p>
          <w:p>
            <w:pPr>
              <w:spacing w:after="20"/>
            </w:pPr>
            <w:r>
              <w:rPr>
                <w:rFonts w:ascii="Consolas" w:cs="Consolas" w:eastAsia="Consolas" w:hAnsi="Consolas"/>
                <w:color w:val="D4D4D4"/>
                <w:sz w:val="16"/>
                <w:szCs w:val="16"/>
              </w:rPr>
              <w:t xml:space="preserve">]</w:t>
            </w:r>
          </w:p>
        </w:tc>
      </w:tr>
    </w:tbl>
    <w:p>
      <w:pPr>
        <w:spacing w:after="160" w:line="276"/>
        <w:jc w:val="both"/>
      </w:pPr>
      <w:r>
        <w:rPr>
          <w:color w:val="1F2430"/>
          <w:sz w:val="20"/>
          <w:szCs w:val="20"/>
        </w:rPr>
        <w:t xml:space="preserve">Stage 6 receives only the original RTL and this one diagnosis entry, and returns a complete, compilable replacement module implementing exactly the named transformation — in this case, flattening the if-else chain into a casez block covering the same eight priority conditions. Section 8 shows what actually happened when this specific proposed fix was run through the acceptance gate.</w:t>
      </w:r>
    </w:p>
    <w:p>
      <w:pPr>
        <w:pStyle w:val="Heading2"/>
        <w:spacing w:after="120" w:before="260"/>
      </w:pPr>
      <w:r>
        <w:rPr>
          <w:b/>
          <w:bCs/>
          <w:color w:val="2F5D8A"/>
          <w:sz w:val="22"/>
          <w:szCs w:val="22"/>
        </w:rPr>
        <w:t xml:space="preserve">What Stage 2 is allowed to change</w:t>
      </w:r>
    </w:p>
    <w:p>
      <w:pPr>
        <w:pStyle w:val="ListParagraph"/>
        <w:numPr>
          <w:ilvl w:val="0"/>
          <w:numId w:val="2"/>
        </w:numPr>
        <w:spacing w:after="90"/>
      </w:pPr>
      <w:r>
        <w:rPr>
          <w:color w:val="1F2430"/>
          <w:sz w:val="20"/>
          <w:szCs w:val="20"/>
        </w:rPr>
        <w:t xml:space="preserve">Pipeline insertion / register retiming — splitting a long combinational path across a clock boundary</w:t>
      </w:r>
    </w:p>
    <w:p>
      <w:pPr>
        <w:pStyle w:val="ListParagraph"/>
        <w:numPr>
          <w:ilvl w:val="0"/>
          <w:numId w:val="2"/>
        </w:numPr>
        <w:spacing w:after="90"/>
      </w:pPr>
      <w:r>
        <w:rPr>
          <w:color w:val="1F2430"/>
          <w:sz w:val="20"/>
          <w:szCs w:val="20"/>
        </w:rPr>
        <w:t xml:space="preserve">Priority-tree flattening — if-else chains into case/casez structures</w:t>
      </w:r>
    </w:p>
    <w:p>
      <w:pPr>
        <w:pStyle w:val="ListParagraph"/>
        <w:numPr>
          <w:ilvl w:val="0"/>
          <w:numId w:val="2"/>
        </w:numPr>
        <w:spacing w:after="90"/>
      </w:pPr>
      <w:r>
        <w:rPr>
          <w:color w:val="1F2430"/>
          <w:sz w:val="20"/>
          <w:szCs w:val="20"/>
        </w:rPr>
        <w:t xml:space="preserve">FSM re-encoding — binary, one-hot, or Gray, depending on the diagnosed tradeoff</w:t>
      </w:r>
    </w:p>
    <w:p>
      <w:pPr>
        <w:pStyle w:val="ListParagraph"/>
        <w:numPr>
          <w:ilvl w:val="0"/>
          <w:numId w:val="2"/>
        </w:numPr>
        <w:spacing w:after="90"/>
      </w:pPr>
      <w:r>
        <w:rPr>
          <w:color w:val="1F2430"/>
          <w:sz w:val="20"/>
          <w:szCs w:val="20"/>
        </w:rPr>
        <w:t xml:space="preserve">CDC synchronizer insertion — 2-flop synchronizers or async-FIFO bridges on flagged crossings</w:t>
      </w:r>
    </w:p>
    <w:p>
      <w:pPr>
        <w:pStyle w:val="ListParagraph"/>
        <w:numPr>
          <w:ilvl w:val="0"/>
          <w:numId w:val="2"/>
        </w:numPr>
        <w:spacing w:after="90"/>
      </w:pPr>
      <w:r>
        <w:rPr>
          <w:color w:val="1F2430"/>
          <w:sz w:val="20"/>
          <w:szCs w:val="20"/>
        </w:rPr>
        <w:t xml:space="preserve">Dead code elimination and constant propagation</w:t>
      </w:r>
    </w:p>
    <w:p>
      <w:pPr>
        <w:spacing w:after="80"/>
      </w:pPr>
    </w:p>
    <w:p>
      <w:pPr>
        <w:spacing w:after="160" w:line="276"/>
        <w:jc w:val="both"/>
      </w:pPr>
      <w:r>
        <w:rPr>
          <w:color w:val="1F2430"/>
          <w:sz w:val="20"/>
          <w:szCs w:val="20"/>
        </w:rPr>
        <w:t xml:space="preserve">Stage 6 is not allowed to touch anything the diagnosis did not name. This is enforced by the prompt structure itself (the model is only ever shown one diagnosis entry per call), not by a separate diff-scope checker — a real limitation worth stating plainly: nothing currently verifies structurally that the model actually confined itself to the named change, only that the result behaves identically (Section 7) and meets the PPA guard (Section 8). This is flagged again in Section 11.</w:t>
      </w:r>
    </w:p>
    <w:p>
      <w:pPr>
        <w:pStyle w:val="Heading1"/>
        <w:pBdr>
          <w:bottom w:val="single" w:color="1A2B4C" w:sz="8" w:space="4"/>
        </w:pBdr>
        <w:spacing w:after="160" w:before="360"/>
      </w:pPr>
      <w:r>
        <w:rPr>
          <w:b/>
          <w:bCs/>
          <w:color w:val="1A2B4C"/>
          <w:sz w:val="28"/>
          <w:szCs w:val="28"/>
        </w:rPr>
        <w:t xml:space="preserve">7. Verification — Regression and Formal Equivalence</w:t>
      </w:r>
    </w:p>
    <w:p>
      <w:pPr>
        <w:spacing w:after="160" w:line="276"/>
        <w:jc w:val="both"/>
      </w:pPr>
      <w:r>
        <w:rPr>
          <w:color w:val="1F2430"/>
          <w:sz w:val="20"/>
          <w:szCs w:val="20"/>
        </w:rPr>
        <w:t xml:space="preserve">A testbench passing only proves correctness for the input vectors it happens to exercise. That is why acceptance requires two independent proofs, not one:</w:t>
      </w:r>
    </w:p>
    <w:p>
      <w:pPr>
        <w:pStyle w:val="Heading2"/>
        <w:spacing w:after="120" w:before="260"/>
      </w:pPr>
      <w:r>
        <w:rPr>
          <w:b/>
          <w:bCs/>
          <w:color w:val="2F5D8A"/>
          <w:sz w:val="22"/>
          <w:szCs w:val="22"/>
        </w:rPr>
        <w:t xml:space="preserve">Functional regression</w:t>
      </w:r>
    </w:p>
    <w:p>
      <w:pPr>
        <w:spacing w:after="160" w:line="276"/>
        <w:jc w:val="both"/>
      </w:pPr>
      <w:r>
        <w:rPr>
          <w:color w:val="1F2430"/>
          <w:sz w:val="20"/>
          <w:szCs w:val="20"/>
        </w:rPr>
        <w:t xml:space="preserve">The candidate RTL is compiled and simulated against the module's existing self-checking testbench (Icarus Verilog + vvp). Our priority_encoder testbench is exhaustive — it drives all 256 possible 8-bit inputs against an independently-written reference model and requires a bit-exact match on both outputs for every one of them before printing TEST PASSED.</w:t>
      </w:r>
    </w:p>
    <w:p>
      <w:pPr>
        <w:pStyle w:val="Heading2"/>
        <w:spacing w:after="120" w:before="260"/>
      </w:pPr>
      <w:r>
        <w:rPr>
          <w:b/>
          <w:bCs/>
          <w:color w:val="2F5D8A"/>
          <w:sz w:val="22"/>
          <w:szCs w:val="22"/>
        </w:rPr>
        <w:t xml:space="preserve">Formal equivalence (EQY)</w:t>
      </w:r>
    </w:p>
    <w:p>
      <w:pPr>
        <w:spacing w:after="160" w:line="276"/>
        <w:jc w:val="both"/>
      </w:pPr>
      <w:r>
        <w:rPr>
          <w:color w:val="1F2430"/>
          <w:sz w:val="20"/>
          <w:szCs w:val="20"/>
        </w:rPr>
        <w:t xml:space="preserve">SymbiYosys's equivalence-checking frontend (EQY) formally compares the original module (“gold”) against the candidate (“gate”) and proves — rather than samples — that they are behaviorally identical. A change that passes regression but that EQY cannot prove equivalent is rejected anyway: this specific outcome is implemented and unit-tested in the orchestrator (three scenarios were run against the real gating logic during development: both checks passing, regression passing while EQY fails, and EQY disabled for debugging — each produced the correct accept/reject decision).</w:t>
      </w:r>
    </w:p>
    <w:p>
      <w:pPr>
        <w:pStyle w:val="Heading2"/>
        <w:spacing w:after="120" w:before="260"/>
      </w:pPr>
      <w:r>
        <w:rPr>
          <w:b/>
          <w:bCs/>
          <w:color w:val="2F5D8A"/>
          <w:sz w:val="22"/>
          <w:szCs w:val="22"/>
        </w:rPr>
        <w:t xml:space="preserve">Self-healing on failure</w:t>
      </w:r>
    </w:p>
    <w:p>
      <w:pPr>
        <w:spacing w:after="160" w:line="276"/>
        <w:jc w:val="both"/>
      </w:pPr>
      <w:r>
        <w:rPr>
          <w:color w:val="1F2430"/>
          <w:sz w:val="20"/>
          <w:szCs w:val="20"/>
        </w:rPr>
        <w:t xml:space="preserve">If either check fails, the exact failure — the iverilog error log or the EQY report — is fed back to the model verbatim, with an instruction to fix it while preserving the intended optimization. This repeats up to a fixed retry budget (three attempts) before the module reverts to its last accepted state and the failure is logged, not hidden.</w:t>
      </w:r>
    </w:p>
    <w:p>
      <w:r>
        <w:br w:type="page"/>
      </w:r>
    </w:p>
    <w:p>
      <w:pPr>
        <w:pStyle w:val="Heading1"/>
        <w:pBdr>
          <w:bottom w:val="single" w:color="1A2B4C" w:sz="8" w:space="4"/>
        </w:pBdr>
        <w:spacing w:after="160" w:before="360"/>
      </w:pPr>
      <w:r>
        <w:rPr>
          <w:b/>
          <w:bCs/>
          <w:color w:val="1A2B4C"/>
          <w:sz w:val="28"/>
          <w:szCs w:val="28"/>
        </w:rPr>
        <w:t xml:space="preserve">8. Case Study: A Real, Verified Run</w:t>
      </w:r>
    </w:p>
    <w:p>
      <w:pPr>
        <w:spacing w:after="160" w:line="276"/>
        <w:jc w:val="both"/>
      </w:pPr>
      <w:r>
        <w:rPr>
          <w:color w:val="1F2430"/>
          <w:sz w:val="20"/>
          <w:szCs w:val="20"/>
        </w:rPr>
        <w:t xml:space="preserve">This section reports what actually happened running the real pipeline against priority_encoder.v — real Yosys synthesis, real Icarus Verilog regression, both on real tool installs, with only the LLM call and EQY stubbed for this specific development run (no funded API key or EQY install was used to produce these numbers; see Section 10). The result was a rejection, and that is reported here as a feature of the system, not a shortcoming of the report.</w:t>
      </w:r>
    </w:p>
    <w:p>
      <w:pPr>
        <w:spacing w:after="40" w:before="160"/>
        <w:jc w:val="center"/>
      </w:pPr>
      <w:r>
        <w:drawing>
          <wp:inline distT="0" distB="0" distL="0" distR="0">
            <wp:extent cx="5762625"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619375"/>
                    </a:xfrm>
                    <a:prstGeom prst="rect">
                      <a:avLst/>
                    </a:prstGeom>
                  </pic:spPr>
                </pic:pic>
              </a:graphicData>
            </a:graphic>
          </wp:inline>
        </w:drawing>
      </w:r>
    </w:p>
    <w:p>
      <w:pPr>
        <w:spacing w:after="240" w:before="60"/>
        <w:jc w:val="center"/>
      </w:pPr>
      <w:r>
        <w:rPr>
          <w:i/>
          <w:iCs/>
          <w:color w:val="6B7280"/>
          <w:sz w:val="17"/>
          <w:szCs w:val="17"/>
        </w:rPr>
        <w:t xml:space="preserve">Figure 2. Left: real Yosys cell counts, baseline vs. the proposed fix. Right: the three-check gate ledger for this attempt, as actually executed.</w:t>
      </w:r>
    </w:p>
    <w:p>
      <w:pPr>
        <w:pStyle w:val="Heading2"/>
        <w:spacing w:after="120" w:before="260"/>
      </w:pPr>
      <w:r>
        <w:rPr>
          <w:b/>
          <w:bCs/>
          <w:color w:val="2F5D8A"/>
          <w:sz w:val="22"/>
          <w:szCs w:val="22"/>
        </w:rPr>
        <w:t xml:space="preserve">What happened, in order</w:t>
      </w:r>
    </w:p>
    <w:p>
      <w:pPr>
        <w:pStyle w:val="ListParagraph"/>
        <w:numPr>
          <w:ilvl w:val="0"/>
          <w:numId w:val="2"/>
        </w:numPr>
        <w:spacing w:after="90"/>
      </w:pPr>
      <w:r>
        <w:rPr>
          <w:color w:val="1F2430"/>
          <w:sz w:val="20"/>
          <w:szCs w:val="20"/>
        </w:rPr>
        <w:t xml:space="preserve">Stage 5 correctly diagnosed the deep if-else chain in priority_encoder.v as high-severity, recommending a case-statement rewrite.</w:t>
      </w:r>
    </w:p>
    <w:p>
      <w:pPr>
        <w:pStyle w:val="ListParagraph"/>
        <w:numPr>
          <w:ilvl w:val="0"/>
          <w:numId w:val="2"/>
        </w:numPr>
        <w:spacing w:after="90"/>
      </w:pPr>
      <w:r>
        <w:rPr>
          <w:color w:val="1F2430"/>
          <w:sz w:val="20"/>
          <w:szCs w:val="20"/>
        </w:rPr>
        <w:t xml:space="preserve">Stage 6 produced a casez-based rewrite covering the same eight priority conditions.</w:t>
      </w:r>
    </w:p>
    <w:p>
      <w:pPr>
        <w:pStyle w:val="ListParagraph"/>
        <w:numPr>
          <w:ilvl w:val="0"/>
          <w:numId w:val="2"/>
        </w:numPr>
        <w:spacing w:after="90"/>
      </w:pPr>
      <w:r>
        <w:rPr>
          <w:color w:val="1F2430"/>
          <w:sz w:val="20"/>
          <w:szCs w:val="20"/>
        </w:rPr>
        <w:t xml:space="preserve">The functional regression passed — all 256 exhaustive test cases matched the reference model exactly.</w:t>
      </w:r>
    </w:p>
    <w:p>
      <w:pPr>
        <w:pStyle w:val="ListParagraph"/>
        <w:numPr>
          <w:ilvl w:val="0"/>
          <w:numId w:val="2"/>
        </w:numPr>
        <w:spacing w:after="90"/>
      </w:pPr>
      <w:r>
        <w:rPr>
          <w:color w:val="1F2430"/>
          <w:sz w:val="20"/>
          <w:szCs w:val="20"/>
        </w:rPr>
        <w:t xml:space="preserve">Formal equivalence passed (stubbed for this run — see the limitation noted in Section 10).</w:t>
      </w:r>
    </w:p>
    <w:p>
      <w:pPr>
        <w:pStyle w:val="ListParagraph"/>
        <w:numPr>
          <w:ilvl w:val="0"/>
          <w:numId w:val="2"/>
        </w:numPr>
        <w:spacing w:after="90"/>
      </w:pPr>
      <w:r>
        <w:rPr>
          <w:color w:val="1F2430"/>
          <w:sz w:val="20"/>
          <w:szCs w:val="20"/>
        </w:rPr>
        <w:t xml:space="preserve">The PPA regression guard rejected the change: real post-synthesis cell count went from 21 to 61 (roughly a 2.9x increase), against a 1.5x reject threshold — so the module reverted to its original, working RTL.</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4F3" w:val="clear"/>
            <w:tcMar>
              <w:top w:type="dxa" w:w="140"/>
              <w:left w:type="dxa" w:w="200"/>
              <w:bottom w:type="dxa" w:w="140"/>
              <w:right w:type="dxa" w:w="200"/>
            </w:tcMar>
          </w:tcPr>
          <w:p>
            <w:pPr>
              <w:spacing w:after="60"/>
            </w:pPr>
            <w:r>
              <w:rPr>
                <w:b/>
                <w:bCs/>
                <w:color w:val="1F6F6B"/>
                <w:sz w:val="19"/>
                <w:szCs w:val="19"/>
              </w:rPr>
              <w:t xml:space="preserve">Why this result matters more than a clean win would have:</w:t>
            </w:r>
          </w:p>
          <w:p>
            <w:pPr>
              <w:jc w:val="both"/>
            </w:pPr>
            <w:r>
              <w:rPr>
                <w:color w:val="1F2430"/>
                <w:sz w:val="19"/>
                <w:szCs w:val="19"/>
              </w:rPr>
              <w:t xml:space="preserve">A synthesis-only view of “flatten if-else into case” treats it as an unconditional improvement. It is not. On this design, Yosys's own optimizer already found a compact structure for the original priority chain, and the casez rewrite introduced overlapping-pattern decode logic per branch that cost more cells overall — a genuinely worse result, not a rendering artifact of one particular synthesis setting. The system caught this automatically, with no human reviewing the diff, because PPA is re-measured after every accepted functional/formal check, not assumed. This is the direct, evidence-backed answer to the brief's request for “analysis on the failed cases” — the extra input that would have helped here is an area budget or a depth-aware cost model passed into Stage 5's diagnosis, so “case_statement” is only recommended when it is actually likely to help, not applied as a fixed rule.</w:t>
            </w:r>
          </w:p>
        </w:tc>
      </w:tr>
    </w:tbl>
    <w:p>
      <w:pPr>
        <w:pStyle w:val="Heading1"/>
        <w:pBdr>
          <w:bottom w:val="single" w:color="1A2B4C" w:sz="8" w:space="4"/>
        </w:pBdr>
        <w:spacing w:after="160" w:before="360"/>
      </w:pPr>
      <w:r>
        <w:rPr>
          <w:b/>
          <w:bCs/>
          <w:color w:val="1A2B4C"/>
          <w:sz w:val="28"/>
          <w:szCs w:val="28"/>
        </w:rPr>
        <w:t xml:space="preserve">9. Verified Capabilities — What the Code Actually Does Today</w:t>
      </w:r>
    </w:p>
    <w:p>
      <w:pPr>
        <w:spacing w:after="160" w:line="276"/>
        <w:jc w:val="both"/>
      </w:pPr>
      <w:r>
        <w:rPr>
          <w:color w:val="1F2430"/>
          <w:sz w:val="20"/>
          <w:szCs w:val="20"/>
        </w:rPr>
        <w:t xml:space="preserve">Every deliverable named in the brief is listed below against its actual status: built and independently tested during development (not just written), built but not yet exercised on the full five-domain design, or planned for Round 2. This table exists specifically so a reader does not have to take any claim in this report on faith.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2300"/>
        <w:gridCol w:w="3650"/>
      </w:tblGrid>
      <w:tr>
        <w:trPr>
          <w:tblHeader/>
        </w:trPr>
        <w:tc>
          <w:tcPr>
            <w:tcW w:type="dxa" w:w="3400"/>
            <w:shd w:fill="1A2B4C" w:val="clear"/>
            <w:tcMar>
              <w:top w:type="dxa" w:w="100"/>
              <w:left w:type="dxa" w:w="120"/>
              <w:bottom w:type="dxa" w:w="100"/>
              <w:right w:type="dxa" w:w="120"/>
            </w:tcMar>
            <w:vAlign w:val="center"/>
          </w:tcPr>
          <w:p>
            <w:r>
              <w:rPr>
                <w:b/>
                <w:bCs/>
                <w:color w:val="FFFFFF"/>
                <w:sz w:val="18"/>
                <w:szCs w:val="18"/>
              </w:rPr>
              <w:t xml:space="preserve">Deliverable (from brief)</w:t>
            </w:r>
          </w:p>
        </w:tc>
        <w:tc>
          <w:tcPr>
            <w:tcW w:type="dxa" w:w="2300"/>
            <w:shd w:fill="1A2B4C" w:val="clear"/>
            <w:tcMar>
              <w:top w:type="dxa" w:w="100"/>
              <w:left w:type="dxa" w:w="120"/>
              <w:bottom w:type="dxa" w:w="100"/>
              <w:right w:type="dxa" w:w="120"/>
            </w:tcMar>
            <w:vAlign w:val="center"/>
          </w:tcPr>
          <w:p>
            <w:r>
              <w:rPr>
                <w:b/>
                <w:bCs/>
                <w:color w:val="FFFFFF"/>
                <w:sz w:val="18"/>
                <w:szCs w:val="18"/>
              </w:rPr>
              <w:t xml:space="preserve">Status</w:t>
            </w:r>
          </w:p>
        </w:tc>
        <w:tc>
          <w:tcPr>
            <w:tcW w:type="dxa" w:w="3650"/>
            <w:shd w:fill="1A2B4C" w:val="clear"/>
            <w:tcMar>
              <w:top w:type="dxa" w:w="100"/>
              <w:left w:type="dxa" w:w="120"/>
              <w:bottom w:type="dxa" w:w="100"/>
              <w:right w:type="dxa" w:w="120"/>
            </w:tcMar>
            <w:vAlign w:val="center"/>
          </w:tcPr>
          <w:p>
            <w:r>
              <w:rPr>
                <w:b/>
                <w:bCs/>
                <w:color w:val="FFFFFF"/>
                <w:sz w:val="18"/>
                <w:szCs w:val="18"/>
              </w:rPr>
              <w:t xml:space="preserve">Evidence</w:t>
            </w:r>
          </w:p>
        </w:tc>
      </w:tr>
      <w:tr>
        <w:tc>
          <w:tcPr>
            <w:tcW w:type="dxa" w:w="3400"/>
            <w:shd w:fill="FFFFFF" w:val="clear"/>
            <w:tcMar>
              <w:top w:type="dxa" w:w="90"/>
              <w:left w:type="dxa" w:w="120"/>
              <w:bottom w:type="dxa" w:w="90"/>
              <w:right w:type="dxa" w:w="120"/>
            </w:tcMar>
            <w:vAlign w:val="center"/>
          </w:tcPr>
          <w:p>
            <w:r>
              <w:rPr>
                <w:color w:val="1F2430"/>
                <w:sz w:val="18"/>
                <w:szCs w:val="18"/>
              </w:rPr>
              <w:t xml:space="preserve">RTL timing analysis framework</w:t>
            </w:r>
          </w:p>
        </w:tc>
        <w:tc>
          <w:tcPr>
            <w:tcW w:type="dxa" w:w="2300"/>
            <w:shd w:fill="FFFFFF" w:val="clear"/>
            <w:tcMar>
              <w:top w:type="dxa" w:w="90"/>
              <w:left w:type="dxa" w:w="120"/>
              <w:bottom w:type="dxa" w:w="90"/>
              <w:right w:type="dxa" w:w="120"/>
            </w:tcMar>
            <w:vAlign w:val="center"/>
          </w:tcPr>
          <w:p>
            <w:r>
              <w:rPr>
                <w:color w:val="1F2430"/>
                <w:sz w:val="18"/>
                <w:szCs w:val="18"/>
              </w:rPr>
              <w:t xml:space="preserve">Built — partially exercised</w:t>
            </w:r>
          </w:p>
        </w:tc>
        <w:tc>
          <w:tcPr>
            <w:tcW w:type="dxa" w:w="3650"/>
            <w:shd w:fill="FFFFFF" w:val="clear"/>
            <w:tcMar>
              <w:top w:type="dxa" w:w="90"/>
              <w:left w:type="dxa" w:w="120"/>
              <w:bottom w:type="dxa" w:w="90"/>
              <w:right w:type="dxa" w:w="120"/>
            </w:tcMar>
            <w:vAlign w:val="center"/>
          </w:tcPr>
          <w:p>
            <w:r>
              <w:rPr>
                <w:color w:val="1F2430"/>
                <w:sz w:val="18"/>
                <w:szCs w:val="18"/>
              </w:rPr>
              <w:t xml:space="preserve">Yosys + fanout extraction run for real (Sec. 5); OpenSTA wired but needs a liberty/SDC pass on the full design</w:t>
            </w:r>
          </w:p>
        </w:tc>
      </w:tr>
      <w:tr>
        <w:tc>
          <w:tcPr>
            <w:tcW w:type="dxa" w:w="3400"/>
            <w:shd w:fill="F2F4F7" w:val="clear"/>
            <w:tcMar>
              <w:top w:type="dxa" w:w="90"/>
              <w:left w:type="dxa" w:w="120"/>
              <w:bottom w:type="dxa" w:w="90"/>
              <w:right w:type="dxa" w:w="120"/>
            </w:tcMar>
            <w:vAlign w:val="center"/>
          </w:tcPr>
          <w:p>
            <w:r>
              <w:rPr>
                <w:color w:val="1F2430"/>
                <w:sz w:val="18"/>
                <w:szCs w:val="18"/>
              </w:rPr>
              <w:t xml:space="preserve">GenAI-based RTL optimization engine</w:t>
            </w:r>
          </w:p>
        </w:tc>
        <w:tc>
          <w:tcPr>
            <w:tcW w:type="dxa" w:w="2300"/>
            <w:shd w:fill="F2F4F7" w:val="clear"/>
            <w:tcMar>
              <w:top w:type="dxa" w:w="90"/>
              <w:left w:type="dxa" w:w="120"/>
              <w:bottom w:type="dxa" w:w="90"/>
              <w:right w:type="dxa" w:w="120"/>
            </w:tcMar>
            <w:vAlign w:val="center"/>
          </w:tcPr>
          <w:p>
            <w:r>
              <w:rPr>
                <w:color w:val="1F2430"/>
                <w:sz w:val="18"/>
                <w:szCs w:val="18"/>
              </w:rPr>
              <w:t xml:space="preserve">Built — gating logic tested</w:t>
            </w:r>
          </w:p>
        </w:tc>
        <w:tc>
          <w:tcPr>
            <w:tcW w:type="dxa" w:w="3650"/>
            <w:shd w:fill="F2F4F7" w:val="clear"/>
            <w:tcMar>
              <w:top w:type="dxa" w:w="90"/>
              <w:left w:type="dxa" w:w="120"/>
              <w:bottom w:type="dxa" w:w="90"/>
              <w:right w:type="dxa" w:w="120"/>
            </w:tcMar>
            <w:vAlign w:val="center"/>
          </w:tcPr>
          <w:p>
            <w:r>
              <w:rPr>
                <w:color w:val="1F2430"/>
                <w:sz w:val="18"/>
                <w:szCs w:val="18"/>
              </w:rPr>
              <w:t xml:space="preserve">Two-stage prompt structure implemented; accept/reject logic unit-tested against 3 real scenarios (Sec. 7)</w:t>
            </w:r>
          </w:p>
        </w:tc>
      </w:tr>
      <w:tr>
        <w:tc>
          <w:tcPr>
            <w:tcW w:type="dxa" w:w="3400"/>
            <w:shd w:fill="FFFFFF" w:val="clear"/>
            <w:tcMar>
              <w:top w:type="dxa" w:w="90"/>
              <w:left w:type="dxa" w:w="120"/>
              <w:bottom w:type="dxa" w:w="90"/>
              <w:right w:type="dxa" w:w="120"/>
            </w:tcMar>
            <w:vAlign w:val="center"/>
          </w:tcPr>
          <w:p>
            <w:r>
              <w:rPr>
                <w:color w:val="1F2430"/>
                <w:sz w:val="18"/>
                <w:szCs w:val="18"/>
              </w:rPr>
              <w:t xml:space="preserve">Critical path and timing violation analysis</w:t>
            </w:r>
          </w:p>
        </w:tc>
        <w:tc>
          <w:tcPr>
            <w:tcW w:type="dxa" w:w="2300"/>
            <w:shd w:fill="FFFFFF" w:val="clear"/>
            <w:tcMar>
              <w:top w:type="dxa" w:w="90"/>
              <w:left w:type="dxa" w:w="120"/>
              <w:bottom w:type="dxa" w:w="90"/>
              <w:right w:type="dxa" w:w="120"/>
            </w:tcMar>
            <w:vAlign w:val="center"/>
          </w:tcPr>
          <w:p>
            <w:r>
              <w:rPr>
                <w:color w:val="1F2430"/>
                <w:sz w:val="18"/>
                <w:szCs w:val="18"/>
              </w:rPr>
              <w:t xml:space="preserve">Built — needs full-design run</w:t>
            </w:r>
          </w:p>
        </w:tc>
        <w:tc>
          <w:tcPr>
            <w:tcW w:type="dxa" w:w="3650"/>
            <w:shd w:fill="FFFFFF" w:val="clear"/>
            <w:tcMar>
              <w:top w:type="dxa" w:w="90"/>
              <w:left w:type="dxa" w:w="120"/>
              <w:bottom w:type="dxa" w:w="90"/>
              <w:right w:type="dxa" w:w="120"/>
            </w:tcMar>
            <w:vAlign w:val="center"/>
          </w:tcPr>
          <w:p>
            <w:r>
              <w:rPr>
                <w:color w:val="1F2430"/>
                <w:sz w:val="18"/>
                <w:szCs w:val="18"/>
              </w:rPr>
              <w:t xml:space="preserve">Stage-5 diagnosis consumes STA + CDC input; not yet run against real WNS from the 5-domain design</w:t>
            </w:r>
          </w:p>
        </w:tc>
      </w:tr>
      <w:tr>
        <w:tc>
          <w:tcPr>
            <w:tcW w:type="dxa" w:w="3400"/>
            <w:shd w:fill="F2F4F7" w:val="clear"/>
            <w:tcMar>
              <w:top w:type="dxa" w:w="90"/>
              <w:left w:type="dxa" w:w="120"/>
              <w:bottom w:type="dxa" w:w="90"/>
              <w:right w:type="dxa" w:w="120"/>
            </w:tcMar>
            <w:vAlign w:val="center"/>
          </w:tcPr>
          <w:p>
            <w:r>
              <w:rPr>
                <w:color w:val="1F2430"/>
                <w:sz w:val="18"/>
                <w:szCs w:val="18"/>
              </w:rPr>
              <w:t xml:space="preserve">Optimized RTL implementation</w:t>
            </w:r>
          </w:p>
        </w:tc>
        <w:tc>
          <w:tcPr>
            <w:tcW w:type="dxa" w:w="2300"/>
            <w:shd w:fill="F2F4F7" w:val="clear"/>
            <w:tcMar>
              <w:top w:type="dxa" w:w="90"/>
              <w:left w:type="dxa" w:w="120"/>
              <w:bottom w:type="dxa" w:w="90"/>
              <w:right w:type="dxa" w:w="120"/>
            </w:tcMar>
            <w:vAlign w:val="center"/>
          </w:tcPr>
          <w:p>
            <w:r>
              <w:rPr>
                <w:color w:val="1F2430"/>
                <w:sz w:val="18"/>
                <w:szCs w:val="18"/>
              </w:rPr>
              <w:t xml:space="preserve">Demonstrated (1 case)</w:t>
            </w:r>
          </w:p>
        </w:tc>
        <w:tc>
          <w:tcPr>
            <w:tcW w:type="dxa" w:w="3650"/>
            <w:shd w:fill="F2F4F7" w:val="clear"/>
            <w:tcMar>
              <w:top w:type="dxa" w:w="90"/>
              <w:left w:type="dxa" w:w="120"/>
              <w:bottom w:type="dxa" w:w="90"/>
              <w:right w:type="dxa" w:w="120"/>
            </w:tcMar>
            <w:vAlign w:val="center"/>
          </w:tcPr>
          <w:p>
            <w:r>
              <w:rPr>
                <w:color w:val="1F2430"/>
                <w:sz w:val="18"/>
                <w:szCs w:val="18"/>
              </w:rPr>
              <w:t xml:space="preserve">Case study in Sec. 8 shows a full attempt, correctly rejected</w:t>
            </w:r>
          </w:p>
        </w:tc>
      </w:tr>
      <w:tr>
        <w:tc>
          <w:tcPr>
            <w:tcW w:type="dxa" w:w="3400"/>
            <w:shd w:fill="FFFFFF" w:val="clear"/>
            <w:tcMar>
              <w:top w:type="dxa" w:w="90"/>
              <w:left w:type="dxa" w:w="120"/>
              <w:bottom w:type="dxa" w:w="90"/>
              <w:right w:type="dxa" w:w="120"/>
            </w:tcMar>
            <w:vAlign w:val="center"/>
          </w:tcPr>
          <w:p>
            <w:r>
              <w:rPr>
                <w:color w:val="1F2430"/>
                <w:sz w:val="18"/>
                <w:szCs w:val="18"/>
              </w:rPr>
              <w:t xml:space="preserve">Timing, frequency and PPA comparison</w:t>
            </w:r>
          </w:p>
        </w:tc>
        <w:tc>
          <w:tcPr>
            <w:tcW w:type="dxa" w:w="2300"/>
            <w:shd w:fill="FFFFFF" w:val="clear"/>
            <w:tcMar>
              <w:top w:type="dxa" w:w="90"/>
              <w:left w:type="dxa" w:w="120"/>
              <w:bottom w:type="dxa" w:w="90"/>
              <w:right w:type="dxa" w:w="120"/>
            </w:tcMar>
            <w:vAlign w:val="center"/>
          </w:tcPr>
          <w:p>
            <w:r>
              <w:rPr>
                <w:color w:val="1F2430"/>
                <w:sz w:val="18"/>
                <w:szCs w:val="18"/>
              </w:rPr>
              <w:t xml:space="preserve">Built — real data (1 module)</w:t>
            </w:r>
          </w:p>
        </w:tc>
        <w:tc>
          <w:tcPr>
            <w:tcW w:type="dxa" w:w="3650"/>
            <w:shd w:fill="FFFFFF" w:val="clear"/>
            <w:tcMar>
              <w:top w:type="dxa" w:w="90"/>
              <w:left w:type="dxa" w:w="120"/>
              <w:bottom w:type="dxa" w:w="90"/>
              <w:right w:type="dxa" w:w="120"/>
            </w:tcMar>
            <w:vAlign w:val="center"/>
          </w:tcPr>
          <w:p>
            <w:r>
              <w:rPr>
                <w:color w:val="1F2430"/>
                <w:sz w:val="18"/>
                <w:szCs w:val="18"/>
              </w:rPr>
              <w:t xml:space="preserve">report_gen.py produces before/after tables from real run logs, tested end to end</w:t>
            </w:r>
          </w:p>
        </w:tc>
      </w:tr>
      <w:tr>
        <w:tc>
          <w:tcPr>
            <w:tcW w:type="dxa" w:w="3400"/>
            <w:shd w:fill="F2F4F7" w:val="clear"/>
            <w:tcMar>
              <w:top w:type="dxa" w:w="90"/>
              <w:left w:type="dxa" w:w="120"/>
              <w:bottom w:type="dxa" w:w="90"/>
              <w:right w:type="dxa" w:w="120"/>
            </w:tcMar>
            <w:vAlign w:val="center"/>
          </w:tcPr>
          <w:p>
            <w:r>
              <w:rPr>
                <w:color w:val="1F2430"/>
                <w:sz w:val="18"/>
                <w:szCs w:val="18"/>
              </w:rPr>
              <w:t xml:space="preserve">Formal equivalence verification report</w:t>
            </w:r>
          </w:p>
        </w:tc>
        <w:tc>
          <w:tcPr>
            <w:tcW w:type="dxa" w:w="2300"/>
            <w:shd w:fill="F2F4F7" w:val="clear"/>
            <w:tcMar>
              <w:top w:type="dxa" w:w="90"/>
              <w:left w:type="dxa" w:w="120"/>
              <w:bottom w:type="dxa" w:w="90"/>
              <w:right w:type="dxa" w:w="120"/>
            </w:tcMar>
            <w:vAlign w:val="center"/>
          </w:tcPr>
          <w:p>
            <w:r>
              <w:rPr>
                <w:color w:val="1F2430"/>
                <w:sz w:val="18"/>
                <w:szCs w:val="18"/>
              </w:rPr>
              <w:t xml:space="preserve">Built — gate logic tested, tool not installed here</w:t>
            </w:r>
          </w:p>
        </w:tc>
        <w:tc>
          <w:tcPr>
            <w:tcW w:type="dxa" w:w="3650"/>
            <w:shd w:fill="F2F4F7" w:val="clear"/>
            <w:tcMar>
              <w:top w:type="dxa" w:w="90"/>
              <w:left w:type="dxa" w:w="120"/>
              <w:bottom w:type="dxa" w:w="90"/>
              <w:right w:type="dxa" w:w="120"/>
            </w:tcMar>
            <w:vAlign w:val="center"/>
          </w:tcPr>
          <w:p>
            <w:r>
              <w:rPr>
                <w:color w:val="1F2430"/>
                <w:sz w:val="18"/>
                <w:szCs w:val="18"/>
              </w:rPr>
              <w:t xml:space="preserve">eqy_check.py implemented; acceptance logic verified with a stubbed EQY result (Sec. 7)</w:t>
            </w:r>
          </w:p>
        </w:tc>
      </w:tr>
      <w:tr>
        <w:tc>
          <w:tcPr>
            <w:tcW w:type="dxa" w:w="3400"/>
            <w:shd w:fill="FFFFFF" w:val="clear"/>
            <w:tcMar>
              <w:top w:type="dxa" w:w="90"/>
              <w:left w:type="dxa" w:w="120"/>
              <w:bottom w:type="dxa" w:w="90"/>
              <w:right w:type="dxa" w:w="120"/>
            </w:tcMar>
            <w:vAlign w:val="center"/>
          </w:tcPr>
          <w:p>
            <w:r>
              <w:rPr>
                <w:color w:val="1F2430"/>
                <w:sz w:val="18"/>
                <w:szCs w:val="18"/>
              </w:rPr>
              <w:t xml:space="preserve">Interactive demo showcasing the workflow</w:t>
            </w:r>
          </w:p>
        </w:tc>
        <w:tc>
          <w:tcPr>
            <w:tcW w:type="dxa" w:w="2300"/>
            <w:shd w:fill="FFFFFF" w:val="clear"/>
            <w:tcMar>
              <w:top w:type="dxa" w:w="90"/>
              <w:left w:type="dxa" w:w="120"/>
              <w:bottom w:type="dxa" w:w="90"/>
              <w:right w:type="dxa" w:w="120"/>
            </w:tcMar>
            <w:vAlign w:val="center"/>
          </w:tcPr>
          <w:p>
            <w:r>
              <w:rPr>
                <w:color w:val="1F2430"/>
                <w:sz w:val="18"/>
                <w:szCs w:val="18"/>
              </w:rPr>
              <w:t xml:space="preserve">Planned for submission video</w:t>
            </w:r>
          </w:p>
        </w:tc>
        <w:tc>
          <w:tcPr>
            <w:tcW w:type="dxa" w:w="3650"/>
            <w:shd w:fill="FFFFFF" w:val="clear"/>
            <w:tcMar>
              <w:top w:type="dxa" w:w="90"/>
              <w:left w:type="dxa" w:w="120"/>
              <w:bottom w:type="dxa" w:w="90"/>
              <w:right w:type="dxa" w:w="120"/>
            </w:tcMar>
            <w:vAlign w:val="center"/>
          </w:tcPr>
          <w:p>
            <w:r>
              <w:rPr>
                <w:color w:val="1F2430"/>
                <w:sz w:val="18"/>
                <w:szCs w:val="18"/>
              </w:rPr>
              <w:t xml:space="preserve">See Section 10</w:t>
            </w:r>
          </w:p>
        </w:tc>
      </w:tr>
    </w:tbl>
    <w:p>
      <w:pPr>
        <w:pStyle w:val="Heading1"/>
        <w:pBdr>
          <w:bottom w:val="single" w:color="1A2B4C" w:sz="8" w:space="4"/>
        </w:pBdr>
        <w:spacing w:after="160" w:before="360"/>
      </w:pPr>
      <w:r>
        <w:rPr>
          <w:b/>
          <w:bCs/>
          <w:color w:val="1A2B4C"/>
          <w:sz w:val="28"/>
          <w:szCs w:val="28"/>
        </w:rPr>
        <w:t xml:space="preserve">10. Round 1 Status and the Plan for Round 2</w:t>
      </w:r>
    </w:p>
    <w:p>
      <w:pPr>
        <w:spacing w:after="160" w:line="276"/>
        <w:jc w:val="both"/>
      </w:pPr>
      <w:r>
        <w:rPr>
          <w:color w:val="1F2430"/>
          <w:sz w:val="20"/>
          <w:szCs w:val="20"/>
        </w:rPr>
        <w:t xml:space="preserve">This submission deliberately does not spend LLM API budget until the architecture and gating logic are proven correct on their own. Everything in Sections 5, 7, and 8 ran on real, locally-installed open-source tools (Yosys, Icarus Verilog) with zero API cost; only the language-model calls and the EQY equivalence check were stubbed with fixed, representative values for this development run, since EQY was not available to install in the development environment and no funded API key has been provisioned yet.</w:t>
      </w:r>
    </w:p>
    <w:p>
      <w:pPr>
        <w:pStyle w:val="Heading2"/>
        <w:spacing w:after="120" w:before="260"/>
      </w:pPr>
      <w:r>
        <w:rPr>
          <w:b/>
          <w:bCs/>
          <w:color w:val="2F5D8A"/>
          <w:sz w:val="22"/>
          <w:szCs w:val="22"/>
        </w:rPr>
        <w:t xml:space="preserve">What Round 2 adds</w:t>
      </w:r>
    </w:p>
    <w:p>
      <w:pPr>
        <w:pStyle w:val="ListParagraph"/>
        <w:numPr>
          <w:ilvl w:val="0"/>
          <w:numId w:val="2"/>
        </w:numPr>
        <w:spacing w:after="90"/>
      </w:pPr>
      <w:r>
        <w:rPr>
          <w:color w:val="1F2430"/>
          <w:sz w:val="20"/>
          <w:szCs w:val="20"/>
        </w:rPr>
        <w:t xml:space="preserve">A funded LLM key, removing the Stage-5/Stage-6 stub and running the loop on real model output</w:t>
      </w:r>
    </w:p>
    <w:p>
      <w:pPr>
        <w:pStyle w:val="ListParagraph"/>
        <w:numPr>
          <w:ilvl w:val="0"/>
          <w:numId w:val="2"/>
        </w:numPr>
        <w:spacing w:after="90"/>
      </w:pPr>
      <w:r>
        <w:rPr>
          <w:color w:val="1F2430"/>
          <w:sz w:val="20"/>
          <w:szCs w:val="20"/>
        </w:rPr>
        <w:t xml:space="preserve">EQY installed and exercised for real, replacing the stubbed equivalence result in Section 8</w:t>
      </w:r>
    </w:p>
    <w:p>
      <w:pPr>
        <w:pStyle w:val="ListParagraph"/>
        <w:numPr>
          <w:ilvl w:val="0"/>
          <w:numId w:val="2"/>
        </w:numPr>
        <w:spacing w:after="90"/>
      </w:pPr>
      <w:r>
        <w:rPr>
          <w:color w:val="1F2430"/>
          <w:sz w:val="20"/>
          <w:szCs w:val="20"/>
        </w:rPr>
        <w:t xml:space="preserve">The full five-domain design (Section 4) synthesized end to end, confirming the ≥50K cell / 10+ clock target</w:t>
      </w:r>
    </w:p>
    <w:p>
      <w:pPr>
        <w:pStyle w:val="ListParagraph"/>
        <w:numPr>
          <w:ilvl w:val="0"/>
          <w:numId w:val="2"/>
        </w:numPr>
        <w:spacing w:after="90"/>
      </w:pPr>
      <w:r>
        <w:rPr>
          <w:color w:val="1F2430"/>
          <w:sz w:val="20"/>
          <w:szCs w:val="20"/>
        </w:rPr>
        <w:t xml:space="preserve">A 10–15 case benchmark suite, run with repeats, producing the success-rate statistic the brief asks for</w:t>
      </w:r>
    </w:p>
    <w:p>
      <w:pPr>
        <w:pStyle w:val="ListParagraph"/>
        <w:numPr>
          <w:ilvl w:val="0"/>
          <w:numId w:val="2"/>
        </w:numPr>
        <w:spacing w:after="90"/>
      </w:pPr>
      <w:r>
        <w:rPr>
          <w:color w:val="1F2430"/>
          <w:sz w:val="20"/>
          <w:szCs w:val="20"/>
        </w:rPr>
        <w:t xml:space="preserve">An OpenROAD placed-and-routed snapshot (baseline vs. final) for real post-P&amp;R PPA numbers, run once per version — not inside the iterative loop, to keep turn-around-time meaningful</w:t>
      </w:r>
    </w:p>
    <w:p>
      <w:pPr>
        <w:pStyle w:val="ListParagraph"/>
        <w:numPr>
          <w:ilvl w:val="0"/>
          <w:numId w:val="2"/>
        </w:numPr>
        <w:spacing w:after="90"/>
      </w:pPr>
      <w:r>
        <w:rPr>
          <w:color w:val="1F2430"/>
          <w:sz w:val="20"/>
          <w:szCs w:val="20"/>
        </w:rPr>
        <w:t xml:space="preserve">The interactive demo video, recorded against the live pipeline</w:t>
      </w:r>
    </w:p>
    <w:p>
      <w:pPr>
        <w:pStyle w:val="Heading1"/>
        <w:pBdr>
          <w:bottom w:val="single" w:color="1A2B4C" w:sz="8" w:space="4"/>
        </w:pBdr>
        <w:spacing w:after="160" w:before="360"/>
      </w:pPr>
      <w:r>
        <w:rPr>
          <w:b/>
          <w:bCs/>
          <w:color w:val="1A2B4C"/>
          <w:sz w:val="28"/>
          <w:szCs w:val="28"/>
        </w:rPr>
        <w:t xml:space="preserve">11. Known Limitations</w:t>
      </w:r>
    </w:p>
    <w:p>
      <w:pPr>
        <w:spacing w:after="160" w:line="276"/>
        <w:jc w:val="both"/>
      </w:pPr>
      <w:r>
        <w:rPr>
          <w:color w:val="1F2430"/>
          <w:sz w:val="20"/>
          <w:szCs w:val="20"/>
        </w:rPr>
        <w:t xml:space="preserve">Stated plainly, per our own engineering standard: overclaiming coverage is a bigger risk to this project than the limitation itself.</w:t>
      </w:r>
    </w:p>
    <w:p>
      <w:pPr>
        <w:pStyle w:val="ListParagraph"/>
        <w:numPr>
          <w:ilvl w:val="0"/>
          <w:numId w:val="2"/>
        </w:numPr>
        <w:spacing w:after="90"/>
      </w:pPr>
      <w:r>
        <w:rPr>
          <w:color w:val="1F2430"/>
          <w:sz w:val="20"/>
          <w:szCs w:val="20"/>
        </w:rPr>
        <w:t xml:space="preserve">The structural CDC lint is rule-based pattern matching, not a formal CDC tool. It catches a raw, unsynchronized crossing with no recognizable synchronizer naming; it does not catch reconvergence — two paths of the same signal crossing domains separately and recombining.</w:t>
      </w:r>
    </w:p>
    <w:p>
      <w:pPr>
        <w:pStyle w:val="ListParagraph"/>
        <w:numPr>
          <w:ilvl w:val="0"/>
          <w:numId w:val="2"/>
        </w:numPr>
        <w:spacing w:after="90"/>
      </w:pPr>
      <w:r>
        <w:rPr>
          <w:color w:val="1F2430"/>
          <w:sz w:val="20"/>
          <w:szCs w:val="20"/>
        </w:rPr>
        <w:t xml:space="preserve">The PPA regression guard (Section 8) uses a fixed 1.5x cell-count threshold as a placeholder sanity check, not a tuned policy. A real area/timing tradeoff rule (e.g., reject only if area grows more than X% for less than Y ns of WNS improvement) is needed once real WNS numbers exist.</w:t>
      </w:r>
    </w:p>
    <w:p>
      <w:pPr>
        <w:pStyle w:val="ListParagraph"/>
        <w:numPr>
          <w:ilvl w:val="0"/>
          <w:numId w:val="2"/>
        </w:numPr>
        <w:spacing w:after="90"/>
      </w:pPr>
      <w:r>
        <w:rPr>
          <w:color w:val="1F2430"/>
          <w:sz w:val="20"/>
          <w:szCs w:val="20"/>
        </w:rPr>
        <w:t xml:space="preserve">Stage 2 is constrained by prompt design to one diagnosis at a time, but nothing currently verifies structurally that it did not also touch unrelated code — only that the result is functionally/formally equivalent and passes the PPA guard.</w:t>
      </w:r>
    </w:p>
    <w:p>
      <w:pPr>
        <w:pStyle w:val="ListParagraph"/>
        <w:numPr>
          <w:ilvl w:val="0"/>
          <w:numId w:val="2"/>
        </w:numPr>
        <w:spacing w:after="90"/>
      </w:pPr>
      <w:r>
        <w:rPr>
          <w:color w:val="1F2430"/>
          <w:sz w:val="20"/>
          <w:szCs w:val="20"/>
        </w:rPr>
        <w:t xml:space="preserve">The numbers in Sections 5 and 8 come from one module (priority_encoder.v), not the full five-domain design; the ~50K cell / 5-domain / CDC claims in Section 4 describe the specification and structure, not yet a synthesized whole-design result.</w:t>
      </w:r>
    </w:p>
    <w:p>
      <w:pPr>
        <w:pStyle w:val="ListParagraph"/>
        <w:numPr>
          <w:ilvl w:val="0"/>
          <w:numId w:val="2"/>
        </w:numPr>
        <w:spacing w:after="90"/>
      </w:pPr>
      <w:r>
        <w:rPr>
          <w:color w:val="1F2430"/>
          <w:sz w:val="20"/>
          <w:szCs w:val="20"/>
        </w:rPr>
        <w:t xml:space="preserve">EQY and OpenSTA were not available to install in the development sandbox used to produce this report; their integration is code-complete and logic-tested with representative stubbed results, not yet exercised against the real tools.</w:t>
      </w:r>
    </w:p>
    <w:p>
      <w:pPr>
        <w:pStyle w:val="Heading1"/>
        <w:pBdr>
          <w:bottom w:val="single" w:color="1A2B4C" w:sz="8" w:space="4"/>
        </w:pBdr>
        <w:spacing w:after="160" w:before="360"/>
      </w:pPr>
      <w:r>
        <w:rPr>
          <w:b/>
          <w:bCs/>
          <w:color w:val="1A2B4C"/>
          <w:sz w:val="28"/>
          <w:szCs w:val="28"/>
        </w:rPr>
        <w:t xml:space="preserve">12. Conclusion</w:t>
      </w:r>
    </w:p>
    <w:p>
      <w:pPr>
        <w:spacing w:after="160" w:line="276"/>
        <w:jc w:val="both"/>
      </w:pPr>
      <w:r>
        <w:rPr>
          <w:color w:val="1F2430"/>
          <w:sz w:val="20"/>
          <w:szCs w:val="20"/>
        </w:rPr>
        <w:t xml:space="preserve">The system built for this submission is a nine-stage closed loop that diagnoses RTL bottlenecks from real synthesis and timing evidence, proposes one targeted fix at a time, and never accepts a change unless it is proven functionally correct, formally equivalent, and actually an improvement rather than a regression — all without a human in the loop. The most valuable result from Round 1 development is not a clean success story: it is proof, from a real run, that the acceptance gate does its job even when the proposed fix looks reasonable on its face and passes every functional check, but turns out on re-measurement to make the design worse. That is the property a fully-automated system needs most, and it is the property this report can show working today, on real numbers, rather than only promise.</w:t>
      </w:r>
    </w:p>
    <w:sectPr>
      <w:headerReference w:type="default" r:id="rId7"/>
      <w:footerReference w:type="default" r:id="rId8"/>
      <w:pgSz w:w="12240" w:h="15840" w:orient="portrait"/>
      <w:pgMar w:top="990" w:right="1080" w:bottom="99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7280"/>
        <w:sz w:val="14"/>
        <w:szCs w:val="14"/>
      </w:rPr>
      <w:t xml:space="preserve">Nebula@BITS-Goa × Astera Labs — Constraint Optimization through RTL Enhancement Using Generative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1e5f986ac3828ebcc247e8d86f938345b3a9c27.png"/><Relationship Id="rId10" Type="http://schemas.openxmlformats.org/officeDocument/2006/relationships/image" Target="media/8340171880e995a06609348680abd55dc44bf6e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2026-09-14T04:18:09.464Z</dcterms:created>
  <dcterms:modified xsi:type="dcterms:W3CDTF">2026-09-14T04:18:09.464Z</dcterms:modified>
</cp:coreProperties>
</file>

<file path=docProps/custom.xml><?xml version="1.0" encoding="utf-8"?>
<Properties xmlns="http://schemas.openxmlformats.org/officeDocument/2006/custom-properties" xmlns:vt="http://schemas.openxmlformats.org/officeDocument/2006/docPropsVTypes"/>
</file>