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0000002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0000003">
      <w:pPr>
        <w:pStyle w:val="style0"/>
        <w:spacing w:after="0"/>
        <w:jc w:val="center"/>
        <w:rPr>
          <w:b/>
          <w:bCs/>
        </w:rPr>
      </w:pPr>
    </w:p>
    <w:tbl>
      <w:tblPr>
        <w:tblStyle w:val="style4099"/>
        <w:tblW w:w="903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14:paraId="B55256B7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 xml:space="preserve">20 September </w:t>
            </w:r>
            <w:r>
              <w:rPr/>
              <w:t>202</w:t>
            </w:r>
            <w:r>
              <w:rPr>
                <w:lang w:val="en-US"/>
              </w:rPr>
              <w:t>6</w:t>
            </w:r>
          </w:p>
        </w:tc>
      </w:tr>
      <w:tr w14:paraId="18030A2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524949E0">
            <w:pPr>
              <w:pStyle w:val="style0"/>
              <w:rPr/>
            </w:pPr>
            <w:r>
              <w:rPr>
                <w:lang w:val="en-US"/>
              </w:rPr>
              <w:t>SWTID-2026-4609</w:t>
            </w:r>
          </w:p>
        </w:tc>
      </w:tr>
      <w:tr w14:paraId="45A13F3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B956A8B8">
            <w:pPr>
              <w:pStyle w:val="style0"/>
              <w:rPr/>
            </w:pPr>
            <w:r>
              <w:t>AI FAQ Assistant</w:t>
            </w:r>
          </w:p>
        </w:tc>
      </w:tr>
      <w:tr w14:paraId="090C1BD5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2 Marks</w:t>
            </w:r>
          </w:p>
        </w:tc>
      </w:tr>
    </w:tbl>
    <w:p w14:paraId="0000000C">
      <w:pPr>
        <w:pStyle w:val="style0"/>
        <w:rPr>
          <w:b/>
          <w:bCs/>
        </w:rPr>
      </w:pPr>
    </w:p>
    <w:p w14:paraId="0000000D">
      <w:pPr>
        <w:pStyle w:val="style0"/>
        <w:rPr>
          <w:b/>
          <w:bCs/>
        </w:rPr>
      </w:pPr>
      <w:r>
        <w:rPr>
          <w:b/>
          <w:bCs/>
        </w:rPr>
        <w:t>Proposed Solution Template:</w:t>
      </w:r>
    </w:p>
    <w:p w14:paraId="0000000E">
      <w:pPr>
        <w:pStyle w:val="style0"/>
        <w:rPr/>
      </w:pPr>
      <w:r>
        <w:rPr/>
        <w:t>Project team shall fill the following information in the proposed solution template.</w:t>
      </w:r>
    </w:p>
    <w:tbl>
      <w:tblPr>
        <w:tblStyle w:val="style4100"/>
        <w:tblW w:w="907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14:paraId="1E6D4046">
        <w:trPr>
          <w:cantSplit w:val="false"/>
          <w:trHeight w:val="557" w:hRule="atLeast"/>
          <w:tblHeader w:val="false"/>
          <w:jc w:val="left"/>
        </w:trPr>
        <w:tc>
          <w:tcPr>
            <w:tcW w:w="0" w:type="auto"/>
            <w:tcBorders/>
          </w:tcPr>
          <w:p w14:paraId="AE9991B0">
            <w:pPr>
              <w:pStyle w:val="style0"/>
              <w:rPr/>
            </w:pPr>
            <w:r>
              <w:t>S.No</w:t>
            </w:r>
          </w:p>
        </w:tc>
        <w:tc>
          <w:tcPr>
            <w:tcW w:w="0" w:type="auto"/>
            <w:tcBorders/>
          </w:tcPr>
          <w:p w14:paraId="086A57A9">
            <w:pPr>
              <w:pStyle w:val="style0"/>
              <w:rPr/>
            </w:pPr>
            <w:r>
              <w:t>Parameter</w:t>
            </w:r>
          </w:p>
        </w:tc>
        <w:tc>
          <w:tcPr>
            <w:tcW w:w="0" w:type="auto"/>
            <w:tcBorders/>
          </w:tcPr>
          <w:p w14:paraId="1666446A">
            <w:pPr>
              <w:pStyle w:val="style0"/>
              <w:rPr/>
            </w:pPr>
            <w:r>
              <w:t>Description</w:t>
            </w:r>
          </w:p>
        </w:tc>
      </w:tr>
      <w:tr w14:paraId="07581077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1359C6F8">
            <w:pPr>
              <w:pStyle w:val="style0"/>
              <w:rPr/>
            </w:pPr>
            <w:r>
              <w:t>1</w:t>
            </w:r>
          </w:p>
        </w:tc>
        <w:tc>
          <w:tcPr>
            <w:tcW w:w="0" w:type="auto"/>
            <w:tcBorders/>
          </w:tcPr>
          <w:p w14:paraId="71DF7518">
            <w:pPr>
              <w:pStyle w:val="style0"/>
              <w:rPr/>
            </w:pPr>
            <w:r>
              <w:t>Problem Statement</w:t>
            </w:r>
          </w:p>
        </w:tc>
        <w:tc>
          <w:tcPr>
            <w:tcW w:w="0" w:type="auto"/>
            <w:tcBorders/>
          </w:tcPr>
          <w:p w14:paraId="ECEECB86">
            <w:pPr>
              <w:pStyle w:val="style0"/>
              <w:rPr/>
            </w:pPr>
            <w:r>
              <w:t>Users waste significant time manually searching through static FAQ pages and waiting for human support agents.</w:t>
            </w:r>
          </w:p>
        </w:tc>
      </w:tr>
      <w:tr w14:paraId="F575E412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257295D">
            <w:pPr>
              <w:pStyle w:val="style0"/>
              <w:rPr/>
            </w:pPr>
            <w:r>
              <w:t>2</w:t>
            </w:r>
          </w:p>
        </w:tc>
        <w:tc>
          <w:tcPr>
            <w:tcW w:w="0" w:type="auto"/>
            <w:tcBorders/>
          </w:tcPr>
          <w:p w14:paraId="04A60E57">
            <w:pPr>
              <w:pStyle w:val="style0"/>
              <w:rPr/>
            </w:pPr>
            <w:r>
              <w:t>Proposed Solution</w:t>
            </w:r>
          </w:p>
        </w:tc>
        <w:tc>
          <w:tcPr>
            <w:tcW w:w="0" w:type="auto"/>
            <w:tcBorders/>
          </w:tcPr>
          <w:p w14:paraId="2D39C675">
            <w:pPr>
              <w:pStyle w:val="style0"/>
              <w:rPr/>
            </w:pPr>
            <w:r>
              <w:t>An intelligent AI FAQ Assistant API providing instant 0ms responses for common FAQs and Google Gemini AI fallback for dynamic queries.</w:t>
            </w:r>
          </w:p>
        </w:tc>
      </w:tr>
      <w:tr w14:paraId="882D7FDC">
        <w:tblPrEx/>
        <w:trPr>
          <w:cantSplit w:val="false"/>
          <w:trHeight w:val="787" w:hRule="atLeast"/>
          <w:tblHeader w:val="false"/>
          <w:jc w:val="left"/>
        </w:trPr>
        <w:tc>
          <w:tcPr>
            <w:tcW w:w="0" w:type="auto"/>
            <w:tcBorders/>
          </w:tcPr>
          <w:p w14:paraId="FEE50207">
            <w:pPr>
              <w:pStyle w:val="style0"/>
              <w:rPr/>
            </w:pPr>
            <w:r>
              <w:t>3</w:t>
            </w:r>
          </w:p>
        </w:tc>
        <w:tc>
          <w:tcPr>
            <w:tcW w:w="0" w:type="auto"/>
            <w:tcBorders/>
          </w:tcPr>
          <w:p w14:paraId="2AD38889">
            <w:pPr>
              <w:pStyle w:val="style0"/>
              <w:rPr/>
            </w:pPr>
            <w:r>
              <w:t>Novelty / Uniqueness</w:t>
            </w:r>
          </w:p>
        </w:tc>
        <w:tc>
          <w:tcPr>
            <w:tcW w:w="0" w:type="auto"/>
            <w:tcBorders/>
          </w:tcPr>
          <w:p w14:paraId="0B2DCD22">
            <w:pPr>
              <w:pStyle w:val="style0"/>
              <w:rPr/>
            </w:pPr>
            <w:r>
              <w:t>Dual-tier hybrid processing architecture that slashes cloud AI API costs by 80% while providing 100% query resolution coverage.</w:t>
            </w:r>
          </w:p>
        </w:tc>
      </w:tr>
      <w:tr w14:paraId="73393BF6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332A1F75">
            <w:pPr>
              <w:pStyle w:val="style0"/>
              <w:rPr/>
            </w:pPr>
            <w:r>
              <w:t>4</w:t>
            </w:r>
          </w:p>
        </w:tc>
        <w:tc>
          <w:tcPr>
            <w:tcW w:w="0" w:type="auto"/>
            <w:tcBorders/>
          </w:tcPr>
          <w:p w14:paraId="8DFA971B">
            <w:pPr>
              <w:pStyle w:val="style0"/>
              <w:rPr/>
            </w:pPr>
            <w:r>
              <w:t>Target Audience / Beneficiaries</w:t>
            </w:r>
          </w:p>
        </w:tc>
        <w:tc>
          <w:tcPr>
            <w:tcW w:w="0" w:type="auto"/>
            <w:tcBorders/>
          </w:tcPr>
          <w:p w14:paraId="789E5476">
            <w:pPr>
              <w:pStyle w:val="style0"/>
              <w:rPr/>
            </w:pPr>
            <w:r>
              <w:t>Students, developers, educators, customer support desks, and web/mobile application users.</w:t>
            </w:r>
          </w:p>
        </w:tc>
      </w:tr>
      <w:tr w14:paraId="A62B371A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F22961CA">
            <w:pPr>
              <w:pStyle w:val="style0"/>
              <w:rPr/>
            </w:pPr>
            <w:r>
              <w:t>5</w:t>
            </w:r>
          </w:p>
        </w:tc>
        <w:tc>
          <w:tcPr>
            <w:tcW w:w="0" w:type="auto"/>
            <w:tcBorders/>
          </w:tcPr>
          <w:p w14:paraId="B71C65C6">
            <w:pPr>
              <w:pStyle w:val="style0"/>
              <w:rPr/>
            </w:pPr>
            <w:r>
              <w:t>Social &amp; Business Impact</w:t>
            </w:r>
          </w:p>
        </w:tc>
        <w:tc>
          <w:tcPr>
            <w:tcW w:w="0" w:type="auto"/>
            <w:tcBorders/>
          </w:tcPr>
          <w:p w14:paraId="9DE2E8C2">
            <w:pPr>
              <w:pStyle w:val="style0"/>
              <w:rPr/>
            </w:pPr>
            <w:r>
              <w:t>Delivers 24/7 automated learning &amp; support assistance, reduces customer wait times, and lowers enterprise operational expenses.</w:t>
            </w:r>
          </w:p>
        </w:tc>
      </w:tr>
      <w:tr w14:paraId="BF82BE39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C6F3F323">
            <w:pPr>
              <w:pStyle w:val="style0"/>
              <w:rPr/>
            </w:pPr>
            <w:r>
              <w:t>6</w:t>
            </w:r>
          </w:p>
        </w:tc>
        <w:tc>
          <w:tcPr>
            <w:tcW w:w="0" w:type="auto"/>
            <w:tcBorders/>
          </w:tcPr>
          <w:p w14:paraId="218719D0">
            <w:pPr>
              <w:pStyle w:val="style0"/>
              <w:rPr/>
            </w:pPr>
            <w:r>
              <w:t>Scalability &amp; Sustainability</w:t>
            </w:r>
          </w:p>
        </w:tc>
        <w:tc>
          <w:tcPr>
            <w:tcW w:w="0" w:type="auto"/>
            <w:tcBorders/>
          </w:tcPr>
          <w:p w14:paraId="B475607F">
            <w:pPr>
              <w:pStyle w:val="style0"/>
              <w:rPr/>
            </w:pPr>
            <w:r>
              <w:t>Asynchronous ASGI server architecture scales effortlessly to thousands of concurrent users with zero infrastructure bloat.</w:t>
            </w:r>
          </w:p>
        </w:tc>
      </w:tr>
    </w:tbl>
    <w:p w14:paraId="00000024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160</Words>
  <Characters>998</Characters>
  <Application>WPS Office</Application>
  <Paragraphs>47</Paragraphs>
  <CharactersWithSpaces>1125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2026-09-25T09:46:01Z</dcterms:created>
  <dc:creator>WPS Office</dc:creator>
  <lastModifiedBy>RMX3997</lastModifiedBy>
  <dcterms:modified xsi:type="dcterms:W3CDTF">2026-09-25T09:46:01Z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0d6402c7057141fab96edee813f701de_23</vt:lpwstr>
  </property>
</Properties>
</file>