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16D5" w14:textId="442D114F" w:rsidR="00AC10C5" w:rsidRPr="00542A27" w:rsidRDefault="00AC10C5" w:rsidP="00AC10C5">
      <w:pPr>
        <w:tabs>
          <w:tab w:val="left" w:pos="2835"/>
        </w:tabs>
        <w:rPr>
          <w:rFonts w:cs="Arial"/>
          <w:b/>
          <w:lang w:val="en-US"/>
        </w:rPr>
      </w:pPr>
      <w:r w:rsidRPr="00542A27">
        <w:rPr>
          <w:rFonts w:cs="Arial"/>
          <w:b/>
          <w:lang w:val="en-US"/>
        </w:rPr>
        <w:t>Do</w:t>
      </w:r>
      <w:r w:rsidR="004D12AC" w:rsidRPr="00542A27">
        <w:rPr>
          <w:rFonts w:cs="Arial"/>
          <w:b/>
          <w:lang w:val="en-US"/>
        </w:rPr>
        <w:t>c</w:t>
      </w:r>
      <w:r w:rsidRPr="00542A27">
        <w:rPr>
          <w:rFonts w:cs="Arial"/>
          <w:b/>
          <w:lang w:val="en-US"/>
        </w:rPr>
        <w:t>umentation:</w:t>
      </w:r>
      <w:r w:rsidRPr="00542A27">
        <w:rPr>
          <w:rFonts w:cs="Arial"/>
          <w:b/>
          <w:lang w:val="en-US"/>
        </w:rPr>
        <w:tab/>
      </w:r>
      <w:r w:rsidR="00542A27" w:rsidRPr="00542A27">
        <w:rPr>
          <w:rFonts w:cs="Arial"/>
          <w:b/>
          <w:color w:val="0071BC"/>
          <w:lang w:val="en-US"/>
        </w:rPr>
        <w:t>Analysis report</w:t>
      </w:r>
    </w:p>
    <w:p w14:paraId="673CBE92" w14:textId="7BC71F0A" w:rsidR="00AC10C5" w:rsidRPr="00542A27" w:rsidRDefault="00542A27" w:rsidP="00AC10C5">
      <w:pPr>
        <w:tabs>
          <w:tab w:val="left" w:pos="2835"/>
        </w:tabs>
        <w:rPr>
          <w:rFonts w:cs="Arial"/>
          <w:b/>
          <w:lang w:val="en-US"/>
        </w:rPr>
      </w:pPr>
      <w:r w:rsidRPr="00542A27">
        <w:rPr>
          <w:rFonts w:cs="Arial"/>
          <w:b/>
          <w:lang w:val="en-US"/>
        </w:rPr>
        <w:t>Author</w:t>
      </w:r>
      <w:r w:rsidR="00AC10C5" w:rsidRPr="00542A27">
        <w:rPr>
          <w:rFonts w:cs="Arial"/>
          <w:b/>
          <w:lang w:val="en-US"/>
        </w:rPr>
        <w:t>:</w:t>
      </w:r>
      <w:r w:rsidR="00AC10C5" w:rsidRPr="00542A27">
        <w:rPr>
          <w:rFonts w:cs="Arial"/>
          <w:b/>
          <w:lang w:val="en-US"/>
        </w:rPr>
        <w:tab/>
        <w:t>Uwe Ricken</w:t>
      </w:r>
    </w:p>
    <w:p w14:paraId="2067D509" w14:textId="77777777" w:rsidR="00AC10C5" w:rsidRPr="00542A27" w:rsidRDefault="00AC10C5" w:rsidP="00AC10C5">
      <w:pPr>
        <w:tabs>
          <w:tab w:val="left" w:pos="2835"/>
        </w:tabs>
        <w:rPr>
          <w:rFonts w:cs="Arial"/>
          <w:b/>
          <w:lang w:val="en-US"/>
        </w:rPr>
      </w:pPr>
      <w:r w:rsidRPr="00542A27">
        <w:rPr>
          <w:rFonts w:cs="Arial"/>
          <w:b/>
          <w:lang w:val="en-US"/>
        </w:rPr>
        <w:t>Version:</w:t>
      </w:r>
      <w:r w:rsidRPr="00542A27">
        <w:rPr>
          <w:rFonts w:cs="Arial"/>
          <w:b/>
          <w:lang w:val="en-US"/>
        </w:rPr>
        <w:tab/>
        <w:t>1.00</w:t>
      </w:r>
    </w:p>
    <w:p w14:paraId="4A64869F" w14:textId="5D611334" w:rsidR="00AC10C5" w:rsidRPr="00542A27" w:rsidRDefault="00AC10C5" w:rsidP="00AC10C5">
      <w:pPr>
        <w:tabs>
          <w:tab w:val="left" w:pos="2835"/>
        </w:tabs>
        <w:rPr>
          <w:rFonts w:cs="Arial"/>
          <w:b/>
          <w:lang w:val="en-US"/>
        </w:rPr>
      </w:pPr>
      <w:r w:rsidRPr="00542A27">
        <w:rPr>
          <w:rFonts w:cs="Arial"/>
          <w:b/>
          <w:lang w:val="en-US"/>
        </w:rPr>
        <w:t>Date of documentation:</w:t>
      </w:r>
      <w:r w:rsidRPr="00542A27">
        <w:rPr>
          <w:rFonts w:cs="Arial"/>
          <w:b/>
          <w:lang w:val="en-US"/>
        </w:rPr>
        <w:tab/>
      </w:r>
      <w:r w:rsidR="004D12AC" w:rsidRPr="00542A27">
        <w:rPr>
          <w:rFonts w:cs="Arial"/>
          <w:b/>
          <w:lang w:val="en-US"/>
        </w:rPr>
        <w:t>02</w:t>
      </w:r>
      <w:r w:rsidR="004E102C" w:rsidRPr="00542A27">
        <w:rPr>
          <w:rFonts w:cs="Arial"/>
          <w:b/>
          <w:lang w:val="en-US"/>
        </w:rPr>
        <w:t>.</w:t>
      </w:r>
      <w:r w:rsidR="002571C9" w:rsidRPr="00542A27">
        <w:rPr>
          <w:rFonts w:cs="Arial"/>
          <w:b/>
          <w:lang w:val="en-US"/>
        </w:rPr>
        <w:t>1</w:t>
      </w:r>
      <w:r w:rsidR="004D12AC" w:rsidRPr="00542A27">
        <w:rPr>
          <w:rFonts w:cs="Arial"/>
          <w:b/>
          <w:lang w:val="en-US"/>
        </w:rPr>
        <w:t>1</w:t>
      </w:r>
      <w:r w:rsidR="004E102C" w:rsidRPr="00542A27">
        <w:rPr>
          <w:rFonts w:cs="Arial"/>
          <w:b/>
          <w:lang w:val="en-US"/>
        </w:rPr>
        <w:t>.2017</w:t>
      </w:r>
    </w:p>
    <w:p w14:paraId="0D8D5F20" w14:textId="7C836A65" w:rsidR="00AC10C5" w:rsidRPr="00542A27" w:rsidRDefault="00AC10C5" w:rsidP="00AC10C5">
      <w:pPr>
        <w:tabs>
          <w:tab w:val="left" w:pos="2835"/>
        </w:tabs>
        <w:rPr>
          <w:rFonts w:cs="Arial"/>
          <w:b/>
          <w:lang w:val="en-US"/>
        </w:rPr>
      </w:pPr>
      <w:r w:rsidRPr="00542A27">
        <w:rPr>
          <w:rFonts w:cs="Arial"/>
          <w:b/>
          <w:lang w:val="en-US"/>
        </w:rPr>
        <w:t>Date of approval:</w:t>
      </w:r>
      <w:r w:rsidRPr="00542A27">
        <w:rPr>
          <w:rFonts w:cs="Arial"/>
          <w:b/>
          <w:lang w:val="en-US"/>
        </w:rPr>
        <w:tab/>
      </w:r>
      <w:r w:rsidR="00396288" w:rsidRPr="00542A27">
        <w:rPr>
          <w:rFonts w:cs="Arial"/>
          <w:b/>
          <w:lang w:val="en-US"/>
        </w:rPr>
        <w:t>07.11.2017</w:t>
      </w:r>
    </w:p>
    <w:p w14:paraId="03870E8B" w14:textId="77777777" w:rsidR="00AC10C5" w:rsidRPr="00542A27" w:rsidRDefault="00AC10C5" w:rsidP="00AC10C5">
      <w:pPr>
        <w:tabs>
          <w:tab w:val="left" w:pos="2835"/>
        </w:tabs>
        <w:rPr>
          <w:rFonts w:cs="Arial"/>
          <w:b/>
          <w:lang w:val="en-US"/>
        </w:rPr>
      </w:pPr>
      <w:r w:rsidRPr="00542A27">
        <w:rPr>
          <w:rFonts w:cs="Arial"/>
          <w:b/>
          <w:lang w:val="en-US"/>
        </w:rPr>
        <w:t>Approved by:</w:t>
      </w:r>
      <w:r w:rsidRPr="00542A27">
        <w:rPr>
          <w:rFonts w:cs="Arial"/>
          <w:b/>
          <w:lang w:val="en-US"/>
        </w:rPr>
        <w:tab/>
        <w:t xml:space="preserve">Uwe Ricken – </w:t>
      </w:r>
      <w:r w:rsidRPr="00542A27">
        <w:rPr>
          <w:rFonts w:cs="Arial"/>
          <w:b/>
          <w:color w:val="000080"/>
          <w:lang w:val="en-US"/>
        </w:rPr>
        <w:t>db</w:t>
      </w:r>
      <w:r w:rsidRPr="00542A27">
        <w:rPr>
          <w:rFonts w:cs="Arial"/>
          <w:b/>
          <w:lang w:val="en-US"/>
        </w:rPr>
        <w:t>-</w:t>
      </w:r>
      <w:proofErr w:type="spellStart"/>
      <w:r w:rsidRPr="00542A27">
        <w:rPr>
          <w:rFonts w:cs="Arial"/>
          <w:b/>
          <w:lang w:val="en-US"/>
        </w:rPr>
        <w:t>Berater</w:t>
      </w:r>
      <w:proofErr w:type="spellEnd"/>
      <w:r w:rsidRPr="00542A27">
        <w:rPr>
          <w:rFonts w:cs="Arial"/>
          <w:b/>
          <w:lang w:val="en-US"/>
        </w:rPr>
        <w:t xml:space="preserve"> GmbH</w:t>
      </w:r>
    </w:p>
    <w:p w14:paraId="6F459BA6" w14:textId="77777777" w:rsidR="00AC10C5" w:rsidRPr="00542A27" w:rsidRDefault="00AC10C5" w:rsidP="00AC10C5">
      <w:pPr>
        <w:tabs>
          <w:tab w:val="left" w:pos="2835"/>
        </w:tabs>
        <w:rPr>
          <w:rFonts w:cs="Arial"/>
          <w:b/>
          <w:lang w:val="en-US"/>
        </w:rPr>
      </w:pPr>
    </w:p>
    <w:p w14:paraId="5C710F23" w14:textId="77777777" w:rsidR="00AC10C5" w:rsidRPr="00542A27" w:rsidRDefault="00AC10C5" w:rsidP="00AC10C5">
      <w:pPr>
        <w:tabs>
          <w:tab w:val="left" w:pos="2835"/>
        </w:tabs>
        <w:rPr>
          <w:rFonts w:cs="Arial"/>
          <w:b/>
          <w:lang w:val="en-US"/>
        </w:rPr>
      </w:pPr>
      <w:r w:rsidRPr="00542A27">
        <w:rPr>
          <w:rFonts w:cs="Arial"/>
          <w:b/>
          <w:lang w:val="en-US"/>
        </w:rPr>
        <w:t>Copyright:</w:t>
      </w:r>
      <w:r w:rsidRPr="00542A27">
        <w:rPr>
          <w:rFonts w:cs="Arial"/>
          <w:b/>
          <w:lang w:val="en-US"/>
        </w:rPr>
        <w:tab/>
      </w:r>
      <w:r w:rsidRPr="00542A27">
        <w:rPr>
          <w:rFonts w:cs="Arial"/>
          <w:b/>
          <w:color w:val="000080"/>
          <w:lang w:val="en-US"/>
        </w:rPr>
        <w:t>db</w:t>
      </w:r>
      <w:r w:rsidRPr="00542A27">
        <w:rPr>
          <w:rFonts w:cs="Arial"/>
          <w:b/>
          <w:lang w:val="en-US"/>
        </w:rPr>
        <w:t>-</w:t>
      </w:r>
      <w:proofErr w:type="spellStart"/>
      <w:r w:rsidRPr="00542A27">
        <w:rPr>
          <w:rFonts w:cs="Arial"/>
          <w:b/>
          <w:lang w:val="en-US"/>
        </w:rPr>
        <w:t>Berater</w:t>
      </w:r>
      <w:proofErr w:type="spellEnd"/>
      <w:r w:rsidRPr="00542A27">
        <w:rPr>
          <w:rFonts w:cs="Arial"/>
          <w:b/>
          <w:lang w:val="en-US"/>
        </w:rPr>
        <w:t xml:space="preserve"> GmbH</w:t>
      </w:r>
    </w:p>
    <w:p w14:paraId="785E97D7" w14:textId="77777777" w:rsidR="00AC10C5" w:rsidRPr="00542A27" w:rsidRDefault="00AC10C5" w:rsidP="00AC10C5">
      <w:pPr>
        <w:pStyle w:val="StandardWeb"/>
        <w:spacing w:line="240" w:lineRule="auto"/>
        <w:ind w:left="2829"/>
        <w:rPr>
          <w:rFonts w:ascii="Arial" w:hAnsi="Arial" w:cs="Arial"/>
          <w:sz w:val="20"/>
          <w:szCs w:val="20"/>
          <w:lang w:val="en-US"/>
        </w:rPr>
      </w:pPr>
      <w:r w:rsidRPr="00542A27">
        <w:rPr>
          <w:rFonts w:cs="Arial"/>
          <w:lang w:val="en-US"/>
        </w:rPr>
        <w:t>Unless otherwise specified, the documents are for your personal and non-commercial use. You may not modify copy, distribute, transmit, display, perform, reproduce, publish, license, create derivative works from, transfer, or sell any information, software, products or services.</w:t>
      </w:r>
    </w:p>
    <w:p w14:paraId="5FF4030C" w14:textId="77777777" w:rsidR="00AC10C5" w:rsidRPr="00542A27" w:rsidRDefault="00AC10C5" w:rsidP="00AC10C5">
      <w:pPr>
        <w:rPr>
          <w:rFonts w:cs="Arial"/>
          <w:lang w:val="en-US"/>
        </w:rPr>
      </w:pPr>
    </w:p>
    <w:p w14:paraId="2F25CB96" w14:textId="77777777" w:rsidR="00AC10C5" w:rsidRPr="00542A27" w:rsidRDefault="00AC10C5" w:rsidP="00AC10C5">
      <w:pPr>
        <w:rPr>
          <w:rFonts w:cs="Arial"/>
          <w:lang w:val="en-US"/>
        </w:rPr>
        <w:sectPr w:rsidR="00AC10C5" w:rsidRPr="00542A27" w:rsidSect="000211FB">
          <w:headerReference w:type="default" r:id="rId8"/>
          <w:footerReference w:type="default" r:id="rId9"/>
          <w:pgSz w:w="11906" w:h="16838" w:code="9"/>
          <w:pgMar w:top="2552" w:right="1134" w:bottom="1134" w:left="1701" w:header="709" w:footer="284" w:gutter="0"/>
          <w:cols w:space="708"/>
          <w:vAlign w:val="center"/>
          <w:docGrid w:linePitch="360"/>
        </w:sectPr>
      </w:pPr>
    </w:p>
    <w:p w14:paraId="5800065E" w14:textId="5BAF7B49" w:rsidR="00AC10C5" w:rsidRPr="00542A27" w:rsidRDefault="00125987" w:rsidP="00AC10C5">
      <w:pPr>
        <w:pStyle w:val="berschrift1"/>
        <w:rPr>
          <w:lang w:val="en-US"/>
        </w:rPr>
      </w:pPr>
      <w:bookmarkStart w:id="0" w:name="_Toc497821303"/>
      <w:r w:rsidRPr="00542A27">
        <w:rPr>
          <w:lang w:val="en-US"/>
        </w:rPr>
        <w:lastRenderedPageBreak/>
        <w:t>Introduction</w:t>
      </w:r>
      <w:bookmarkEnd w:id="0"/>
    </w:p>
    <w:p w14:paraId="7619936E" w14:textId="0B99A4D5" w:rsidR="00125987" w:rsidRPr="00542A27" w:rsidRDefault="00125987" w:rsidP="00125987">
      <w:pPr>
        <w:rPr>
          <w:lang w:val="en-US"/>
        </w:rPr>
      </w:pPr>
      <w:r w:rsidRPr="00542A27">
        <w:rPr>
          <w:b/>
          <w:color w:val="1F497D" w:themeColor="text2"/>
          <w:lang w:val="en-US"/>
        </w:rPr>
        <w:t>db</w:t>
      </w:r>
      <w:r w:rsidRPr="00542A27">
        <w:rPr>
          <w:lang w:val="en-US"/>
        </w:rPr>
        <w:t xml:space="preserve"> </w:t>
      </w:r>
      <w:proofErr w:type="spellStart"/>
      <w:r w:rsidRPr="00542A27">
        <w:rPr>
          <w:lang w:val="en-US"/>
        </w:rPr>
        <w:t>Berater</w:t>
      </w:r>
      <w:proofErr w:type="spellEnd"/>
      <w:r w:rsidRPr="00542A27">
        <w:rPr>
          <w:lang w:val="en-US"/>
        </w:rPr>
        <w:t xml:space="preserve"> GmbH</w:t>
      </w:r>
      <w:r w:rsidR="004E4B3D" w:rsidRPr="00542A27">
        <w:rPr>
          <w:rStyle w:val="Funotenzeichen"/>
          <w:lang w:val="en-US"/>
        </w:rPr>
        <w:footnoteReference w:id="1"/>
      </w:r>
      <w:r w:rsidRPr="00542A27">
        <w:rPr>
          <w:lang w:val="en-US"/>
        </w:rPr>
        <w:t xml:space="preserve"> is specialized in database technologies of Microsoft. </w:t>
      </w:r>
      <w:r w:rsidRPr="00542A27">
        <w:rPr>
          <w:b/>
          <w:color w:val="1F497D" w:themeColor="text2"/>
          <w:lang w:val="en-US"/>
        </w:rPr>
        <w:t>db</w:t>
      </w:r>
      <w:r w:rsidRPr="00542A27">
        <w:rPr>
          <w:lang w:val="en-US"/>
        </w:rPr>
        <w:t xml:space="preserve"> </w:t>
      </w:r>
      <w:proofErr w:type="spellStart"/>
      <w:r w:rsidRPr="00542A27">
        <w:rPr>
          <w:lang w:val="en-US"/>
        </w:rPr>
        <w:t>Berater</w:t>
      </w:r>
      <w:proofErr w:type="spellEnd"/>
      <w:r w:rsidRPr="00542A27">
        <w:rPr>
          <w:lang w:val="en-US"/>
        </w:rPr>
        <w:t xml:space="preserve"> GmbH is working with certified employees and partners for the support of customers </w:t>
      </w:r>
      <w:r w:rsidR="00023899" w:rsidRPr="00542A27">
        <w:rPr>
          <w:lang w:val="en-US"/>
        </w:rPr>
        <w:t>of the</w:t>
      </w:r>
      <w:r w:rsidRPr="00542A27">
        <w:rPr>
          <w:lang w:val="en-US"/>
        </w:rPr>
        <w:t xml:space="preserve"> technical environment of Microsoft SQL Server. We are counselling our customers in the implementation of new SQL Server systems, analysis of existing systems and develop customized database systems based on Microsoft SQL Server.</w:t>
      </w:r>
    </w:p>
    <w:p w14:paraId="1299BF42" w14:textId="4BEF98AD" w:rsidR="00AC10C5" w:rsidRPr="00542A27" w:rsidRDefault="00125987" w:rsidP="00AC10C5">
      <w:pPr>
        <w:pStyle w:val="berschrift1"/>
        <w:rPr>
          <w:lang w:val="en-US"/>
        </w:rPr>
      </w:pPr>
      <w:bookmarkStart w:id="1" w:name="_Toc497821304"/>
      <w:r w:rsidRPr="00542A27">
        <w:rPr>
          <w:lang w:val="en-US"/>
        </w:rPr>
        <w:t>The author of this report</w:t>
      </w:r>
      <w:bookmarkEnd w:id="1"/>
    </w:p>
    <w:p w14:paraId="41C0F313" w14:textId="048FE5B0" w:rsidR="00125987" w:rsidRPr="00542A27" w:rsidRDefault="00125987" w:rsidP="00AC10C5">
      <w:pPr>
        <w:rPr>
          <w:lang w:val="en-US"/>
        </w:rPr>
      </w:pPr>
      <w:r w:rsidRPr="00542A27">
        <w:rPr>
          <w:lang w:val="en-US"/>
        </w:rPr>
        <w:t>The analysis report has been written b</w:t>
      </w:r>
      <w:r w:rsidR="00087463" w:rsidRPr="00542A27">
        <w:rPr>
          <w:lang w:val="en-US"/>
        </w:rPr>
        <w:t>y</w:t>
      </w:r>
      <w:r w:rsidRPr="00542A27">
        <w:rPr>
          <w:lang w:val="en-US"/>
        </w:rPr>
        <w:t xml:space="preserve"> Uwe Ricken, Managing Director of </w:t>
      </w:r>
      <w:r w:rsidRPr="00542A27">
        <w:rPr>
          <w:b/>
          <w:color w:val="1F497D" w:themeColor="text2"/>
          <w:lang w:val="en-US"/>
        </w:rPr>
        <w:t>db</w:t>
      </w:r>
      <w:r w:rsidRPr="00542A27">
        <w:rPr>
          <w:lang w:val="en-US"/>
        </w:rPr>
        <w:t xml:space="preserve"> </w:t>
      </w:r>
      <w:proofErr w:type="spellStart"/>
      <w:r w:rsidRPr="00542A27">
        <w:rPr>
          <w:lang w:val="en-US"/>
        </w:rPr>
        <w:t>Berater</w:t>
      </w:r>
      <w:proofErr w:type="spellEnd"/>
      <w:r w:rsidRPr="00542A27">
        <w:rPr>
          <w:lang w:val="en-US"/>
        </w:rPr>
        <w:t xml:space="preserve"> GmbH. Uwe is working with Microsoft SQL Server since 1998 and has a fundamental knowledge of its technique for more than 15 years. Uwe has achieved the following certificates for Microsoft SQL Server</w:t>
      </w:r>
    </w:p>
    <w:p w14:paraId="79118C35" w14:textId="3B976193" w:rsidR="00015E22" w:rsidRPr="00542A27" w:rsidRDefault="00015E22" w:rsidP="00AC10C5">
      <w:pPr>
        <w:pStyle w:val="Aufzhlungszeichen"/>
        <w:rPr>
          <w:lang w:val="en-US"/>
        </w:rPr>
      </w:pPr>
      <w:r w:rsidRPr="00542A27">
        <w:rPr>
          <w:lang w:val="en-US"/>
        </w:rPr>
        <w:t xml:space="preserve">Microsoft Certified Master: CHARTA </w:t>
      </w:r>
      <w:r w:rsidRPr="00542A27">
        <w:rPr>
          <w:lang w:val="en-US"/>
        </w:rPr>
        <w:noBreakHyphen/>
        <w:t xml:space="preserve"> Data Platform</w:t>
      </w:r>
    </w:p>
    <w:p w14:paraId="25D122AF" w14:textId="7610B420" w:rsidR="00AC10C5" w:rsidRPr="00542A27" w:rsidRDefault="00AC10C5" w:rsidP="00AC10C5">
      <w:pPr>
        <w:pStyle w:val="Aufzhlungszeichen"/>
        <w:rPr>
          <w:lang w:val="en-US"/>
        </w:rPr>
      </w:pPr>
      <w:r w:rsidRPr="00542A27">
        <w:rPr>
          <w:lang w:val="en-US"/>
        </w:rPr>
        <w:t>Microsoft Certified Master: SQL Server 2008</w:t>
      </w:r>
      <w:r w:rsidRPr="00542A27">
        <w:rPr>
          <w:lang w:val="en-US"/>
        </w:rPr>
        <w:br/>
      </w:r>
    </w:p>
    <w:p w14:paraId="632C59EE" w14:textId="5CB2E318" w:rsidR="00AC10C5" w:rsidRPr="00542A27" w:rsidRDefault="00015E22" w:rsidP="00AC10C5">
      <w:pPr>
        <w:pStyle w:val="Aufzhlungszeichen"/>
        <w:rPr>
          <w:lang w:val="en-US"/>
        </w:rPr>
      </w:pPr>
      <w:r w:rsidRPr="00542A27">
        <w:rPr>
          <w:lang w:val="en-US"/>
        </w:rPr>
        <w:t>Microsoft Certified Solutions Expert: Data Platform</w:t>
      </w:r>
    </w:p>
    <w:p w14:paraId="073F45EB" w14:textId="49DF79EE" w:rsidR="00015E22" w:rsidRPr="00542A27" w:rsidRDefault="0005674D" w:rsidP="00AC10C5">
      <w:pPr>
        <w:pStyle w:val="Aufzhlungszeichen"/>
        <w:rPr>
          <w:lang w:val="en-US"/>
        </w:rPr>
      </w:pPr>
      <w:hyperlink r:id="rId10" w:history="1">
        <w:r w:rsidR="00015E22" w:rsidRPr="00542A27">
          <w:rPr>
            <w:rStyle w:val="Hyperlink"/>
            <w:lang w:val="en-US"/>
          </w:rPr>
          <w:t>Most Valued Professional: Data Platform</w:t>
        </w:r>
      </w:hyperlink>
    </w:p>
    <w:p w14:paraId="799C2940" w14:textId="77777777" w:rsidR="00015E22" w:rsidRPr="00542A27" w:rsidRDefault="00015E22">
      <w:pPr>
        <w:keepLines w:val="0"/>
        <w:spacing w:after="0"/>
        <w:rPr>
          <w:lang w:val="en-US"/>
        </w:rPr>
      </w:pPr>
      <w:r w:rsidRPr="00542A27">
        <w:rPr>
          <w:lang w:val="en-US"/>
        </w:rPr>
        <w:br w:type="page"/>
      </w:r>
    </w:p>
    <w:sdt>
      <w:sdtPr>
        <w:rPr>
          <w:rFonts w:ascii="Calibri" w:eastAsia="Times New Roman" w:hAnsi="Calibri" w:cs="Times New Roman"/>
          <w:color w:val="auto"/>
          <w:sz w:val="20"/>
          <w:szCs w:val="20"/>
          <w:lang w:val="en-US"/>
        </w:rPr>
        <w:id w:val="-1078285862"/>
        <w:docPartObj>
          <w:docPartGallery w:val="Table of Contents"/>
          <w:docPartUnique/>
        </w:docPartObj>
      </w:sdtPr>
      <w:sdtEndPr>
        <w:rPr>
          <w:b/>
          <w:bCs/>
        </w:rPr>
      </w:sdtEndPr>
      <w:sdtContent>
        <w:p w14:paraId="7896A754" w14:textId="5E9BCB58" w:rsidR="00015E22" w:rsidRPr="00542A27" w:rsidRDefault="00125987">
          <w:pPr>
            <w:pStyle w:val="Inhaltsverzeichnisberschrift"/>
            <w:rPr>
              <w:lang w:val="en-US"/>
            </w:rPr>
          </w:pPr>
          <w:r w:rsidRPr="00542A27">
            <w:rPr>
              <w:lang w:val="en-US"/>
            </w:rPr>
            <w:t>Table of content</w:t>
          </w:r>
        </w:p>
        <w:p w14:paraId="131DF633" w14:textId="77777777" w:rsidR="00445416" w:rsidRPr="00542A27" w:rsidRDefault="00015E22">
          <w:pPr>
            <w:pStyle w:val="Verzeichnis1"/>
            <w:tabs>
              <w:tab w:val="right" w:leader="dot" w:pos="9062"/>
            </w:tabs>
            <w:rPr>
              <w:rFonts w:asciiTheme="minorHAnsi" w:eastAsiaTheme="minorEastAsia" w:hAnsiTheme="minorHAnsi" w:cstheme="minorBidi"/>
              <w:noProof/>
              <w:sz w:val="22"/>
              <w:szCs w:val="22"/>
              <w:lang w:val="en-US"/>
            </w:rPr>
          </w:pPr>
          <w:r w:rsidRPr="00542A27">
            <w:rPr>
              <w:lang w:val="en-US"/>
            </w:rPr>
            <w:fldChar w:fldCharType="begin"/>
          </w:r>
          <w:r w:rsidRPr="00542A27">
            <w:rPr>
              <w:lang w:val="en-US"/>
            </w:rPr>
            <w:instrText xml:space="preserve"> TOC \o "1-3" \h \z \u </w:instrText>
          </w:r>
          <w:r w:rsidRPr="00542A27">
            <w:rPr>
              <w:lang w:val="en-US"/>
            </w:rPr>
            <w:fldChar w:fldCharType="separate"/>
          </w:r>
          <w:hyperlink w:anchor="_Toc497821303" w:history="1">
            <w:r w:rsidR="00445416" w:rsidRPr="00542A27">
              <w:rPr>
                <w:rStyle w:val="Hyperlink"/>
                <w:noProof/>
                <w:lang w:val="en-US"/>
              </w:rPr>
              <w:t>Introduction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_Toc497821303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2</w:t>
            </w:r>
            <w:r w:rsidR="00445416" w:rsidRPr="00542A27">
              <w:rPr>
                <w:noProof/>
                <w:webHidden/>
                <w:lang w:val="en-US"/>
              </w:rPr>
              <w:fldChar w:fldCharType="end"/>
            </w:r>
          </w:hyperlink>
        </w:p>
        <w:p w14:paraId="7F7AC788"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04" w:history="1">
            <w:r w:rsidR="00445416" w:rsidRPr="00542A27">
              <w:rPr>
                <w:rStyle w:val="Hyperlink"/>
                <w:noProof/>
                <w:lang w:val="en-US"/>
              </w:rPr>
              <w:t>The author of this report</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_Toc497821304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2</w:t>
            </w:r>
            <w:r w:rsidR="00445416" w:rsidRPr="00542A27">
              <w:rPr>
                <w:noProof/>
                <w:webHidden/>
                <w:lang w:val="en-US"/>
              </w:rPr>
              <w:fldChar w:fldCharType="end"/>
            </w:r>
          </w:hyperlink>
        </w:p>
        <w:p w14:paraId="2445B7C6"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05" w:history="1">
            <w:r w:rsidR="00445416" w:rsidRPr="00542A27">
              <w:rPr>
                <w:rStyle w:val="Hyperlink"/>
                <w:noProof/>
                <w:lang w:val="en-US"/>
              </w:rPr>
              <w:t>Order Description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_Toc497821305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21A7FB14"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06" w:history="1">
            <w:r w:rsidR="00445416" w:rsidRPr="00542A27">
              <w:rPr>
                <w:rStyle w:val="Hyperlink"/>
                <w:noProof/>
                <w:lang w:val="en-US"/>
              </w:rPr>
              <w:t>Result of system analysis (abstract)</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_Toc497821306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4457E111"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07" w:history="1">
            <w:r w:rsidR="00445416" w:rsidRPr="00542A27">
              <w:rPr>
                <w:rStyle w:val="Hyperlink"/>
                <w:noProof/>
                <w:lang w:val="en-US"/>
              </w:rPr>
              <w:t>Technical configuration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_Toc497821307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7A6228DB"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08" w:history="1">
            <w:r w:rsidR="00445416" w:rsidRPr="00542A27">
              <w:rPr>
                <w:rStyle w:val="Hyperlink"/>
                <w:noProof/>
                <w:lang w:val="en-US"/>
              </w:rPr>
              <w:t>Hardware</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_Toc497821308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22C6580A"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09" w:history="1">
            <w:r w:rsidR="00445416" w:rsidRPr="00542A27">
              <w:rPr>
                <w:rStyle w:val="Hyperlink"/>
                <w:noProof/>
                <w:lang w:val="en-US"/>
              </w:rPr>
              <w:t>Virtualisation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_Toc497821309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2E2C427D"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0" w:history="1">
            <w:r w:rsidR="00445416" w:rsidRPr="00542A27">
              <w:rPr>
                <w:rStyle w:val="Hyperlink"/>
                <w:noProof/>
                <w:lang w:val="en-US"/>
              </w:rPr>
              <w:t>Microsoft Windows Operating System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_Toc497821310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4</w:t>
            </w:r>
            <w:r w:rsidR="00445416" w:rsidRPr="00542A27">
              <w:rPr>
                <w:noProof/>
                <w:webHidden/>
                <w:lang w:val="en-US"/>
              </w:rPr>
              <w:fldChar w:fldCharType="end"/>
            </w:r>
          </w:hyperlink>
        </w:p>
        <w:p w14:paraId="72FF7A7E"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1" w:history="1">
            <w:r w:rsidR="00445416" w:rsidRPr="00542A27">
              <w:rPr>
                <w:rStyle w:val="Hyperlink"/>
                <w:noProof/>
                <w:lang w:val="en-US"/>
              </w:rPr>
              <w:t>Microsoft SQL Server</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_Toc497821311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4E0B1FBF"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12" w:history="1">
            <w:r w:rsidR="00445416" w:rsidRPr="00542A27">
              <w:rPr>
                <w:rStyle w:val="Hyperlink"/>
                <w:noProof/>
                <w:lang w:val="en-US"/>
              </w:rPr>
              <w:t>Survey result</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_Toc497821312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1BCDB27D"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3" w:history="1">
            <w:r w:rsidR="00445416" w:rsidRPr="00542A27">
              <w:rPr>
                <w:rStyle w:val="Hyperlink"/>
                <w:noProof/>
                <w:lang w:val="en-US"/>
              </w:rPr>
              <w:t>Operating System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_Toc497821313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3D451F8E"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4" w:history="1">
            <w:r w:rsidR="00445416" w:rsidRPr="00542A27">
              <w:rPr>
                <w:rStyle w:val="Hyperlink"/>
                <w:noProof/>
                <w:lang w:val="en-US"/>
              </w:rPr>
              <w:t>Servicepack</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_Toc497821314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1FD862A1"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5" w:history="1">
            <w:r w:rsidR="00445416" w:rsidRPr="00542A27">
              <w:rPr>
                <w:rStyle w:val="Hyperlink"/>
                <w:noProof/>
                <w:lang w:val="en-US"/>
              </w:rPr>
              <w:t>HDD / Storage</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_Toc497821315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4B4C7E5F"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6" w:history="1">
            <w:r w:rsidR="00445416" w:rsidRPr="00542A27">
              <w:rPr>
                <w:rStyle w:val="Hyperlink"/>
                <w:noProof/>
                <w:lang w:val="en-US"/>
              </w:rPr>
              <w:t>Instant File Initialization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_Toc497821316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5098F214"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7" w:history="1">
            <w:r w:rsidR="00445416" w:rsidRPr="00542A27">
              <w:rPr>
                <w:rStyle w:val="Hyperlink"/>
                <w:noProof/>
                <w:lang w:val="en-US"/>
              </w:rPr>
              <w:t>Traceflags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_Toc497821317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5</w:t>
            </w:r>
            <w:r w:rsidR="00445416" w:rsidRPr="00542A27">
              <w:rPr>
                <w:noProof/>
                <w:webHidden/>
                <w:lang w:val="en-US"/>
              </w:rPr>
              <w:fldChar w:fldCharType="end"/>
            </w:r>
          </w:hyperlink>
        </w:p>
        <w:p w14:paraId="168BD4DE"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8" w:history="1">
            <w:r w:rsidR="00445416" w:rsidRPr="00542A27">
              <w:rPr>
                <w:rStyle w:val="Hyperlink"/>
                <w:noProof/>
                <w:lang w:val="en-US"/>
              </w:rPr>
              <w:t>Virtual Volumes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_Toc497821318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7</w:t>
            </w:r>
            <w:r w:rsidR="00445416" w:rsidRPr="00542A27">
              <w:rPr>
                <w:noProof/>
                <w:webHidden/>
                <w:lang w:val="en-US"/>
              </w:rPr>
              <w:fldChar w:fldCharType="end"/>
            </w:r>
          </w:hyperlink>
        </w:p>
        <w:p w14:paraId="0D71F5D5"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19" w:history="1">
            <w:r w:rsidR="00445416" w:rsidRPr="00542A27">
              <w:rPr>
                <w:rStyle w:val="Hyperlink"/>
                <w:noProof/>
                <w:lang w:val="en-US"/>
              </w:rPr>
              <w:t>Tempdb Size and Placement Recommendations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_Toc497821319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8</w:t>
            </w:r>
            <w:r w:rsidR="00445416" w:rsidRPr="00542A27">
              <w:rPr>
                <w:noProof/>
                <w:webHidden/>
                <w:lang w:val="en-US"/>
              </w:rPr>
              <w:fldChar w:fldCharType="end"/>
            </w:r>
          </w:hyperlink>
        </w:p>
        <w:p w14:paraId="67F0B428"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20" w:history="1">
            <w:r w:rsidR="00445416" w:rsidRPr="00542A27">
              <w:rPr>
                <w:rStyle w:val="Hyperlink"/>
                <w:noProof/>
                <w:lang w:val="en-US"/>
              </w:rPr>
              <w:t>Memory / RAM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_Toc497821320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8</w:t>
            </w:r>
            <w:r w:rsidR="00445416" w:rsidRPr="00542A27">
              <w:rPr>
                <w:noProof/>
                <w:webHidden/>
                <w:lang w:val="en-US"/>
              </w:rPr>
              <w:fldChar w:fldCharType="end"/>
            </w:r>
          </w:hyperlink>
        </w:p>
        <w:p w14:paraId="183C6330"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21" w:history="1">
            <w:r w:rsidR="00445416" w:rsidRPr="00542A27">
              <w:rPr>
                <w:rStyle w:val="Hyperlink"/>
                <w:noProof/>
                <w:lang w:val="en-US"/>
              </w:rPr>
              <w:t>NUMA-architecture</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_Toc497821321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9</w:t>
            </w:r>
            <w:r w:rsidR="00445416" w:rsidRPr="00542A27">
              <w:rPr>
                <w:noProof/>
                <w:webHidden/>
                <w:lang w:val="en-US"/>
              </w:rPr>
              <w:fldChar w:fldCharType="end"/>
            </w:r>
          </w:hyperlink>
        </w:p>
        <w:p w14:paraId="5FB5D731"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22" w:history="1">
            <w:r w:rsidR="00445416" w:rsidRPr="00542A27">
              <w:rPr>
                <w:rStyle w:val="Hyperlink"/>
                <w:noProof/>
                <w:lang w:val="en-US"/>
              </w:rPr>
              <w:t>Microsoft SQL Server</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_Toc497821322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10</w:t>
            </w:r>
            <w:r w:rsidR="00445416" w:rsidRPr="00542A27">
              <w:rPr>
                <w:noProof/>
                <w:webHidden/>
                <w:lang w:val="en-US"/>
              </w:rPr>
              <w:fldChar w:fldCharType="end"/>
            </w:r>
          </w:hyperlink>
        </w:p>
        <w:p w14:paraId="5E0D59D3"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23" w:history="1">
            <w:r w:rsidR="00445416" w:rsidRPr="00542A27">
              <w:rPr>
                <w:rStyle w:val="Hyperlink"/>
                <w:noProof/>
                <w:lang w:val="en-US"/>
              </w:rPr>
              <w:t>Configuration settings of Microsoft SQL Server</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_Toc497821323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10</w:t>
            </w:r>
            <w:r w:rsidR="00445416" w:rsidRPr="00542A27">
              <w:rPr>
                <w:noProof/>
                <w:webHidden/>
                <w:lang w:val="en-US"/>
              </w:rPr>
              <w:fldChar w:fldCharType="end"/>
            </w:r>
          </w:hyperlink>
        </w:p>
        <w:p w14:paraId="413BEA7D"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24" w:history="1">
            <w:r w:rsidR="00445416" w:rsidRPr="00542A27">
              <w:rPr>
                <w:rStyle w:val="Hyperlink"/>
                <w:noProof/>
                <w:lang w:val="en-US"/>
              </w:rPr>
              <w:t>Cost Threshold for Parallelism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_Toc497821324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11</w:t>
            </w:r>
            <w:r w:rsidR="00445416" w:rsidRPr="00542A27">
              <w:rPr>
                <w:noProof/>
                <w:webHidden/>
                <w:lang w:val="en-US"/>
              </w:rPr>
              <w:fldChar w:fldCharType="end"/>
            </w:r>
          </w:hyperlink>
        </w:p>
        <w:p w14:paraId="329F9A66"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25" w:history="1">
            <w:r w:rsidR="00445416" w:rsidRPr="00542A27">
              <w:rPr>
                <w:rStyle w:val="Hyperlink"/>
                <w:noProof/>
                <w:lang w:val="en-US"/>
              </w:rPr>
              <w:t>Max Degree of Parallelism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_Toc497821325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11</w:t>
            </w:r>
            <w:r w:rsidR="00445416" w:rsidRPr="00542A27">
              <w:rPr>
                <w:noProof/>
                <w:webHidden/>
                <w:lang w:val="en-US"/>
              </w:rPr>
              <w:fldChar w:fldCharType="end"/>
            </w:r>
          </w:hyperlink>
        </w:p>
        <w:p w14:paraId="2FF2FE7E"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26" w:history="1">
            <w:r w:rsidR="00445416" w:rsidRPr="00542A27">
              <w:rPr>
                <w:rStyle w:val="Hyperlink"/>
                <w:noProof/>
                <w:lang w:val="en-US"/>
              </w:rPr>
              <w:t>Min/Max Server Memory</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_Toc497821326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11</w:t>
            </w:r>
            <w:r w:rsidR="00445416" w:rsidRPr="00542A27">
              <w:rPr>
                <w:noProof/>
                <w:webHidden/>
                <w:lang w:val="en-US"/>
              </w:rPr>
              <w:fldChar w:fldCharType="end"/>
            </w:r>
          </w:hyperlink>
        </w:p>
        <w:p w14:paraId="1819ED89"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27" w:history="1">
            <w:r w:rsidR="00445416" w:rsidRPr="00542A27">
              <w:rPr>
                <w:rStyle w:val="Hyperlink"/>
                <w:noProof/>
                <w:lang w:val="en-US"/>
              </w:rPr>
              <w:t>xp_cmdshell</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_Toc497821327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12</w:t>
            </w:r>
            <w:r w:rsidR="00445416" w:rsidRPr="00542A27">
              <w:rPr>
                <w:noProof/>
                <w:webHidden/>
                <w:lang w:val="en-US"/>
              </w:rPr>
              <w:fldChar w:fldCharType="end"/>
            </w:r>
          </w:hyperlink>
        </w:p>
        <w:p w14:paraId="35BA585E"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28" w:history="1">
            <w:r w:rsidR="00445416" w:rsidRPr="00542A27">
              <w:rPr>
                <w:rStyle w:val="Hyperlink"/>
                <w:noProof/>
                <w:lang w:val="en-US"/>
              </w:rPr>
              <w:t>Wait Stats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_Toc497821328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12</w:t>
            </w:r>
            <w:r w:rsidR="00445416" w:rsidRPr="00542A27">
              <w:rPr>
                <w:noProof/>
                <w:webHidden/>
                <w:lang w:val="en-US"/>
              </w:rPr>
              <w:fldChar w:fldCharType="end"/>
            </w:r>
          </w:hyperlink>
        </w:p>
        <w:p w14:paraId="48DCDF72"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29" w:history="1">
            <w:r w:rsidR="00445416" w:rsidRPr="00542A27">
              <w:rPr>
                <w:rStyle w:val="Hyperlink"/>
                <w:noProof/>
                <w:lang w:val="en-US"/>
              </w:rPr>
              <w:t>Databases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_Toc497821329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14</w:t>
            </w:r>
            <w:r w:rsidR="00445416" w:rsidRPr="00542A27">
              <w:rPr>
                <w:noProof/>
                <w:webHidden/>
                <w:lang w:val="en-US"/>
              </w:rPr>
              <w:fldChar w:fldCharType="end"/>
            </w:r>
          </w:hyperlink>
        </w:p>
        <w:p w14:paraId="5C74F553"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30" w:history="1">
            <w:r w:rsidR="00445416" w:rsidRPr="00542A27">
              <w:rPr>
                <w:rStyle w:val="Hyperlink"/>
                <w:noProof/>
                <w:lang w:val="en-US"/>
              </w:rPr>
              <w:t>TEMPDB</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_Toc497821330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14</w:t>
            </w:r>
            <w:r w:rsidR="00445416" w:rsidRPr="00542A27">
              <w:rPr>
                <w:noProof/>
                <w:webHidden/>
                <w:lang w:val="en-US"/>
              </w:rPr>
              <w:fldChar w:fldCharType="end"/>
            </w:r>
          </w:hyperlink>
        </w:p>
        <w:p w14:paraId="0DF453FC" w14:textId="77777777" w:rsidR="00445416" w:rsidRPr="00542A27" w:rsidRDefault="0005674D">
          <w:pPr>
            <w:pStyle w:val="Verzeichnis3"/>
            <w:tabs>
              <w:tab w:val="right" w:leader="dot" w:pos="9062"/>
            </w:tabs>
            <w:rPr>
              <w:rFonts w:asciiTheme="minorHAnsi" w:eastAsiaTheme="minorEastAsia" w:hAnsiTheme="minorHAnsi" w:cstheme="minorBidi"/>
              <w:noProof/>
              <w:sz w:val="22"/>
              <w:szCs w:val="22"/>
              <w:lang w:val="en-US"/>
            </w:rPr>
          </w:pPr>
          <w:hyperlink w:anchor="_Toc497821331" w:history="1">
            <w:r w:rsidR="00445416" w:rsidRPr="00542A27">
              <w:rPr>
                <w:rStyle w:val="Hyperlink"/>
                <w:noProof/>
                <w:lang w:val="en-US"/>
              </w:rPr>
              <w:t>User database(s)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_Toc497821331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15</w:t>
            </w:r>
            <w:r w:rsidR="00445416" w:rsidRPr="00542A27">
              <w:rPr>
                <w:noProof/>
                <w:webHidden/>
                <w:lang w:val="en-US"/>
              </w:rPr>
              <w:fldChar w:fldCharType="end"/>
            </w:r>
          </w:hyperlink>
        </w:p>
        <w:p w14:paraId="7146B46C"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32" w:history="1">
            <w:r w:rsidR="00445416" w:rsidRPr="00542A27">
              <w:rPr>
                <w:rStyle w:val="Hyperlink"/>
                <w:noProof/>
                <w:lang w:val="en-US"/>
              </w:rPr>
              <w:t>Recommendation</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_Toc497821332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16</w:t>
            </w:r>
            <w:r w:rsidR="00445416" w:rsidRPr="00542A27">
              <w:rPr>
                <w:noProof/>
                <w:webHidden/>
                <w:lang w:val="en-US"/>
              </w:rPr>
              <w:fldChar w:fldCharType="end"/>
            </w:r>
          </w:hyperlink>
        </w:p>
        <w:p w14:paraId="4084972F"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3" w:history="1">
            <w:r w:rsidR="00445416" w:rsidRPr="00542A27">
              <w:rPr>
                <w:rStyle w:val="Hyperlink"/>
                <w:noProof/>
                <w:lang w:val="en-US"/>
              </w:rPr>
              <w:t>Activation of default Traceflags</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_Toc497821333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16</w:t>
            </w:r>
            <w:r w:rsidR="00445416" w:rsidRPr="00542A27">
              <w:rPr>
                <w:noProof/>
                <w:webHidden/>
                <w:lang w:val="en-US"/>
              </w:rPr>
              <w:fldChar w:fldCharType="end"/>
            </w:r>
          </w:hyperlink>
        </w:p>
        <w:p w14:paraId="39A8BAF8"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4" w:history="1">
            <w:r w:rsidR="00445416" w:rsidRPr="00542A27">
              <w:rPr>
                <w:rStyle w:val="Hyperlink"/>
                <w:noProof/>
                <w:lang w:val="en-US"/>
              </w:rPr>
              <w:t>Cost Threshold for Parallelism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_Toc497821334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17</w:t>
            </w:r>
            <w:r w:rsidR="00445416" w:rsidRPr="00542A27">
              <w:rPr>
                <w:noProof/>
                <w:webHidden/>
                <w:lang w:val="en-US"/>
              </w:rPr>
              <w:fldChar w:fldCharType="end"/>
            </w:r>
          </w:hyperlink>
        </w:p>
        <w:p w14:paraId="19198E38"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5" w:history="1">
            <w:r w:rsidR="00445416" w:rsidRPr="00542A27">
              <w:rPr>
                <w:rStyle w:val="Hyperlink"/>
                <w:noProof/>
                <w:lang w:val="en-US"/>
              </w:rPr>
              <w:t>Max Degree of Parallelism</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_Toc497821335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17</w:t>
            </w:r>
            <w:r w:rsidR="00445416" w:rsidRPr="00542A27">
              <w:rPr>
                <w:noProof/>
                <w:webHidden/>
                <w:lang w:val="en-US"/>
              </w:rPr>
              <w:fldChar w:fldCharType="end"/>
            </w:r>
          </w:hyperlink>
        </w:p>
        <w:p w14:paraId="0471B0D2"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6" w:history="1">
            <w:r w:rsidR="00445416" w:rsidRPr="00542A27">
              <w:rPr>
                <w:rStyle w:val="Hyperlink"/>
                <w:noProof/>
                <w:lang w:val="en-US"/>
              </w:rPr>
              <w:t>Deaktivierung des Systemkontos [sa]</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_Toc497821336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17</w:t>
            </w:r>
            <w:r w:rsidR="00445416" w:rsidRPr="00542A27">
              <w:rPr>
                <w:noProof/>
                <w:webHidden/>
                <w:lang w:val="en-US"/>
              </w:rPr>
              <w:fldChar w:fldCharType="end"/>
            </w:r>
          </w:hyperlink>
        </w:p>
        <w:p w14:paraId="18991DCA"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7" w:history="1">
            <w:r w:rsidR="00445416" w:rsidRPr="00542A27">
              <w:rPr>
                <w:rStyle w:val="Hyperlink"/>
                <w:noProof/>
                <w:lang w:val="en-US"/>
              </w:rPr>
              <w:t>Security</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_Toc497821337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17</w:t>
            </w:r>
            <w:r w:rsidR="00445416" w:rsidRPr="00542A27">
              <w:rPr>
                <w:noProof/>
                <w:webHidden/>
                <w:lang w:val="en-US"/>
              </w:rPr>
              <w:fldChar w:fldCharType="end"/>
            </w:r>
          </w:hyperlink>
        </w:p>
        <w:p w14:paraId="45189C62"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8" w:history="1">
            <w:r w:rsidR="00445416" w:rsidRPr="00542A27">
              <w:rPr>
                <w:rStyle w:val="Hyperlink"/>
                <w:noProof/>
                <w:lang w:val="en-US"/>
              </w:rPr>
              <w:t>Deaktivierung von xp_cmdshell</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_Toc497821338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18</w:t>
            </w:r>
            <w:r w:rsidR="00445416" w:rsidRPr="00542A27">
              <w:rPr>
                <w:noProof/>
                <w:webHidden/>
                <w:lang w:val="en-US"/>
              </w:rPr>
              <w:fldChar w:fldCharType="end"/>
            </w:r>
          </w:hyperlink>
        </w:p>
        <w:p w14:paraId="5C3438D0" w14:textId="77777777" w:rsidR="00445416" w:rsidRPr="00542A27" w:rsidRDefault="0005674D">
          <w:pPr>
            <w:pStyle w:val="Verzeichnis2"/>
            <w:tabs>
              <w:tab w:val="right" w:leader="dot" w:pos="9062"/>
            </w:tabs>
            <w:rPr>
              <w:rFonts w:asciiTheme="minorHAnsi" w:eastAsiaTheme="minorEastAsia" w:hAnsiTheme="minorHAnsi" w:cstheme="minorBidi"/>
              <w:noProof/>
              <w:sz w:val="22"/>
              <w:szCs w:val="22"/>
              <w:lang w:val="en-US"/>
            </w:rPr>
          </w:pPr>
          <w:hyperlink w:anchor="_Toc497821339" w:history="1">
            <w:r w:rsidR="00445416" w:rsidRPr="00542A27">
              <w:rPr>
                <w:rStyle w:val="Hyperlink"/>
                <w:noProof/>
                <w:lang w:val="en-US"/>
              </w:rPr>
              <w:t>TEMPDB – dediziertes Laufwerk für Datenbank/Protokoll</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_Toc497821339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18</w:t>
            </w:r>
            <w:r w:rsidR="00445416" w:rsidRPr="00542A27">
              <w:rPr>
                <w:noProof/>
                <w:webHidden/>
                <w:lang w:val="en-US"/>
              </w:rPr>
              <w:fldChar w:fldCharType="end"/>
            </w:r>
          </w:hyperlink>
        </w:p>
        <w:p w14:paraId="5A745BE7" w14:textId="77777777" w:rsidR="00445416" w:rsidRPr="00542A27" w:rsidRDefault="0005674D">
          <w:pPr>
            <w:pStyle w:val="Verzeichnis1"/>
            <w:tabs>
              <w:tab w:val="right" w:leader="dot" w:pos="9062"/>
            </w:tabs>
            <w:rPr>
              <w:rFonts w:asciiTheme="minorHAnsi" w:eastAsiaTheme="minorEastAsia" w:hAnsiTheme="minorHAnsi" w:cstheme="minorBidi"/>
              <w:noProof/>
              <w:sz w:val="22"/>
              <w:szCs w:val="22"/>
              <w:lang w:val="en-US"/>
            </w:rPr>
          </w:pPr>
          <w:hyperlink w:anchor="_Toc497821340" w:history="1">
            <w:r w:rsidR="00445416" w:rsidRPr="00542A27">
              <w:rPr>
                <w:rStyle w:val="Hyperlink"/>
                <w:noProof/>
                <w:lang w:val="en-US"/>
              </w:rPr>
              <w:t>Zusammenfassung</w:t>
            </w:r>
            <w:r w:rsidR="00445416" w:rsidRPr="00542A27">
              <w:rPr>
                <w:noProof/>
                <w:webHidden/>
                <w:lang w:val="en-US"/>
              </w:rPr>
              <w:tab/>
            </w:r>
            <w:r w:rsidR="00445416" w:rsidRPr="00542A27">
              <w:rPr>
                <w:noProof/>
                <w:webHidden/>
                <w:lang w:val="en-US"/>
              </w:rPr>
              <w:fldChar w:fldCharType="begin"/>
            </w:r>
            <w:r w:rsidR="00445416" w:rsidRPr="00542A27">
              <w:rPr>
                <w:noProof/>
                <w:webHidden/>
                <w:lang w:val="en-US"/>
              </w:rPr>
              <w:instrText xml:space="preserve"> PAGEREF _Toc497821340 \h </w:instrText>
            </w:r>
            <w:r w:rsidR="00445416" w:rsidRPr="00542A27">
              <w:rPr>
                <w:noProof/>
                <w:webHidden/>
                <w:lang w:val="en-US"/>
              </w:rPr>
            </w:r>
            <w:r w:rsidR="00445416" w:rsidRPr="00542A27">
              <w:rPr>
                <w:noProof/>
                <w:webHidden/>
                <w:lang w:val="en-US"/>
              </w:rPr>
              <w:fldChar w:fldCharType="separate"/>
            </w:r>
            <w:r w:rsidR="00445416" w:rsidRPr="00542A27">
              <w:rPr>
                <w:noProof/>
                <w:webHidden/>
                <w:lang w:val="en-US"/>
              </w:rPr>
              <w:t>18</w:t>
            </w:r>
            <w:r w:rsidR="00445416" w:rsidRPr="00542A27">
              <w:rPr>
                <w:noProof/>
                <w:webHidden/>
                <w:lang w:val="en-US"/>
              </w:rPr>
              <w:fldChar w:fldCharType="end"/>
            </w:r>
          </w:hyperlink>
        </w:p>
        <w:p w14:paraId="1733FA6E" w14:textId="2D0F826C" w:rsidR="00015E22" w:rsidRPr="00542A27" w:rsidRDefault="00015E22" w:rsidP="00015E22">
          <w:pPr>
            <w:rPr>
              <w:b/>
              <w:bCs/>
              <w:lang w:val="en-US"/>
            </w:rPr>
          </w:pPr>
          <w:r w:rsidRPr="00542A27">
            <w:rPr>
              <w:b/>
              <w:bCs/>
              <w:lang w:val="en-US"/>
            </w:rPr>
            <w:lastRenderedPageBreak/>
            <w:fldChar w:fldCharType="end"/>
          </w:r>
        </w:p>
      </w:sdtContent>
    </w:sdt>
    <w:p w14:paraId="30C1EF4F" w14:textId="77777777" w:rsidR="00015E22" w:rsidRPr="00542A27" w:rsidRDefault="00015E22" w:rsidP="00015E22">
      <w:pPr>
        <w:rPr>
          <w:lang w:val="en-US"/>
        </w:rPr>
      </w:pPr>
    </w:p>
    <w:p w14:paraId="05EB1577" w14:textId="0E4026C4" w:rsidR="00087463" w:rsidRPr="00542A27" w:rsidRDefault="00A96995" w:rsidP="003B3CEF">
      <w:pPr>
        <w:rPr>
          <w:lang w:val="en-US"/>
        </w:rPr>
      </w:pPr>
      <w:r w:rsidRPr="00542A27">
        <w:rPr>
          <w:lang w:val="en-US"/>
        </w:rPr>
        <w:t xml:space="preserve">Uwe </w:t>
      </w:r>
      <w:r w:rsidR="003B3CEF" w:rsidRPr="00542A27">
        <w:rPr>
          <w:lang w:val="en-US"/>
        </w:rPr>
        <w:t xml:space="preserve">Ricken </w:t>
      </w:r>
      <w:r w:rsidR="00125987" w:rsidRPr="00542A27">
        <w:rPr>
          <w:lang w:val="en-US"/>
        </w:rPr>
        <w:t xml:space="preserve">has been </w:t>
      </w:r>
      <w:r w:rsidR="0031215F" w:rsidRPr="00542A27">
        <w:rPr>
          <w:lang w:val="en-US"/>
        </w:rPr>
        <w:t xml:space="preserve">instructed </w:t>
      </w:r>
      <w:r w:rsidR="00125987" w:rsidRPr="00542A27">
        <w:rPr>
          <w:lang w:val="en-US"/>
        </w:rPr>
        <w:t xml:space="preserve">by </w:t>
      </w:r>
      <w:r w:rsidR="00E71B79">
        <w:rPr>
          <w:lang w:val="en-US"/>
        </w:rPr>
        <w:t xml:space="preserve">&lt;CUSTOMER_NAME&gt; </w:t>
      </w:r>
      <w:r w:rsidR="0031215F" w:rsidRPr="00542A27">
        <w:rPr>
          <w:lang w:val="en-US"/>
        </w:rPr>
        <w:t xml:space="preserve">to check the configuration </w:t>
      </w:r>
      <w:r w:rsidR="00087463" w:rsidRPr="00542A27">
        <w:rPr>
          <w:lang w:val="en-US"/>
        </w:rPr>
        <w:t xml:space="preserve">and the performance </w:t>
      </w:r>
      <w:r w:rsidR="0031215F" w:rsidRPr="00542A27">
        <w:rPr>
          <w:lang w:val="en-US"/>
        </w:rPr>
        <w:t>of a Microsoft SQL Server</w:t>
      </w:r>
      <w:r w:rsidR="00E71B79">
        <w:rPr>
          <w:lang w:val="en-US"/>
        </w:rPr>
        <w:t>.</w:t>
      </w:r>
      <w:r w:rsidR="0031215F" w:rsidRPr="00542A27">
        <w:rPr>
          <w:lang w:val="en-US"/>
        </w:rPr>
        <w:t xml:space="preserve"> </w:t>
      </w:r>
      <w:r w:rsidR="00087463" w:rsidRPr="00542A27">
        <w:rPr>
          <w:lang w:val="en-US"/>
        </w:rPr>
        <w:t>The analysis starte</w:t>
      </w:r>
      <w:r w:rsidR="00737A74" w:rsidRPr="00542A27">
        <w:rPr>
          <w:lang w:val="en-US"/>
        </w:rPr>
        <w:t>d</w:t>
      </w:r>
      <w:r w:rsidR="00087463" w:rsidRPr="00542A27">
        <w:rPr>
          <w:lang w:val="en-US"/>
        </w:rPr>
        <w:t xml:space="preserve"> at 11/02/2017 at 1:00PM.</w:t>
      </w:r>
    </w:p>
    <w:p w14:paraId="5742C0DD" w14:textId="3C39311C" w:rsidR="003B3CEF" w:rsidRPr="00542A27" w:rsidRDefault="00087463" w:rsidP="003B3CEF">
      <w:pPr>
        <w:pStyle w:val="berschrift1"/>
        <w:rPr>
          <w:lang w:val="en-US"/>
        </w:rPr>
      </w:pPr>
      <w:bookmarkStart w:id="2" w:name="_Toc497821305"/>
      <w:r w:rsidRPr="00542A27">
        <w:rPr>
          <w:lang w:val="en-US"/>
        </w:rPr>
        <w:t>Order Description</w:t>
      </w:r>
      <w:bookmarkEnd w:id="2"/>
    </w:p>
    <w:p w14:paraId="5ECBBE3C" w14:textId="112BA17F" w:rsidR="00087463" w:rsidRPr="00542A27" w:rsidRDefault="00E71B79" w:rsidP="003B3CEF">
      <w:pPr>
        <w:rPr>
          <w:lang w:val="en-US"/>
        </w:rPr>
      </w:pPr>
      <w:r>
        <w:rPr>
          <w:lang w:val="en-US"/>
        </w:rPr>
        <w:t>&lt;CUSTOMER_NAME&gt;</w:t>
      </w:r>
      <w:r w:rsidR="00C45FC4" w:rsidRPr="00542A27">
        <w:rPr>
          <w:lang w:val="en-US"/>
        </w:rPr>
        <w:t xml:space="preserve"> is running an application on a virtualized Microsoft SQL Server environment with a dedicat</w:t>
      </w:r>
      <w:r w:rsidR="00406399">
        <w:rPr>
          <w:lang w:val="en-US"/>
        </w:rPr>
        <w:t>ed test- and production system.</w:t>
      </w:r>
    </w:p>
    <w:p w14:paraId="2F58612E" w14:textId="40454348" w:rsidR="002F2651" w:rsidRPr="00542A27" w:rsidRDefault="00EB4916" w:rsidP="002F2651">
      <w:pPr>
        <w:pStyle w:val="Untertitel"/>
        <w:rPr>
          <w:lang w:val="en-US"/>
        </w:rPr>
      </w:pPr>
      <w:r w:rsidRPr="00542A27">
        <w:rPr>
          <w:lang w:val="en-US"/>
        </w:rPr>
        <w:t>Information</w:t>
      </w:r>
    </w:p>
    <w:p w14:paraId="3C32F29B" w14:textId="358510D0" w:rsidR="00EB4916" w:rsidRPr="00542A27" w:rsidRDefault="00EB4916" w:rsidP="002F2651">
      <w:pPr>
        <w:rPr>
          <w:lang w:val="en-US"/>
        </w:rPr>
      </w:pPr>
      <w:r w:rsidRPr="00542A27">
        <w:rPr>
          <w:lang w:val="en-US"/>
        </w:rPr>
        <w:t>The SQL Server has been restarte</w:t>
      </w:r>
      <w:r w:rsidR="00FB26EC" w:rsidRPr="00542A27">
        <w:rPr>
          <w:lang w:val="en-US"/>
        </w:rPr>
        <w:t>d</w:t>
      </w:r>
      <w:r w:rsidRPr="00542A27">
        <w:rPr>
          <w:lang w:val="en-US"/>
        </w:rPr>
        <w:t xml:space="preserve"> at 2017-10-17 01:22. All results are based on an uptime until 2017-11-01. </w:t>
      </w:r>
      <w:r w:rsidR="007334AB" w:rsidRPr="00542A27">
        <w:rPr>
          <w:lang w:val="en-US"/>
        </w:rPr>
        <w:t xml:space="preserve">Predictable </w:t>
      </w:r>
      <w:r w:rsidR="005E374F" w:rsidRPr="00542A27">
        <w:rPr>
          <w:lang w:val="en-US"/>
        </w:rPr>
        <w:t>long-term</w:t>
      </w:r>
      <w:r w:rsidR="007334AB" w:rsidRPr="00542A27">
        <w:rPr>
          <w:lang w:val="en-US"/>
        </w:rPr>
        <w:t xml:space="preserve"> influences cannot be valued by the collected performance counters!</w:t>
      </w:r>
    </w:p>
    <w:p w14:paraId="281C9CC1" w14:textId="0E6EA485" w:rsidR="00B60D15" w:rsidRPr="00542A27" w:rsidRDefault="007334AB" w:rsidP="00B60D15">
      <w:pPr>
        <w:pStyle w:val="berschrift1"/>
        <w:rPr>
          <w:lang w:val="en-US"/>
        </w:rPr>
      </w:pPr>
      <w:bookmarkStart w:id="3" w:name="_Toc497821306"/>
      <w:r w:rsidRPr="00542A27">
        <w:rPr>
          <w:lang w:val="en-US"/>
        </w:rPr>
        <w:t xml:space="preserve">Result of system analysis </w:t>
      </w:r>
      <w:r w:rsidR="00B60D15" w:rsidRPr="00542A27">
        <w:rPr>
          <w:lang w:val="en-US"/>
        </w:rPr>
        <w:t>(</w:t>
      </w:r>
      <w:r w:rsidRPr="00542A27">
        <w:rPr>
          <w:lang w:val="en-US"/>
        </w:rPr>
        <w:t>abstract</w:t>
      </w:r>
      <w:r w:rsidR="00B60D15" w:rsidRPr="00542A27">
        <w:rPr>
          <w:lang w:val="en-US"/>
        </w:rPr>
        <w:t>)</w:t>
      </w:r>
      <w:bookmarkEnd w:id="3"/>
    </w:p>
    <w:p w14:paraId="45AA309F" w14:textId="12AA1DCF" w:rsidR="007334AB" w:rsidRPr="00542A27" w:rsidRDefault="007334AB" w:rsidP="00EE481B">
      <w:pPr>
        <w:pStyle w:val="Aufzhlungszeichen"/>
        <w:rPr>
          <w:lang w:val="en-US"/>
        </w:rPr>
      </w:pPr>
      <w:r w:rsidRPr="00542A27">
        <w:rPr>
          <w:lang w:val="en-US"/>
        </w:rPr>
        <w:t>Missing Service Pack for Microsoft SQL Server 2012</w:t>
      </w:r>
      <w:r w:rsidRPr="00542A27">
        <w:rPr>
          <w:rStyle w:val="Funotenzeichen"/>
          <w:lang w:val="en-US"/>
        </w:rPr>
        <w:footnoteReference w:id="2"/>
      </w:r>
    </w:p>
    <w:p w14:paraId="328E5404" w14:textId="6F75C371" w:rsidR="00401836" w:rsidRPr="00542A27" w:rsidRDefault="00401836" w:rsidP="00EE481B">
      <w:pPr>
        <w:pStyle w:val="Aufzhlungszeichen"/>
        <w:rPr>
          <w:lang w:val="en-US"/>
        </w:rPr>
      </w:pPr>
      <w:r w:rsidRPr="00542A27">
        <w:rPr>
          <w:lang w:val="en-US"/>
        </w:rPr>
        <w:t xml:space="preserve">Important </w:t>
      </w:r>
      <w:r w:rsidR="00023899" w:rsidRPr="00542A27">
        <w:rPr>
          <w:lang w:val="en-US"/>
        </w:rPr>
        <w:t>trace flags</w:t>
      </w:r>
      <w:r w:rsidRPr="00542A27">
        <w:rPr>
          <w:lang w:val="en-US"/>
        </w:rPr>
        <w:t xml:space="preserve"> for startup are not configured for the SQL Server (page </w:t>
      </w:r>
      <w:r w:rsidRPr="00542A27">
        <w:rPr>
          <w:lang w:val="en-US"/>
        </w:rPr>
        <w:fldChar w:fldCharType="begin"/>
      </w:r>
      <w:r w:rsidRPr="00542A27">
        <w:rPr>
          <w:lang w:val="en-US"/>
        </w:rPr>
        <w:instrText xml:space="preserve"> PAGEREF _Ref477498573 \h </w:instrText>
      </w:r>
      <w:r w:rsidRPr="00542A27">
        <w:rPr>
          <w:lang w:val="en-US"/>
        </w:rPr>
      </w:r>
      <w:r w:rsidRPr="00542A27">
        <w:rPr>
          <w:lang w:val="en-US"/>
        </w:rPr>
        <w:fldChar w:fldCharType="separate"/>
      </w:r>
      <w:r w:rsidRPr="00542A27">
        <w:rPr>
          <w:noProof/>
          <w:lang w:val="en-US"/>
        </w:rPr>
        <w:t>6</w:t>
      </w:r>
      <w:r w:rsidRPr="00542A27">
        <w:rPr>
          <w:lang w:val="en-US"/>
        </w:rPr>
        <w:fldChar w:fldCharType="end"/>
      </w:r>
      <w:r w:rsidRPr="00542A27">
        <w:rPr>
          <w:lang w:val="en-US"/>
        </w:rPr>
        <w:t>)</w:t>
      </w:r>
    </w:p>
    <w:p w14:paraId="55A28D66" w14:textId="28086E14" w:rsidR="00EF0174" w:rsidRPr="00542A27" w:rsidRDefault="00EF0174" w:rsidP="00EE481B">
      <w:pPr>
        <w:pStyle w:val="Aufzhlungszeichen"/>
        <w:rPr>
          <w:lang w:val="en-US"/>
        </w:rPr>
      </w:pPr>
      <w:r w:rsidRPr="00542A27">
        <w:rPr>
          <w:lang w:val="en-US"/>
        </w:rPr>
        <w:t>High drive latency on DATA storage</w:t>
      </w:r>
    </w:p>
    <w:p w14:paraId="1692037F" w14:textId="0AB2D73C" w:rsidR="00EF0174" w:rsidRPr="00542A27" w:rsidRDefault="00EF0174" w:rsidP="00EE481B">
      <w:pPr>
        <w:pStyle w:val="Aufzhlungszeichen"/>
        <w:rPr>
          <w:lang w:val="en-US"/>
        </w:rPr>
      </w:pPr>
      <w:r w:rsidRPr="00542A27">
        <w:rPr>
          <w:lang w:val="en-US"/>
        </w:rPr>
        <w:t>Database</w:t>
      </w:r>
      <w:r w:rsidR="00445416" w:rsidRPr="00542A27">
        <w:rPr>
          <w:lang w:val="en-US"/>
        </w:rPr>
        <w:t>s</w:t>
      </w:r>
      <w:r w:rsidRPr="00542A27">
        <w:rPr>
          <w:lang w:val="en-US"/>
        </w:rPr>
        <w:t xml:space="preserve"> are running in mode of SQL 2005</w:t>
      </w:r>
    </w:p>
    <w:p w14:paraId="3CF68CAD" w14:textId="09F7D438" w:rsidR="00445416" w:rsidRPr="00542A27" w:rsidRDefault="00445416" w:rsidP="00EE481B">
      <w:pPr>
        <w:pStyle w:val="Aufzhlungszeichen"/>
        <w:rPr>
          <w:lang w:val="en-US"/>
        </w:rPr>
      </w:pPr>
      <w:r w:rsidRPr="00542A27">
        <w:rPr>
          <w:lang w:val="en-US"/>
        </w:rPr>
        <w:t xml:space="preserve">Databases are running in mode of SQL 2008 </w:t>
      </w:r>
    </w:p>
    <w:p w14:paraId="4121323D" w14:textId="297BD0E1" w:rsidR="0023486A" w:rsidRPr="00542A27" w:rsidRDefault="0023486A" w:rsidP="0023486A">
      <w:pPr>
        <w:pStyle w:val="Aufzhlungszeichen"/>
        <w:rPr>
          <w:lang w:val="en-US"/>
        </w:rPr>
      </w:pPr>
      <w:r w:rsidRPr="00542A27">
        <w:rPr>
          <w:lang w:val="en-US"/>
        </w:rPr>
        <w:t xml:space="preserve">Wrong configured configuration values for parallelism (page </w:t>
      </w:r>
      <w:r w:rsidRPr="00542A27">
        <w:rPr>
          <w:lang w:val="en-US"/>
        </w:rPr>
        <w:fldChar w:fldCharType="begin"/>
      </w:r>
      <w:r w:rsidRPr="00542A27">
        <w:rPr>
          <w:lang w:val="en-US"/>
        </w:rPr>
        <w:instrText xml:space="preserve"> PAGEREF _Ref477500289 \h </w:instrText>
      </w:r>
      <w:r w:rsidRPr="00542A27">
        <w:rPr>
          <w:lang w:val="en-US"/>
        </w:rPr>
      </w:r>
      <w:r w:rsidRPr="00542A27">
        <w:rPr>
          <w:lang w:val="en-US"/>
        </w:rPr>
        <w:fldChar w:fldCharType="separate"/>
      </w:r>
      <w:r w:rsidRPr="00542A27">
        <w:rPr>
          <w:noProof/>
          <w:lang w:val="en-US"/>
        </w:rPr>
        <w:t>9</w:t>
      </w:r>
      <w:r w:rsidRPr="00542A27">
        <w:rPr>
          <w:lang w:val="en-US"/>
        </w:rPr>
        <w:fldChar w:fldCharType="end"/>
      </w:r>
      <w:r w:rsidRPr="00542A27">
        <w:rPr>
          <w:lang w:val="en-US"/>
        </w:rPr>
        <w:t>)</w:t>
      </w:r>
    </w:p>
    <w:p w14:paraId="6673CB0E" w14:textId="7E1213E4" w:rsidR="00EF0174" w:rsidRPr="00542A27" w:rsidRDefault="00EF0174" w:rsidP="0023486A">
      <w:pPr>
        <w:pStyle w:val="Aufzhlungszeichen"/>
        <w:rPr>
          <w:lang w:val="en-US"/>
        </w:rPr>
      </w:pPr>
      <w:r w:rsidRPr="00542A27">
        <w:rPr>
          <w:lang w:val="en-US"/>
        </w:rPr>
        <w:t>High proportion of parallel queries &gt;65%</w:t>
      </w:r>
    </w:p>
    <w:p w14:paraId="732D792B" w14:textId="39CD9F38" w:rsidR="00401836" w:rsidRPr="00542A27" w:rsidRDefault="00EF0174" w:rsidP="00EE481B">
      <w:pPr>
        <w:pStyle w:val="Aufzhlungszeichen"/>
        <w:rPr>
          <w:lang w:val="en-US"/>
        </w:rPr>
      </w:pPr>
      <w:r w:rsidRPr="00542A27">
        <w:rPr>
          <w:lang w:val="en-US"/>
        </w:rPr>
        <w:t>Wrong configuration of NUMA</w:t>
      </w:r>
    </w:p>
    <w:p w14:paraId="4862B9F3" w14:textId="65226378" w:rsidR="00AC10C5" w:rsidRPr="00542A27" w:rsidRDefault="0081561A" w:rsidP="00401451">
      <w:pPr>
        <w:pStyle w:val="berschrift1"/>
        <w:rPr>
          <w:lang w:val="en-US"/>
        </w:rPr>
      </w:pPr>
      <w:bookmarkStart w:id="4" w:name="_Toc497821307"/>
      <w:r w:rsidRPr="00542A27">
        <w:rPr>
          <w:lang w:val="en-US"/>
        </w:rPr>
        <w:t>Technical configuration</w:t>
      </w:r>
      <w:bookmarkEnd w:id="4"/>
    </w:p>
    <w:p w14:paraId="0E848C4D" w14:textId="77777777" w:rsidR="00AC10C5" w:rsidRPr="00542A27" w:rsidRDefault="00AC10C5" w:rsidP="00FA2C22">
      <w:pPr>
        <w:pStyle w:val="berschrift2"/>
        <w:rPr>
          <w:lang w:val="en-US"/>
        </w:rPr>
      </w:pPr>
      <w:bookmarkStart w:id="5" w:name="_Toc497821308"/>
      <w:r w:rsidRPr="00542A27">
        <w:rPr>
          <w:lang w:val="en-US"/>
        </w:rPr>
        <w:t>Hardware</w:t>
      </w:r>
      <w:bookmarkEnd w:id="5"/>
    </w:p>
    <w:p w14:paraId="1BA912AB" w14:textId="2156DB37" w:rsidR="000007F7" w:rsidRPr="00542A27" w:rsidRDefault="000007F7" w:rsidP="00AC10C5">
      <w:pPr>
        <w:rPr>
          <w:lang w:val="en-US"/>
        </w:rPr>
      </w:pPr>
      <w:r w:rsidRPr="00542A27">
        <w:rPr>
          <w:lang w:val="en-US"/>
        </w:rPr>
        <w:t>The physical hardware was not a component of the analysis.</w:t>
      </w:r>
    </w:p>
    <w:p w14:paraId="6C8816ED" w14:textId="149127C0" w:rsidR="00FA2C22" w:rsidRPr="00542A27" w:rsidRDefault="00023899" w:rsidP="00FA2C22">
      <w:pPr>
        <w:pStyle w:val="berschrift2"/>
        <w:rPr>
          <w:lang w:val="en-US"/>
        </w:rPr>
      </w:pPr>
      <w:r w:rsidRPr="00542A27">
        <w:rPr>
          <w:lang w:val="en-US"/>
        </w:rPr>
        <w:t>Virtualization</w:t>
      </w:r>
    </w:p>
    <w:p w14:paraId="64BD53DF" w14:textId="0E432E2D" w:rsidR="00F953D5" w:rsidRPr="00542A27" w:rsidRDefault="00F953D5" w:rsidP="00FA2C22">
      <w:pPr>
        <w:rPr>
          <w:lang w:val="en-US"/>
        </w:rPr>
      </w:pPr>
      <w:r w:rsidRPr="00542A27">
        <w:rPr>
          <w:lang w:val="en-US"/>
        </w:rPr>
        <w:t xml:space="preserve">The settings/configuration of the host system was no component of the analysis but </w:t>
      </w:r>
      <w:r w:rsidR="005B4B73" w:rsidRPr="00542A27">
        <w:rPr>
          <w:lang w:val="en-US"/>
        </w:rPr>
        <w:t>should be run separately to ensure a configuration under “best practice” for VMware.</w:t>
      </w:r>
    </w:p>
    <w:p w14:paraId="76971D58" w14:textId="734FC8F5" w:rsidR="002B25F9" w:rsidRPr="00542A27" w:rsidRDefault="002B25F9" w:rsidP="002B25F9">
      <w:pPr>
        <w:pStyle w:val="berschrift2"/>
        <w:rPr>
          <w:lang w:val="en-US"/>
        </w:rPr>
      </w:pPr>
      <w:bookmarkStart w:id="6" w:name="_Toc497821310"/>
      <w:r w:rsidRPr="00542A27">
        <w:rPr>
          <w:lang w:val="en-US"/>
        </w:rPr>
        <w:t xml:space="preserve">Microsoft Windows </w:t>
      </w:r>
      <w:r w:rsidR="005B4B73" w:rsidRPr="00542A27">
        <w:rPr>
          <w:lang w:val="en-US"/>
        </w:rPr>
        <w:t>Operating System</w:t>
      </w:r>
      <w:bookmarkEnd w:id="6"/>
    </w:p>
    <w:p w14:paraId="4A1105F0" w14:textId="3148F4F0" w:rsidR="00726ABC" w:rsidRPr="00542A27" w:rsidRDefault="00E3705F" w:rsidP="002B25F9">
      <w:pPr>
        <w:rPr>
          <w:lang w:val="en-US"/>
        </w:rPr>
      </w:pPr>
      <w:r w:rsidRPr="00542A27">
        <w:rPr>
          <w:lang w:val="en-US"/>
        </w:rPr>
        <w:t xml:space="preserve">Microsoft SQL Server 2012 is running with Windows Server 2012. It is configured with 16 </w:t>
      </w:r>
      <w:proofErr w:type="spellStart"/>
      <w:r w:rsidRPr="00542A27">
        <w:rPr>
          <w:lang w:val="en-US"/>
        </w:rPr>
        <w:t>vCores</w:t>
      </w:r>
      <w:proofErr w:type="spellEnd"/>
      <w:r w:rsidRPr="00542A27">
        <w:rPr>
          <w:lang w:val="en-US"/>
        </w:rPr>
        <w:t xml:space="preserve"> and 64 GB RAM.</w:t>
      </w:r>
    </w:p>
    <w:tbl>
      <w:tblPr>
        <w:tblStyle w:val="Gitternetztabelle2Akzent1"/>
        <w:tblW w:w="0" w:type="auto"/>
        <w:tblLook w:val="04A0" w:firstRow="1" w:lastRow="0" w:firstColumn="1" w:lastColumn="0" w:noHBand="0" w:noVBand="1"/>
      </w:tblPr>
      <w:tblGrid>
        <w:gridCol w:w="1043"/>
        <w:gridCol w:w="1720"/>
        <w:gridCol w:w="1928"/>
        <w:gridCol w:w="2462"/>
        <w:gridCol w:w="1919"/>
      </w:tblGrid>
      <w:tr w:rsidR="00726ABC" w:rsidRPr="00542A27" w14:paraId="19B05DF5" w14:textId="77777777" w:rsidTr="0010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4DB8B9CA" w14:textId="37147D33" w:rsidR="00726ABC" w:rsidRPr="00542A27" w:rsidRDefault="00726ABC" w:rsidP="00726ABC">
            <w:pPr>
              <w:rPr>
                <w:lang w:val="en-US"/>
              </w:rPr>
            </w:pPr>
            <w:r w:rsidRPr="00542A27">
              <w:rPr>
                <w:lang w:val="en-US"/>
              </w:rPr>
              <w:t>CPU</w:t>
            </w:r>
          </w:p>
        </w:tc>
        <w:tc>
          <w:tcPr>
            <w:tcW w:w="1720" w:type="dxa"/>
          </w:tcPr>
          <w:p w14:paraId="42BC593E" w14:textId="77777777" w:rsidR="00726ABC" w:rsidRPr="00542A27" w:rsidRDefault="00726ABC" w:rsidP="00EE036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PhysicalMem_GB</w:t>
            </w:r>
            <w:proofErr w:type="spellEnd"/>
          </w:p>
        </w:tc>
        <w:tc>
          <w:tcPr>
            <w:tcW w:w="1928" w:type="dxa"/>
          </w:tcPr>
          <w:p w14:paraId="4EB877B7" w14:textId="77777777" w:rsidR="00726ABC" w:rsidRPr="00542A27" w:rsidRDefault="00726ABC" w:rsidP="00EE036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CommittedMem_GB</w:t>
            </w:r>
            <w:proofErr w:type="spellEnd"/>
          </w:p>
        </w:tc>
        <w:tc>
          <w:tcPr>
            <w:tcW w:w="2462" w:type="dxa"/>
          </w:tcPr>
          <w:p w14:paraId="15D5794E" w14:textId="77777777" w:rsidR="00726ABC" w:rsidRPr="00542A27" w:rsidRDefault="00726ABC" w:rsidP="00EE036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CommittedTargetMem_GB</w:t>
            </w:r>
            <w:proofErr w:type="spellEnd"/>
          </w:p>
        </w:tc>
        <w:tc>
          <w:tcPr>
            <w:tcW w:w="1919" w:type="dxa"/>
          </w:tcPr>
          <w:p w14:paraId="399B664D" w14:textId="77777777" w:rsidR="00726ABC" w:rsidRPr="00542A27" w:rsidRDefault="00726ABC" w:rsidP="00EE036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max_workers_count</w:t>
            </w:r>
            <w:proofErr w:type="spellEnd"/>
          </w:p>
        </w:tc>
      </w:tr>
      <w:tr w:rsidR="00E3705F" w:rsidRPr="00542A27" w14:paraId="031C3CA2" w14:textId="77777777" w:rsidTr="00B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1E114C82" w14:textId="340D9FD5" w:rsidR="00E3705F" w:rsidRPr="00542A27" w:rsidRDefault="00E3705F" w:rsidP="00E3705F">
            <w:pPr>
              <w:jc w:val="center"/>
              <w:rPr>
                <w:lang w:val="en-US"/>
              </w:rPr>
            </w:pPr>
            <w:r w:rsidRPr="00542A27">
              <w:rPr>
                <w:lang w:val="en-US"/>
              </w:rPr>
              <w:t>16</w:t>
            </w:r>
          </w:p>
        </w:tc>
        <w:tc>
          <w:tcPr>
            <w:tcW w:w="1720" w:type="dxa"/>
          </w:tcPr>
          <w:p w14:paraId="18B0DC2A" w14:textId="2D949F0D" w:rsidR="00E3705F" w:rsidRPr="00542A27" w:rsidRDefault="00E3705F" w:rsidP="00E3705F">
            <w:pPr>
              <w:jc w:val="cente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64.00</w:t>
            </w:r>
          </w:p>
        </w:tc>
        <w:tc>
          <w:tcPr>
            <w:tcW w:w="1928" w:type="dxa"/>
          </w:tcPr>
          <w:p w14:paraId="53FAEEEE" w14:textId="44FE2312" w:rsidR="00E3705F" w:rsidRPr="00542A27" w:rsidRDefault="00E3705F" w:rsidP="00E3705F">
            <w:pPr>
              <w:jc w:val="cente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58.54</w:t>
            </w:r>
          </w:p>
        </w:tc>
        <w:tc>
          <w:tcPr>
            <w:tcW w:w="2462" w:type="dxa"/>
          </w:tcPr>
          <w:p w14:paraId="5CACF8BA" w14:textId="29061999" w:rsidR="00E3705F" w:rsidRPr="00542A27" w:rsidRDefault="00E3705F" w:rsidP="00E3705F">
            <w:pPr>
              <w:jc w:val="cente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58.59</w:t>
            </w:r>
          </w:p>
        </w:tc>
        <w:tc>
          <w:tcPr>
            <w:tcW w:w="1919" w:type="dxa"/>
          </w:tcPr>
          <w:p w14:paraId="72CED05C" w14:textId="22B43A9E" w:rsidR="00E3705F" w:rsidRPr="00542A27" w:rsidRDefault="00E3705F" w:rsidP="00E3705F">
            <w:pPr>
              <w:jc w:val="cente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704</w:t>
            </w:r>
          </w:p>
        </w:tc>
      </w:tr>
    </w:tbl>
    <w:p w14:paraId="4D42A73B" w14:textId="293ABEDC" w:rsidR="00726ABC" w:rsidRPr="00542A27" w:rsidRDefault="00726ABC" w:rsidP="00726ABC">
      <w:pPr>
        <w:rPr>
          <w:lang w:val="en-US"/>
        </w:rPr>
      </w:pPr>
    </w:p>
    <w:p w14:paraId="6D1DDD2C" w14:textId="2B580B16" w:rsidR="002B25F9" w:rsidRPr="00542A27" w:rsidRDefault="002B25F9" w:rsidP="002B25F9">
      <w:pPr>
        <w:pStyle w:val="berschrift2"/>
        <w:rPr>
          <w:lang w:val="en-US"/>
        </w:rPr>
      </w:pPr>
      <w:bookmarkStart w:id="7" w:name="_Toc497821311"/>
      <w:r w:rsidRPr="00542A27">
        <w:rPr>
          <w:lang w:val="en-US"/>
        </w:rPr>
        <w:t>Microsoft SQL Server</w:t>
      </w:r>
      <w:bookmarkEnd w:id="7"/>
    </w:p>
    <w:p w14:paraId="3FF7AEF6" w14:textId="7BD25DA6" w:rsidR="00211EEC" w:rsidRPr="00542A27" w:rsidRDefault="00747DF2" w:rsidP="00747DF2">
      <w:pPr>
        <w:rPr>
          <w:lang w:val="en-US"/>
        </w:rPr>
      </w:pPr>
      <w:r w:rsidRPr="00542A27">
        <w:rPr>
          <w:lang w:val="en-US"/>
        </w:rPr>
        <w:t>The researched System is a Microsoft SQL Server 2012 Enterprise Edition (64bit). SQL Server is installed as a DEFAULT instance with the actual patch level 11.0.6518.0.</w:t>
      </w:r>
    </w:p>
    <w:p w14:paraId="512C3CB8" w14:textId="465157CF" w:rsidR="007A75F8" w:rsidRPr="00542A27" w:rsidRDefault="007A75F8" w:rsidP="007A75F8">
      <w:pPr>
        <w:pStyle w:val="berschrift1"/>
        <w:rPr>
          <w:lang w:val="en-US"/>
        </w:rPr>
      </w:pPr>
      <w:bookmarkStart w:id="8" w:name="_Toc497821312"/>
      <w:r w:rsidRPr="00542A27">
        <w:rPr>
          <w:lang w:val="en-US"/>
        </w:rPr>
        <w:lastRenderedPageBreak/>
        <w:t>Survey result</w:t>
      </w:r>
      <w:bookmarkEnd w:id="8"/>
    </w:p>
    <w:p w14:paraId="7A9CA71D" w14:textId="08A8A4B7" w:rsidR="006B55A9" w:rsidRPr="00542A27" w:rsidRDefault="00747DF2" w:rsidP="00747DF2">
      <w:pPr>
        <w:rPr>
          <w:lang w:val="en-US"/>
        </w:rPr>
      </w:pPr>
      <w:r w:rsidRPr="00542A27">
        <w:rPr>
          <w:lang w:val="en-US"/>
        </w:rPr>
        <w:t>The research was following a „top-down-</w:t>
      </w:r>
      <w:proofErr w:type="gramStart"/>
      <w:r w:rsidR="00023899" w:rsidRPr="00542A27">
        <w:rPr>
          <w:lang w:val="en-US"/>
        </w:rPr>
        <w:t>method</w:t>
      </w:r>
      <w:r w:rsidRPr="00542A27">
        <w:rPr>
          <w:lang w:val="en-US"/>
        </w:rPr>
        <w:t>“</w:t>
      </w:r>
      <w:proofErr w:type="gramEnd"/>
      <w:r w:rsidRPr="00542A27">
        <w:rPr>
          <w:lang w:val="en-US"/>
        </w:rPr>
        <w:t>. Due to lack of permissions the focus was only on the SQL Server and its fundamental environment settings.</w:t>
      </w:r>
    </w:p>
    <w:p w14:paraId="3847BCC3" w14:textId="22F5B1C8" w:rsidR="00E8315F" w:rsidRPr="00542A27" w:rsidRDefault="00747DF2" w:rsidP="00E8315F">
      <w:pPr>
        <w:pStyle w:val="berschrift2"/>
        <w:rPr>
          <w:lang w:val="en-US"/>
        </w:rPr>
      </w:pPr>
      <w:bookmarkStart w:id="9" w:name="_Toc497821313"/>
      <w:r w:rsidRPr="00542A27">
        <w:rPr>
          <w:lang w:val="en-US"/>
        </w:rPr>
        <w:t>Operating System</w:t>
      </w:r>
      <w:bookmarkEnd w:id="9"/>
    </w:p>
    <w:p w14:paraId="46B1FE60" w14:textId="3C2188F9" w:rsidR="00747DF2" w:rsidRPr="00542A27" w:rsidRDefault="00747DF2" w:rsidP="00E8315F">
      <w:pPr>
        <w:rPr>
          <w:lang w:val="en-US"/>
        </w:rPr>
      </w:pPr>
      <w:r w:rsidRPr="00542A27">
        <w:rPr>
          <w:lang w:val="en-US"/>
        </w:rPr>
        <w:t>Microsoft SQL Server is running on an ESX-Host. A survey of the Hypervisor couldn’t be done because of missing permissions on the box.</w:t>
      </w:r>
    </w:p>
    <w:p w14:paraId="59E8DD7C" w14:textId="0A60DC34" w:rsidR="002453B4" w:rsidRPr="00542A27" w:rsidRDefault="00023899" w:rsidP="002453B4">
      <w:pPr>
        <w:pStyle w:val="berschrift2"/>
        <w:rPr>
          <w:lang w:val="en-US"/>
        </w:rPr>
      </w:pPr>
      <w:r w:rsidRPr="00542A27">
        <w:rPr>
          <w:lang w:val="en-US"/>
        </w:rPr>
        <w:t>Service pack</w:t>
      </w:r>
    </w:p>
    <w:p w14:paraId="0E4A4F3B" w14:textId="5B924889" w:rsidR="002453B4" w:rsidRPr="00542A27" w:rsidRDefault="00747DF2" w:rsidP="002453B4">
      <w:pPr>
        <w:rPr>
          <w:lang w:val="en-US"/>
        </w:rPr>
      </w:pPr>
      <w:r w:rsidRPr="00542A27">
        <w:rPr>
          <w:lang w:val="en-US"/>
        </w:rPr>
        <w:t xml:space="preserve">Microsoft SQL Server is running with SP3 (CU1) from January 2016!). It </w:t>
      </w:r>
      <w:r w:rsidR="00475B84" w:rsidRPr="00542A27">
        <w:rPr>
          <w:lang w:val="en-US"/>
        </w:rPr>
        <w:t>is recommended to update to SP4 from October 2017.</w:t>
      </w:r>
    </w:p>
    <w:p w14:paraId="6133BD92" w14:textId="625C0A5E" w:rsidR="00460DE8" w:rsidRPr="00542A27" w:rsidRDefault="00475B84" w:rsidP="00460DE8">
      <w:pPr>
        <w:pStyle w:val="berschrift2"/>
        <w:rPr>
          <w:lang w:val="en-US"/>
        </w:rPr>
      </w:pPr>
      <w:bookmarkStart w:id="10" w:name="_Toc497821315"/>
      <w:r w:rsidRPr="00542A27">
        <w:rPr>
          <w:lang w:val="en-US"/>
        </w:rPr>
        <w:t>HDD</w:t>
      </w:r>
      <w:r w:rsidR="00223E04" w:rsidRPr="00542A27">
        <w:rPr>
          <w:lang w:val="en-US"/>
        </w:rPr>
        <w:t xml:space="preserve"> </w:t>
      </w:r>
      <w:r w:rsidR="00460DE8" w:rsidRPr="00542A27">
        <w:rPr>
          <w:lang w:val="en-US"/>
        </w:rPr>
        <w:t>/ Storage</w:t>
      </w:r>
      <w:bookmarkEnd w:id="10"/>
    </w:p>
    <w:p w14:paraId="06C8F58B" w14:textId="0F736617" w:rsidR="007A75F8" w:rsidRPr="00542A27" w:rsidRDefault="007A75F8" w:rsidP="007A75F8">
      <w:pPr>
        <w:rPr>
          <w:lang w:val="en-US"/>
        </w:rPr>
      </w:pPr>
      <w:r w:rsidRPr="00542A27">
        <w:rPr>
          <w:lang w:val="en-US"/>
        </w:rPr>
        <w:t>Microsoft SQL Server is running with 5 virtual disks (</w:t>
      </w:r>
      <w:proofErr w:type="gramStart"/>
      <w:r w:rsidR="00C55C7A" w:rsidRPr="00542A27">
        <w:rPr>
          <w:lang w:val="en-US"/>
        </w:rPr>
        <w:t>C</w:t>
      </w:r>
      <w:r w:rsidR="004853ED">
        <w:rPr>
          <w:lang w:val="en-US"/>
        </w:rPr>
        <w:t>:,</w:t>
      </w:r>
      <w:proofErr w:type="gramEnd"/>
      <w:r w:rsidR="00DB20B3" w:rsidRPr="00542A27">
        <w:rPr>
          <w:lang w:val="en-US"/>
        </w:rPr>
        <w:t xml:space="preserve"> </w:t>
      </w:r>
      <w:r w:rsidRPr="00542A27">
        <w:rPr>
          <w:lang w:val="en-US"/>
        </w:rPr>
        <w:t xml:space="preserve">D:, </w:t>
      </w:r>
      <w:r w:rsidR="0078049F" w:rsidRPr="00542A27">
        <w:rPr>
          <w:lang w:val="en-US"/>
        </w:rPr>
        <w:t>E</w:t>
      </w:r>
      <w:r w:rsidR="00DB20B3" w:rsidRPr="00542A27">
        <w:rPr>
          <w:lang w:val="en-US"/>
        </w:rPr>
        <w:t>:</w:t>
      </w:r>
      <w:r w:rsidR="003E70AA" w:rsidRPr="00542A27">
        <w:rPr>
          <w:lang w:val="en-US"/>
        </w:rPr>
        <w:t>, F:</w:t>
      </w:r>
      <w:r w:rsidRPr="00542A27">
        <w:rPr>
          <w:lang w:val="en-US"/>
        </w:rPr>
        <w:t xml:space="preserve">, </w:t>
      </w:r>
      <w:r w:rsidR="003E70AA" w:rsidRPr="00542A27">
        <w:rPr>
          <w:lang w:val="en-US"/>
        </w:rPr>
        <w:t>H:</w:t>
      </w:r>
      <w:r w:rsidR="00C55C7A" w:rsidRPr="00542A27">
        <w:rPr>
          <w:lang w:val="en-US"/>
        </w:rPr>
        <w:t xml:space="preserve">). </w:t>
      </w:r>
      <w:r w:rsidRPr="00542A27">
        <w:rPr>
          <w:lang w:val="en-US"/>
        </w:rPr>
        <w:t>The s</w:t>
      </w:r>
      <w:r w:rsidR="00C55C7A" w:rsidRPr="00542A27">
        <w:rPr>
          <w:lang w:val="en-US"/>
        </w:rPr>
        <w:t>ystem</w:t>
      </w:r>
      <w:r w:rsidRPr="00542A27">
        <w:rPr>
          <w:lang w:val="en-US"/>
        </w:rPr>
        <w:t xml:space="preserve"> databases </w:t>
      </w:r>
      <w:r w:rsidR="00C55C7A" w:rsidRPr="00542A27">
        <w:rPr>
          <w:lang w:val="en-US"/>
        </w:rPr>
        <w:t xml:space="preserve">(master, model, </w:t>
      </w:r>
      <w:proofErr w:type="spellStart"/>
      <w:r w:rsidR="00C55C7A" w:rsidRPr="00542A27">
        <w:rPr>
          <w:lang w:val="en-US"/>
        </w:rPr>
        <w:t>msd</w:t>
      </w:r>
      <w:r w:rsidR="00023899">
        <w:rPr>
          <w:lang w:val="en-US"/>
        </w:rPr>
        <w:t>b</w:t>
      </w:r>
      <w:proofErr w:type="spellEnd"/>
      <w:r w:rsidR="00C55C7A" w:rsidRPr="00542A27">
        <w:rPr>
          <w:lang w:val="en-US"/>
        </w:rPr>
        <w:t xml:space="preserve">) </w:t>
      </w:r>
      <w:r w:rsidRPr="00542A27">
        <w:rPr>
          <w:lang w:val="en-US"/>
        </w:rPr>
        <w:t>are hosted on Drive D</w:t>
      </w:r>
      <w:r w:rsidR="00C55C7A" w:rsidRPr="00542A27">
        <w:rPr>
          <w:lang w:val="en-US"/>
        </w:rPr>
        <w:t>:</w:t>
      </w:r>
      <w:r w:rsidRPr="00542A27">
        <w:rPr>
          <w:lang w:val="en-US"/>
        </w:rPr>
        <w:t xml:space="preserve"> </w:t>
      </w:r>
      <w:r w:rsidR="00C55C7A" w:rsidRPr="00542A27">
        <w:rPr>
          <w:lang w:val="en-US"/>
        </w:rPr>
        <w:t xml:space="preserve">TEMPDB </w:t>
      </w:r>
      <w:r w:rsidRPr="00542A27">
        <w:rPr>
          <w:lang w:val="en-US"/>
        </w:rPr>
        <w:t xml:space="preserve">is located on drive </w:t>
      </w:r>
      <w:r w:rsidR="00384EDC" w:rsidRPr="00542A27">
        <w:rPr>
          <w:lang w:val="en-US"/>
        </w:rPr>
        <w:t xml:space="preserve">H: </w:t>
      </w:r>
      <w:r w:rsidRPr="00542A27">
        <w:rPr>
          <w:lang w:val="en-US"/>
        </w:rPr>
        <w:t>All user databases are hosted on drives E: (data) and F: (logs). The author cannot investigate the formatted block size of the storage! Best practice is a block size of 64Kbytes for the data and log disks</w:t>
      </w:r>
    </w:p>
    <w:p w14:paraId="7701BA24" w14:textId="2E991F52" w:rsidR="00D3022D" w:rsidRPr="00542A27" w:rsidRDefault="00D3022D" w:rsidP="00D3022D">
      <w:pPr>
        <w:pStyle w:val="berschrift2"/>
        <w:rPr>
          <w:lang w:val="en-US"/>
        </w:rPr>
      </w:pPr>
      <w:bookmarkStart w:id="11" w:name="_Ref477497838"/>
      <w:bookmarkStart w:id="12" w:name="_Toc497821316"/>
      <w:r w:rsidRPr="00542A27">
        <w:rPr>
          <w:lang w:val="en-US"/>
        </w:rPr>
        <w:t>Instant File Initialization</w:t>
      </w:r>
      <w:bookmarkEnd w:id="11"/>
      <w:bookmarkEnd w:id="12"/>
    </w:p>
    <w:p w14:paraId="44214139" w14:textId="77777777" w:rsidR="007A75F8" w:rsidRPr="00542A27" w:rsidRDefault="007A75F8" w:rsidP="007A75F8">
      <w:pPr>
        <w:rPr>
          <w:lang w:val="en-US"/>
        </w:rPr>
      </w:pPr>
      <w:r w:rsidRPr="00542A27">
        <w:rPr>
          <w:lang w:val="en-US"/>
        </w:rPr>
        <w:t>This option allows for much faster data file allocations (CREATE AND ALTER FILE) but DOES NOT WORK FOR LOG FILE ALLOCATIONS. This is enabled for each instance via the "Perform volume maintenance tasks" local security policy.</w:t>
      </w:r>
    </w:p>
    <w:p w14:paraId="4E3D2F64" w14:textId="06857BC0" w:rsidR="00D3022D" w:rsidRPr="00542A27" w:rsidRDefault="007A75F8" w:rsidP="007A75F8">
      <w:pPr>
        <w:rPr>
          <w:lang w:val="en-US"/>
        </w:rPr>
      </w:pPr>
      <w:r w:rsidRPr="00542A27">
        <w:rPr>
          <w:lang w:val="en-US"/>
        </w:rPr>
        <w:t xml:space="preserve">This permission </w:t>
      </w:r>
      <w:r w:rsidR="0018486E">
        <w:rPr>
          <w:lang w:val="en-US"/>
        </w:rPr>
        <w:t>prevents</w:t>
      </w:r>
      <w:r w:rsidRPr="00542A27">
        <w:rPr>
          <w:lang w:val="en-US"/>
        </w:rPr>
        <w:t xml:space="preserve"> SQL Server from "zeroing out" new space when a data file will be created or expanded (</w:t>
      </w:r>
      <w:r w:rsidRPr="00542A27">
        <w:rPr>
          <w:b/>
          <w:lang w:val="en-US"/>
        </w:rPr>
        <w:t>it is not applied to log files</w:t>
      </w:r>
      <w:r w:rsidRPr="00542A27">
        <w:rPr>
          <w:lang w:val="en-US"/>
        </w:rPr>
        <w:t xml:space="preserve">).  This helps performance for CREATE DATABASE, ALTER DATABASE, RESTORE, and AUTOGROW. It can have a significant positive impact on how long it takes to create or expand a data file, but there is a small security risk in doing so. That is because a file "delete" </w:t>
      </w:r>
      <w:r w:rsidR="00655860" w:rsidRPr="00542A27">
        <w:rPr>
          <w:lang w:val="en-US"/>
        </w:rPr>
        <w:t>just</w:t>
      </w:r>
      <w:r w:rsidRPr="00542A27">
        <w:rPr>
          <w:lang w:val="en-US"/>
        </w:rPr>
        <w:t xml:space="preserve"> deallocates the space and a new allocation can reuse that space which may still have data in it. </w:t>
      </w:r>
    </w:p>
    <w:p w14:paraId="486ABD5F" w14:textId="6BA06F45" w:rsidR="00546612" w:rsidRPr="00542A27" w:rsidRDefault="00DE2FC7" w:rsidP="003B2DE6">
      <w:pPr>
        <w:pStyle w:val="berschrift2"/>
        <w:rPr>
          <w:lang w:val="en-US"/>
        </w:rPr>
      </w:pPr>
      <w:r w:rsidRPr="00542A27">
        <w:rPr>
          <w:lang w:val="en-US"/>
        </w:rPr>
        <w:t>Trace flags</w:t>
      </w:r>
    </w:p>
    <w:p w14:paraId="67E0769A" w14:textId="2CD9113A" w:rsidR="008E7919" w:rsidRPr="00542A27" w:rsidRDefault="00FB4F26" w:rsidP="00546612">
      <w:pPr>
        <w:rPr>
          <w:lang w:val="en-US"/>
        </w:rPr>
      </w:pPr>
      <w:r w:rsidRPr="00542A27">
        <w:rPr>
          <w:lang w:val="en-US"/>
        </w:rPr>
        <w:t xml:space="preserve">Trace flags are used to temporarily/permanent set specific server characteristics or to switch off a </w:t>
      </w:r>
      <w:proofErr w:type="gramStart"/>
      <w:r w:rsidRPr="00542A27">
        <w:rPr>
          <w:lang w:val="en-US"/>
        </w:rPr>
        <w:t xml:space="preserve">particular </w:t>
      </w:r>
      <w:r w:rsidR="00DE2FC7" w:rsidRPr="00542A27">
        <w:rPr>
          <w:lang w:val="en-US"/>
        </w:rPr>
        <w:t>behavior</w:t>
      </w:r>
      <w:proofErr w:type="gramEnd"/>
      <w:r w:rsidRPr="00542A27">
        <w:rPr>
          <w:lang w:val="en-US"/>
        </w:rPr>
        <w:t>. Trace flags are frequently used to diagnose performance issues or to debug stored procedures or complex computer systems.</w:t>
      </w:r>
    </w:p>
    <w:p w14:paraId="1D9B25DD" w14:textId="30B30DF0" w:rsidR="008E7919" w:rsidRPr="00542A27" w:rsidRDefault="008E7919" w:rsidP="00546612">
      <w:pPr>
        <w:rPr>
          <w:lang w:val="en-US"/>
        </w:rPr>
      </w:pPr>
      <w:r w:rsidRPr="00542A27">
        <w:rPr>
          <w:lang w:val="en-US"/>
        </w:rPr>
        <w:t>The following enabled trace flags have been detected in the UAT environment:</w:t>
      </w:r>
    </w:p>
    <w:tbl>
      <w:tblPr>
        <w:tblStyle w:val="Listentabelle6farbigAkzent1"/>
        <w:tblW w:w="0" w:type="auto"/>
        <w:tblLook w:val="04A0" w:firstRow="1" w:lastRow="0" w:firstColumn="1" w:lastColumn="0" w:noHBand="0" w:noVBand="1"/>
      </w:tblPr>
      <w:tblGrid>
        <w:gridCol w:w="1129"/>
        <w:gridCol w:w="7933"/>
      </w:tblGrid>
      <w:tr w:rsidR="008E7919" w:rsidRPr="00542A27" w14:paraId="5669CAE4" w14:textId="77777777" w:rsidTr="003F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8EB850" w14:textId="4E797B5B" w:rsidR="008E7919" w:rsidRPr="00542A27" w:rsidRDefault="00DE2FC7" w:rsidP="003F22D7">
            <w:pPr>
              <w:rPr>
                <w:lang w:val="en-US"/>
              </w:rPr>
            </w:pPr>
            <w:r w:rsidRPr="00542A27">
              <w:rPr>
                <w:lang w:val="en-US"/>
              </w:rPr>
              <w:t>Trace flag</w:t>
            </w:r>
          </w:p>
        </w:tc>
        <w:tc>
          <w:tcPr>
            <w:tcW w:w="7933" w:type="dxa"/>
          </w:tcPr>
          <w:p w14:paraId="3441ABD5" w14:textId="77777777" w:rsidR="008E7919" w:rsidRPr="00542A27" w:rsidRDefault="008E7919" w:rsidP="003F22D7">
            <w:pPr>
              <w:cnfStyle w:val="100000000000" w:firstRow="1" w:lastRow="0" w:firstColumn="0" w:lastColumn="0" w:oddVBand="0" w:evenVBand="0" w:oddHBand="0" w:evenHBand="0" w:firstRowFirstColumn="0" w:firstRowLastColumn="0" w:lastRowFirstColumn="0" w:lastRowLastColumn="0"/>
              <w:rPr>
                <w:lang w:val="en-US"/>
              </w:rPr>
            </w:pPr>
            <w:r w:rsidRPr="00542A27">
              <w:rPr>
                <w:lang w:val="en-US"/>
              </w:rPr>
              <w:t>Description</w:t>
            </w:r>
          </w:p>
        </w:tc>
      </w:tr>
      <w:tr w:rsidR="008E7919" w:rsidRPr="00542A27" w14:paraId="60090678"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9975BB" w14:textId="175ADDFE" w:rsidR="008E7919" w:rsidRPr="00542A27" w:rsidRDefault="008E7919" w:rsidP="003F22D7">
            <w:pPr>
              <w:rPr>
                <w:lang w:val="en-US"/>
              </w:rPr>
            </w:pPr>
            <w:r w:rsidRPr="00542A27">
              <w:rPr>
                <w:lang w:val="en-US"/>
              </w:rPr>
              <w:t>1204</w:t>
            </w:r>
          </w:p>
        </w:tc>
        <w:tc>
          <w:tcPr>
            <w:tcW w:w="7933" w:type="dxa"/>
          </w:tcPr>
          <w:p w14:paraId="37E0C7C1" w14:textId="2D264D59" w:rsidR="008E7919" w:rsidRPr="00542A27" w:rsidRDefault="008E7919" w:rsidP="008E7919">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 xml:space="preserve">Returns the resources and types of locks participating in a deadlock </w:t>
            </w:r>
            <w:proofErr w:type="gramStart"/>
            <w:r w:rsidRPr="00542A27">
              <w:rPr>
                <w:lang w:val="en-US"/>
              </w:rPr>
              <w:t>and also</w:t>
            </w:r>
            <w:proofErr w:type="gramEnd"/>
            <w:r w:rsidRPr="00542A27">
              <w:rPr>
                <w:lang w:val="en-US"/>
              </w:rPr>
              <w:t xml:space="preserve"> the current command affected.</w:t>
            </w:r>
          </w:p>
          <w:p w14:paraId="6A3DCDB2" w14:textId="7F0AA38C" w:rsidR="008E7919" w:rsidRPr="00542A27" w:rsidRDefault="008E7919" w:rsidP="008E7919">
            <w:pPr>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Scope:</w:t>
            </w:r>
            <w:r w:rsidRPr="00542A27">
              <w:rPr>
                <w:lang w:val="en-US"/>
              </w:rPr>
              <w:tab/>
              <w:t>global only</w:t>
            </w:r>
          </w:p>
        </w:tc>
      </w:tr>
      <w:tr w:rsidR="005C712D" w:rsidRPr="00542A27" w14:paraId="59556128" w14:textId="77777777" w:rsidTr="003F22D7">
        <w:tc>
          <w:tcPr>
            <w:cnfStyle w:val="001000000000" w:firstRow="0" w:lastRow="0" w:firstColumn="1" w:lastColumn="0" w:oddVBand="0" w:evenVBand="0" w:oddHBand="0" w:evenHBand="0" w:firstRowFirstColumn="0" w:firstRowLastColumn="0" w:lastRowFirstColumn="0" w:lastRowLastColumn="0"/>
            <w:tcW w:w="1129" w:type="dxa"/>
          </w:tcPr>
          <w:p w14:paraId="3A2C3D34" w14:textId="3B7D31B2" w:rsidR="005C712D" w:rsidRPr="00542A27" w:rsidRDefault="005C712D" w:rsidP="003F22D7">
            <w:pPr>
              <w:rPr>
                <w:lang w:val="en-US"/>
              </w:rPr>
            </w:pPr>
            <w:r w:rsidRPr="00542A27">
              <w:rPr>
                <w:lang w:val="en-US"/>
              </w:rPr>
              <w:t>1222</w:t>
            </w:r>
          </w:p>
        </w:tc>
        <w:tc>
          <w:tcPr>
            <w:tcW w:w="7933" w:type="dxa"/>
          </w:tcPr>
          <w:p w14:paraId="586B4C96" w14:textId="77777777" w:rsidR="005C712D" w:rsidRPr="00542A27" w:rsidRDefault="005C712D" w:rsidP="005C712D">
            <w:pPr>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 xml:space="preserve">Returns the resources and types of locks that are participating in a deadlock </w:t>
            </w:r>
            <w:proofErr w:type="gramStart"/>
            <w:r w:rsidRPr="00542A27">
              <w:rPr>
                <w:lang w:val="en-US"/>
              </w:rPr>
              <w:t>and also</w:t>
            </w:r>
            <w:proofErr w:type="gramEnd"/>
            <w:r w:rsidRPr="00542A27">
              <w:rPr>
                <w:lang w:val="en-US"/>
              </w:rPr>
              <w:t xml:space="preserve"> the current command affected, in an XML format that does not comply with any XSD schema.</w:t>
            </w:r>
          </w:p>
          <w:p w14:paraId="4E34C423" w14:textId="0AC317C5" w:rsidR="005C712D" w:rsidRPr="00542A27" w:rsidRDefault="005C712D" w:rsidP="005C712D">
            <w:pPr>
              <w:cnfStyle w:val="000000000000" w:firstRow="0" w:lastRow="0" w:firstColumn="0" w:lastColumn="0" w:oddVBand="0" w:evenVBand="0" w:oddHBand="0" w:evenHBand="0" w:firstRowFirstColumn="0" w:firstRowLastColumn="0" w:lastRowFirstColumn="0" w:lastRowLastColumn="0"/>
              <w:rPr>
                <w:lang w:val="en-US"/>
              </w:rPr>
            </w:pPr>
            <w:r w:rsidRPr="00542A27">
              <w:rPr>
                <w:b/>
                <w:lang w:val="en-US"/>
              </w:rPr>
              <w:t>Scope:</w:t>
            </w:r>
            <w:r w:rsidRPr="00542A27">
              <w:rPr>
                <w:lang w:val="en-US"/>
              </w:rPr>
              <w:tab/>
              <w:t>global only</w:t>
            </w:r>
          </w:p>
        </w:tc>
      </w:tr>
      <w:tr w:rsidR="005C712D" w:rsidRPr="005E374F" w14:paraId="240EE35A"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CBC35C" w14:textId="6A34C298" w:rsidR="005C712D" w:rsidRPr="00542A27" w:rsidRDefault="005C712D" w:rsidP="003F22D7">
            <w:pPr>
              <w:rPr>
                <w:lang w:val="en-US"/>
              </w:rPr>
            </w:pPr>
            <w:r w:rsidRPr="00542A27">
              <w:rPr>
                <w:lang w:val="en-US"/>
              </w:rPr>
              <w:t>3226</w:t>
            </w:r>
          </w:p>
        </w:tc>
        <w:tc>
          <w:tcPr>
            <w:tcW w:w="7933" w:type="dxa"/>
          </w:tcPr>
          <w:p w14:paraId="2873E022" w14:textId="78F2088A" w:rsidR="005C712D" w:rsidRPr="00542A27" w:rsidRDefault="005C712D" w:rsidP="005C712D">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 xml:space="preserve">By default, every successful backup operation adds an entry in the SQL Server error log and in the system event log. If very frequent log backups are created, these success messages accumulate quickly, resulting in huge error logs in which finding other messages is problematic. This trace flag </w:t>
            </w:r>
            <w:proofErr w:type="gramStart"/>
            <w:r w:rsidRPr="00542A27">
              <w:rPr>
                <w:lang w:val="en-US"/>
              </w:rPr>
              <w:t>suppress</w:t>
            </w:r>
            <w:proofErr w:type="gramEnd"/>
            <w:r w:rsidRPr="00542A27">
              <w:rPr>
                <w:lang w:val="en-US"/>
              </w:rPr>
              <w:t xml:space="preserve"> these log entries.</w:t>
            </w:r>
          </w:p>
          <w:p w14:paraId="7E126DE5" w14:textId="105CFE22" w:rsidR="005C712D" w:rsidRPr="00542A27" w:rsidRDefault="005C712D" w:rsidP="005C712D">
            <w:pPr>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Scope:</w:t>
            </w:r>
            <w:r w:rsidRPr="00542A27">
              <w:rPr>
                <w:lang w:val="en-US"/>
              </w:rPr>
              <w:tab/>
              <w:t>global only</w:t>
            </w:r>
          </w:p>
        </w:tc>
      </w:tr>
    </w:tbl>
    <w:p w14:paraId="64086261" w14:textId="77777777" w:rsidR="008E7919" w:rsidRPr="00542A27" w:rsidRDefault="008E7919" w:rsidP="00546612">
      <w:pPr>
        <w:rPr>
          <w:lang w:val="en-US"/>
        </w:rPr>
      </w:pPr>
    </w:p>
    <w:p w14:paraId="2A619865" w14:textId="7D709F63" w:rsidR="00CD3B3C" w:rsidRPr="00542A27" w:rsidRDefault="005C712D" w:rsidP="00546612">
      <w:pPr>
        <w:rPr>
          <w:lang w:val="en-US"/>
        </w:rPr>
      </w:pPr>
      <w:r w:rsidRPr="00542A27">
        <w:rPr>
          <w:lang w:val="en-US"/>
        </w:rPr>
        <w:t xml:space="preserve">The </w:t>
      </w:r>
      <w:r w:rsidR="00284CCC" w:rsidRPr="00542A27">
        <w:rPr>
          <w:lang w:val="en-US"/>
        </w:rPr>
        <w:t>above-mentioned</w:t>
      </w:r>
      <w:r w:rsidRPr="00542A27">
        <w:rPr>
          <w:lang w:val="en-US"/>
        </w:rPr>
        <w:t xml:space="preserve"> trace flags 1204 and 1222 are useful for deadlock detection. </w:t>
      </w:r>
      <w:r w:rsidR="00284CCC" w:rsidRPr="00542A27">
        <w:rPr>
          <w:lang w:val="en-US"/>
        </w:rPr>
        <w:t>Basically,</w:t>
      </w:r>
      <w:r w:rsidRPr="00542A27">
        <w:rPr>
          <w:lang w:val="en-US"/>
        </w:rPr>
        <w:t xml:space="preserve"> this is not required anymore because deadlocks will be monitored with the generic “</w:t>
      </w:r>
      <w:r w:rsidR="00A03E36" w:rsidRPr="00542A27">
        <w:rPr>
          <w:lang w:val="en-US"/>
        </w:rPr>
        <w:t>system health</w:t>
      </w:r>
      <w:r w:rsidRPr="00542A27">
        <w:rPr>
          <w:lang w:val="en-US"/>
        </w:rPr>
        <w:t>” extended event session!</w:t>
      </w:r>
    </w:p>
    <w:p w14:paraId="39387B58" w14:textId="77777777" w:rsidR="00AE68AB" w:rsidRPr="00542A27" w:rsidRDefault="00AE68AB" w:rsidP="00AE68AB">
      <w:pPr>
        <w:keepNext/>
        <w:rPr>
          <w:lang w:val="en-US"/>
        </w:rPr>
      </w:pPr>
      <w:r w:rsidRPr="00542A27">
        <w:rPr>
          <w:noProof/>
          <w:lang w:val="en-US"/>
        </w:rPr>
        <w:lastRenderedPageBreak/>
        <w:drawing>
          <wp:inline distT="0" distB="0" distL="0" distR="0" wp14:anchorId="1CF112D9" wp14:editId="708B4C6A">
            <wp:extent cx="5760720" cy="4284980"/>
            <wp:effectExtent l="133350" t="114300" r="144780" b="1727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84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74760E" w14:textId="7319773A" w:rsidR="00AE68AB" w:rsidRPr="00542A27" w:rsidRDefault="00AE68AB" w:rsidP="00AE68AB">
      <w:pPr>
        <w:pStyle w:val="Beschriftung"/>
        <w:rPr>
          <w:lang w:val="en-US"/>
        </w:rPr>
      </w:pPr>
      <w:r w:rsidRPr="00542A27">
        <w:rPr>
          <w:lang w:val="en-US"/>
        </w:rPr>
        <w:t xml:space="preserve">Picture </w:t>
      </w:r>
      <w:r w:rsidRPr="00542A27">
        <w:rPr>
          <w:lang w:val="en-US"/>
        </w:rPr>
        <w:fldChar w:fldCharType="begin"/>
      </w:r>
      <w:r w:rsidRPr="00542A27">
        <w:rPr>
          <w:lang w:val="en-US"/>
        </w:rPr>
        <w:instrText xml:space="preserve"> SEQ Picture \* ARABIC </w:instrText>
      </w:r>
      <w:r w:rsidRPr="00542A27">
        <w:rPr>
          <w:lang w:val="en-US"/>
        </w:rPr>
        <w:fldChar w:fldCharType="separate"/>
      </w:r>
      <w:r w:rsidRPr="00542A27">
        <w:rPr>
          <w:noProof/>
          <w:lang w:val="en-US"/>
        </w:rPr>
        <w:t>1</w:t>
      </w:r>
      <w:r w:rsidRPr="00542A27">
        <w:rPr>
          <w:lang w:val="en-US"/>
        </w:rPr>
        <w:fldChar w:fldCharType="end"/>
      </w:r>
      <w:r w:rsidRPr="00542A27">
        <w:rPr>
          <w:lang w:val="en-US"/>
        </w:rPr>
        <w:t xml:space="preserve">: Configuration of deadlock monitoring in </w:t>
      </w:r>
      <w:r w:rsidR="00DE2FC7" w:rsidRPr="00542A27">
        <w:rPr>
          <w:lang w:val="en-US"/>
        </w:rPr>
        <w:t>system health</w:t>
      </w:r>
      <w:r w:rsidRPr="00542A27">
        <w:rPr>
          <w:lang w:val="en-US"/>
        </w:rPr>
        <w:t xml:space="preserve"> extended event session</w:t>
      </w:r>
    </w:p>
    <w:p w14:paraId="552DB5D7" w14:textId="041AC027" w:rsidR="00CD3B3C" w:rsidRPr="00542A27" w:rsidRDefault="00CD3B3C" w:rsidP="00CD3B3C">
      <w:pPr>
        <w:rPr>
          <w:lang w:val="en-US"/>
        </w:rPr>
      </w:pPr>
      <w:r w:rsidRPr="00542A27">
        <w:rPr>
          <w:lang w:val="en-US"/>
        </w:rPr>
        <w:t xml:space="preserve">The </w:t>
      </w:r>
      <w:r w:rsidR="005B297D" w:rsidRPr="00542A27">
        <w:rPr>
          <w:lang w:val="en-US"/>
        </w:rPr>
        <w:t>system health</w:t>
      </w:r>
      <w:r w:rsidRPr="00542A27">
        <w:rPr>
          <w:lang w:val="en-US"/>
        </w:rPr>
        <w:t xml:space="preserve"> session is an Extended Events session that is included by default with SQL Server. This session starts automatically when the SQL Server Database Engine starts, and runs </w:t>
      </w:r>
      <w:r w:rsidRPr="00542A27">
        <w:rPr>
          <w:b/>
          <w:lang w:val="en-US"/>
        </w:rPr>
        <w:t>without any noticeable performance effects</w:t>
      </w:r>
      <w:r w:rsidRPr="00542A27">
        <w:rPr>
          <w:lang w:val="en-US"/>
        </w:rPr>
        <w:t xml:space="preserve">. The session collects system data to troubleshoot performance issues in the Database Engine. The session collects information that includes the following:  </w:t>
      </w:r>
    </w:p>
    <w:p w14:paraId="626312F5"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sql_text</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any sessions that encounter an error that has a severity &gt;=20. </w:t>
      </w:r>
    </w:p>
    <w:p w14:paraId="2D991686"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sql_text</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any sessions that encounter a memory-related error. The errors include 17803, 701, 802, 8645, 8651, 8657 and 8902.</w:t>
      </w:r>
    </w:p>
    <w:p w14:paraId="741AAD07" w14:textId="77777777" w:rsidR="00CD3B3C" w:rsidRPr="00542A27" w:rsidRDefault="00CD3B3C" w:rsidP="003F22D7">
      <w:pPr>
        <w:pStyle w:val="Aufzhlungszeichen"/>
        <w:rPr>
          <w:lang w:val="en-US"/>
        </w:rPr>
      </w:pPr>
      <w:r w:rsidRPr="00542A27">
        <w:rPr>
          <w:lang w:val="en-US"/>
        </w:rPr>
        <w:t>A record of any non-yielding scheduler problems. (These appear in the SQL Server error log as error 17883.)</w:t>
      </w:r>
    </w:p>
    <w:p w14:paraId="66AAB87D" w14:textId="77777777" w:rsidR="00CD3B3C" w:rsidRPr="00542A27" w:rsidRDefault="00CD3B3C" w:rsidP="003F22D7">
      <w:pPr>
        <w:pStyle w:val="Aufzhlungszeichen"/>
        <w:rPr>
          <w:b/>
          <w:lang w:val="en-US"/>
        </w:rPr>
      </w:pPr>
      <w:r w:rsidRPr="00542A27">
        <w:rPr>
          <w:b/>
          <w:lang w:val="en-US"/>
        </w:rPr>
        <w:t>Any deadlocks that are detected.</w:t>
      </w:r>
    </w:p>
    <w:p w14:paraId="702E951E"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callstack</w:t>
      </w:r>
      <w:proofErr w:type="spellEnd"/>
      <w:r w:rsidRPr="00542A27">
        <w:rPr>
          <w:lang w:val="en-US"/>
        </w:rPr>
        <w:t xml:space="preserve">, </w:t>
      </w:r>
      <w:proofErr w:type="spellStart"/>
      <w:r w:rsidRPr="00542A27">
        <w:rPr>
          <w:lang w:val="en-US"/>
        </w:rPr>
        <w:t>sql_text</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any sessions that have waited on latches (or other interesting resources) for &gt; 15 seconds.</w:t>
      </w:r>
    </w:p>
    <w:p w14:paraId="1800E78D" w14:textId="77777777" w:rsidR="00CD3B3C" w:rsidRPr="00542A27" w:rsidRDefault="00CD3B3C" w:rsidP="00CD3B3C">
      <w:pPr>
        <w:pStyle w:val="Aufzhlungszeichen"/>
        <w:rPr>
          <w:lang w:val="en-US"/>
        </w:rPr>
      </w:pPr>
      <w:r w:rsidRPr="00542A27">
        <w:rPr>
          <w:lang w:val="en-US"/>
        </w:rPr>
        <w:t xml:space="preserve">The </w:t>
      </w:r>
      <w:proofErr w:type="spellStart"/>
      <w:r w:rsidRPr="00542A27">
        <w:rPr>
          <w:lang w:val="en-US"/>
        </w:rPr>
        <w:t>callstack</w:t>
      </w:r>
      <w:proofErr w:type="spellEnd"/>
      <w:r w:rsidRPr="00542A27">
        <w:rPr>
          <w:lang w:val="en-US"/>
        </w:rPr>
        <w:t xml:space="preserve">, </w:t>
      </w:r>
      <w:proofErr w:type="spellStart"/>
      <w:r w:rsidRPr="00542A27">
        <w:rPr>
          <w:lang w:val="en-US"/>
        </w:rPr>
        <w:t>sql_text</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any sessions that have waited on locks for &gt; 30 seconds. </w:t>
      </w:r>
    </w:p>
    <w:p w14:paraId="2E6E3DAD"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callstack</w:t>
      </w:r>
      <w:proofErr w:type="spellEnd"/>
      <w:r w:rsidRPr="00542A27">
        <w:rPr>
          <w:lang w:val="en-US"/>
        </w:rPr>
        <w:t xml:space="preserve">, </w:t>
      </w:r>
      <w:proofErr w:type="spellStart"/>
      <w:r w:rsidRPr="00542A27">
        <w:rPr>
          <w:lang w:val="en-US"/>
        </w:rPr>
        <w:t>sql_text</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any sessions that have waited for a long time for preemptive waits. A preemptive wait is where SQL Server is waiting for external API calls.</w:t>
      </w:r>
    </w:p>
    <w:p w14:paraId="3DD892FA"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callstack</w:t>
      </w:r>
      <w:proofErr w:type="spellEnd"/>
      <w:r w:rsidRPr="00542A27">
        <w:rPr>
          <w:lang w:val="en-US"/>
        </w:rPr>
        <w:t xml:space="preserve"> and </w:t>
      </w:r>
      <w:proofErr w:type="spellStart"/>
      <w:r w:rsidRPr="00542A27">
        <w:rPr>
          <w:lang w:val="en-US"/>
        </w:rPr>
        <w:t>session_id</w:t>
      </w:r>
      <w:proofErr w:type="spellEnd"/>
      <w:r w:rsidRPr="00542A27">
        <w:rPr>
          <w:lang w:val="en-US"/>
        </w:rPr>
        <w:t xml:space="preserve"> for CLR allocation and virtual allocation failures.</w:t>
      </w:r>
    </w:p>
    <w:p w14:paraId="144DC73F" w14:textId="77777777" w:rsidR="00CD3B3C" w:rsidRPr="00542A27" w:rsidRDefault="00CD3B3C" w:rsidP="003F22D7">
      <w:pPr>
        <w:pStyle w:val="Aufzhlungszeichen"/>
        <w:rPr>
          <w:lang w:val="en-US"/>
        </w:rPr>
      </w:pPr>
      <w:r w:rsidRPr="00542A27">
        <w:rPr>
          <w:lang w:val="en-US"/>
        </w:rPr>
        <w:t xml:space="preserve">The </w:t>
      </w:r>
      <w:proofErr w:type="spellStart"/>
      <w:r w:rsidRPr="00542A27">
        <w:rPr>
          <w:lang w:val="en-US"/>
        </w:rPr>
        <w:t>ring_buffer</w:t>
      </w:r>
      <w:proofErr w:type="spellEnd"/>
      <w:r w:rsidRPr="00542A27">
        <w:rPr>
          <w:lang w:val="en-US"/>
        </w:rPr>
        <w:t xml:space="preserve"> events for the memory broker, scheduler monitor, memory node OOM, security, and connectivity.</w:t>
      </w:r>
    </w:p>
    <w:p w14:paraId="5519D088" w14:textId="77777777" w:rsidR="00CD3B3C" w:rsidRPr="00542A27" w:rsidRDefault="00CD3B3C" w:rsidP="003F22D7">
      <w:pPr>
        <w:pStyle w:val="Aufzhlungszeichen"/>
        <w:rPr>
          <w:lang w:val="en-US"/>
        </w:rPr>
      </w:pPr>
      <w:r w:rsidRPr="00542A27">
        <w:rPr>
          <w:lang w:val="en-US"/>
        </w:rPr>
        <w:t xml:space="preserve">System component results from </w:t>
      </w:r>
      <w:proofErr w:type="spellStart"/>
      <w:r w:rsidRPr="00542A27">
        <w:rPr>
          <w:lang w:val="en-US"/>
        </w:rPr>
        <w:t>sp_server_diagnostics</w:t>
      </w:r>
      <w:proofErr w:type="spellEnd"/>
      <w:r w:rsidRPr="00542A27">
        <w:rPr>
          <w:lang w:val="en-US"/>
        </w:rPr>
        <w:t>.</w:t>
      </w:r>
    </w:p>
    <w:p w14:paraId="57D7DD0A" w14:textId="77777777" w:rsidR="00CD3B3C" w:rsidRPr="00542A27" w:rsidRDefault="00CD3B3C" w:rsidP="00CD3B3C">
      <w:pPr>
        <w:pStyle w:val="Aufzhlungszeichen"/>
        <w:rPr>
          <w:lang w:val="en-US"/>
        </w:rPr>
      </w:pPr>
      <w:r w:rsidRPr="00542A27">
        <w:rPr>
          <w:lang w:val="en-US"/>
        </w:rPr>
        <w:t xml:space="preserve">Instance health collected by </w:t>
      </w:r>
      <w:proofErr w:type="spellStart"/>
      <w:r w:rsidRPr="00542A27">
        <w:rPr>
          <w:lang w:val="en-US"/>
        </w:rPr>
        <w:t>scheduler_monitor_system_health_ring_buffer_recorded</w:t>
      </w:r>
      <w:proofErr w:type="spellEnd"/>
      <w:r w:rsidRPr="00542A27">
        <w:rPr>
          <w:lang w:val="en-US"/>
        </w:rPr>
        <w:t>.</w:t>
      </w:r>
    </w:p>
    <w:p w14:paraId="619FC101" w14:textId="77777777" w:rsidR="00CD3B3C" w:rsidRPr="00542A27" w:rsidRDefault="00CD3B3C" w:rsidP="003F22D7">
      <w:pPr>
        <w:pStyle w:val="Aufzhlungszeichen"/>
        <w:rPr>
          <w:lang w:val="en-US"/>
        </w:rPr>
      </w:pPr>
      <w:r w:rsidRPr="00542A27">
        <w:rPr>
          <w:lang w:val="en-US"/>
        </w:rPr>
        <w:t>CLR Allocation failures.</w:t>
      </w:r>
    </w:p>
    <w:p w14:paraId="36EFE6F4" w14:textId="77777777" w:rsidR="00CD3B3C" w:rsidRPr="00542A27" w:rsidRDefault="00CD3B3C" w:rsidP="003F22D7">
      <w:pPr>
        <w:pStyle w:val="Aufzhlungszeichen"/>
        <w:rPr>
          <w:lang w:val="en-US"/>
        </w:rPr>
      </w:pPr>
      <w:r w:rsidRPr="00542A27">
        <w:rPr>
          <w:lang w:val="en-US"/>
        </w:rPr>
        <w:t xml:space="preserve">Connectivity errors using </w:t>
      </w:r>
      <w:proofErr w:type="spellStart"/>
      <w:r w:rsidRPr="00542A27">
        <w:rPr>
          <w:lang w:val="en-US"/>
        </w:rPr>
        <w:t>connectivity_ring_buffer_recorded</w:t>
      </w:r>
      <w:proofErr w:type="spellEnd"/>
      <w:r w:rsidRPr="00542A27">
        <w:rPr>
          <w:lang w:val="en-US"/>
        </w:rPr>
        <w:t>.</w:t>
      </w:r>
    </w:p>
    <w:p w14:paraId="34CF844E" w14:textId="2C7BFF87" w:rsidR="00CD3B3C" w:rsidRPr="00542A27" w:rsidRDefault="00CD3B3C" w:rsidP="003F22D7">
      <w:pPr>
        <w:pStyle w:val="Aufzhlungszeichen"/>
        <w:rPr>
          <w:lang w:val="en-US"/>
        </w:rPr>
      </w:pPr>
      <w:r w:rsidRPr="00542A27">
        <w:rPr>
          <w:lang w:val="en-US"/>
        </w:rPr>
        <w:t xml:space="preserve">Security errors using </w:t>
      </w:r>
      <w:proofErr w:type="spellStart"/>
      <w:r w:rsidRPr="00542A27">
        <w:rPr>
          <w:lang w:val="en-US"/>
        </w:rPr>
        <w:t>security_error_ring_buffer_recorded</w:t>
      </w:r>
      <w:proofErr w:type="spellEnd"/>
      <w:r w:rsidRPr="00542A27">
        <w:rPr>
          <w:lang w:val="en-US"/>
        </w:rPr>
        <w:t xml:space="preserve">. </w:t>
      </w:r>
    </w:p>
    <w:p w14:paraId="0F30ED70" w14:textId="2C06A334" w:rsidR="00546612" w:rsidRPr="00542A27" w:rsidRDefault="00D3503D" w:rsidP="00546612">
      <w:pPr>
        <w:rPr>
          <w:lang w:val="en-US"/>
        </w:rPr>
      </w:pPr>
      <w:r w:rsidRPr="00542A27">
        <w:rPr>
          <w:lang w:val="en-US"/>
        </w:rPr>
        <w:lastRenderedPageBreak/>
        <w:t>The following trace flags should be activated by default in every instance of Microsoft SQL Server</w:t>
      </w:r>
      <w:r w:rsidR="005C712D" w:rsidRPr="00542A27">
        <w:rPr>
          <w:lang w:val="en-US"/>
        </w:rPr>
        <w:t xml:space="preserve"> prior to SQL 2016</w:t>
      </w:r>
      <w:r w:rsidR="00CD3B3C" w:rsidRPr="00542A27">
        <w:rPr>
          <w:lang w:val="en-US"/>
        </w:rPr>
        <w:t xml:space="preserve"> for performance reasons</w:t>
      </w:r>
      <w:r w:rsidR="001242FC" w:rsidRPr="00542A27">
        <w:rPr>
          <w:rStyle w:val="Funotenzeichen"/>
          <w:lang w:val="en-US"/>
        </w:rPr>
        <w:footnoteReference w:id="3"/>
      </w:r>
      <w:r w:rsidR="00546612" w:rsidRPr="00542A27">
        <w:rPr>
          <w:lang w:val="en-US"/>
        </w:rPr>
        <w:t>:</w:t>
      </w:r>
    </w:p>
    <w:tbl>
      <w:tblPr>
        <w:tblStyle w:val="Listentabelle6farbigAkzent1"/>
        <w:tblW w:w="0" w:type="auto"/>
        <w:tblLook w:val="04A0" w:firstRow="1" w:lastRow="0" w:firstColumn="1" w:lastColumn="0" w:noHBand="0" w:noVBand="1"/>
      </w:tblPr>
      <w:tblGrid>
        <w:gridCol w:w="1129"/>
        <w:gridCol w:w="7933"/>
      </w:tblGrid>
      <w:tr w:rsidR="00546612" w:rsidRPr="00542A27" w14:paraId="4986B413" w14:textId="77777777" w:rsidTr="00F4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935A4E" w14:textId="4EF3FF7A" w:rsidR="00546612" w:rsidRPr="00542A27" w:rsidRDefault="00FF5E77" w:rsidP="00546612">
            <w:pPr>
              <w:rPr>
                <w:lang w:val="en-US"/>
              </w:rPr>
            </w:pPr>
            <w:r w:rsidRPr="00542A27">
              <w:rPr>
                <w:lang w:val="en-US"/>
              </w:rPr>
              <w:t>Trace flag</w:t>
            </w:r>
          </w:p>
        </w:tc>
        <w:tc>
          <w:tcPr>
            <w:tcW w:w="7933" w:type="dxa"/>
          </w:tcPr>
          <w:p w14:paraId="34FC2E3D" w14:textId="32B91A10" w:rsidR="00546612" w:rsidRPr="00542A27" w:rsidRDefault="00397839" w:rsidP="00546612">
            <w:pPr>
              <w:cnfStyle w:val="100000000000" w:firstRow="1" w:lastRow="0" w:firstColumn="0" w:lastColumn="0" w:oddVBand="0" w:evenVBand="0" w:oddHBand="0" w:evenHBand="0" w:firstRowFirstColumn="0" w:firstRowLastColumn="0" w:lastRowFirstColumn="0" w:lastRowLastColumn="0"/>
              <w:rPr>
                <w:lang w:val="en-US"/>
              </w:rPr>
            </w:pPr>
            <w:r w:rsidRPr="00542A27">
              <w:rPr>
                <w:lang w:val="en-US"/>
              </w:rPr>
              <w:t>Description</w:t>
            </w:r>
          </w:p>
        </w:tc>
      </w:tr>
      <w:tr w:rsidR="00546612" w:rsidRPr="00542A27" w14:paraId="61BB0FCD" w14:textId="77777777" w:rsidTr="00F4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B7158B" w14:textId="6C84DE49" w:rsidR="00546612" w:rsidRPr="00542A27" w:rsidRDefault="00F479E2" w:rsidP="00546612">
            <w:pPr>
              <w:rPr>
                <w:lang w:val="en-US"/>
              </w:rPr>
            </w:pPr>
            <w:r w:rsidRPr="00542A27">
              <w:rPr>
                <w:lang w:val="en-US"/>
              </w:rPr>
              <w:t>1117</w:t>
            </w:r>
          </w:p>
        </w:tc>
        <w:tc>
          <w:tcPr>
            <w:tcW w:w="7933" w:type="dxa"/>
          </w:tcPr>
          <w:p w14:paraId="3E6E8FB4" w14:textId="18DD3A64" w:rsidR="00FB4F26" w:rsidRPr="00542A27" w:rsidRDefault="00FB4F26" w:rsidP="00FB4F26">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 xml:space="preserve">When a file in the </w:t>
            </w:r>
            <w:r w:rsidR="009C1104" w:rsidRPr="00542A27">
              <w:rPr>
                <w:lang w:val="en-US"/>
              </w:rPr>
              <w:t>file group</w:t>
            </w:r>
            <w:r w:rsidRPr="00542A27">
              <w:rPr>
                <w:lang w:val="en-US"/>
              </w:rPr>
              <w:t xml:space="preserve"> meets the </w:t>
            </w:r>
            <w:r w:rsidR="009C1104" w:rsidRPr="00542A27">
              <w:rPr>
                <w:lang w:val="en-US"/>
              </w:rPr>
              <w:t>auto grow</w:t>
            </w:r>
            <w:r w:rsidRPr="00542A27">
              <w:rPr>
                <w:lang w:val="en-US"/>
              </w:rPr>
              <w:t xml:space="preserve"> threshold, all files in the </w:t>
            </w:r>
            <w:r w:rsidR="009C1104" w:rsidRPr="00542A27">
              <w:rPr>
                <w:lang w:val="en-US"/>
              </w:rPr>
              <w:t>file group</w:t>
            </w:r>
            <w:r w:rsidRPr="00542A27">
              <w:rPr>
                <w:lang w:val="en-US"/>
              </w:rPr>
              <w:t xml:space="preserve"> grow.</w:t>
            </w:r>
          </w:p>
          <w:p w14:paraId="348336A9" w14:textId="1D9C34CF" w:rsidR="00FB4F26" w:rsidRPr="00542A27" w:rsidRDefault="00FB4F26" w:rsidP="00FB4F26">
            <w:pPr>
              <w:ind w:left="708" w:hanging="708"/>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Note</w:t>
            </w:r>
            <w:r w:rsidRPr="00542A27">
              <w:rPr>
                <w:lang w:val="en-US"/>
              </w:rPr>
              <w:t>:</w:t>
            </w:r>
            <w:r w:rsidRPr="00542A27">
              <w:rPr>
                <w:lang w:val="en-US"/>
              </w:rPr>
              <w:tab/>
              <w:t xml:space="preserve">Starting with SQL Server 2016 this </w:t>
            </w:r>
            <w:r w:rsidR="00A56B83" w:rsidRPr="00542A27">
              <w:rPr>
                <w:lang w:val="en-US"/>
              </w:rPr>
              <w:t>behavior</w:t>
            </w:r>
            <w:r w:rsidRPr="00542A27">
              <w:rPr>
                <w:lang w:val="en-US"/>
              </w:rPr>
              <w:t xml:space="preserve"> is controlled by the AUTOGROW_SINGLE_FILE and AUTOGROW_ALL_FILES option of ALTER DATABASE, and trace flag 1117 has no affect.</w:t>
            </w:r>
          </w:p>
          <w:p w14:paraId="3DC24AC4" w14:textId="5D41C97F" w:rsidR="003D50EF" w:rsidRPr="00542A27" w:rsidRDefault="00FB4F26" w:rsidP="003D50EF">
            <w:pPr>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Scope</w:t>
            </w:r>
            <w:r w:rsidRPr="00542A27">
              <w:rPr>
                <w:lang w:val="en-US"/>
              </w:rPr>
              <w:t>:</w:t>
            </w:r>
            <w:r w:rsidRPr="00542A27">
              <w:rPr>
                <w:lang w:val="en-US"/>
              </w:rPr>
              <w:tab/>
              <w:t>global only</w:t>
            </w:r>
          </w:p>
        </w:tc>
      </w:tr>
      <w:tr w:rsidR="00F479E2" w:rsidRPr="00542A27" w14:paraId="7A0B8BF2" w14:textId="77777777" w:rsidTr="00F479E2">
        <w:tc>
          <w:tcPr>
            <w:cnfStyle w:val="001000000000" w:firstRow="0" w:lastRow="0" w:firstColumn="1" w:lastColumn="0" w:oddVBand="0" w:evenVBand="0" w:oddHBand="0" w:evenHBand="0" w:firstRowFirstColumn="0" w:firstRowLastColumn="0" w:lastRowFirstColumn="0" w:lastRowLastColumn="0"/>
            <w:tcW w:w="1129" w:type="dxa"/>
          </w:tcPr>
          <w:p w14:paraId="2FAE3466" w14:textId="6E6EB7E0" w:rsidR="00F479E2" w:rsidRPr="00542A27" w:rsidRDefault="00F479E2" w:rsidP="00546612">
            <w:pPr>
              <w:rPr>
                <w:lang w:val="en-US"/>
              </w:rPr>
            </w:pPr>
            <w:r w:rsidRPr="00542A27">
              <w:rPr>
                <w:lang w:val="en-US"/>
              </w:rPr>
              <w:t>1118</w:t>
            </w:r>
          </w:p>
        </w:tc>
        <w:tc>
          <w:tcPr>
            <w:tcW w:w="7933" w:type="dxa"/>
          </w:tcPr>
          <w:p w14:paraId="0F358EEF" w14:textId="3BBBD381" w:rsidR="00C32F31" w:rsidRPr="00542A27" w:rsidRDefault="00C32F31" w:rsidP="00C32F31">
            <w:pPr>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Removes most single page allocations on the server, reducing contention on the SGAM page. When a new object is created, by default, the first eight pages are allocated from different extents (mixed extents). Afterwards, when more pages are needed, those are allocated from that same extent (uniform extent). The SGAM page is used to track these mixed extents, so can quickly become a bottleneck when numerous mixed page allocations are occurring. This trace flag allocates all eight pages from the same extent when creating new objects, minimizing the need to scan the SGAM page. For more information, see this Microsoft Support article.</w:t>
            </w:r>
          </w:p>
          <w:p w14:paraId="1E2CB6E3" w14:textId="1BED6FA6" w:rsidR="00C32F31" w:rsidRPr="00542A27" w:rsidRDefault="00C32F31" w:rsidP="00C32F31">
            <w:pPr>
              <w:ind w:left="708" w:hanging="708"/>
              <w:cnfStyle w:val="000000000000" w:firstRow="0" w:lastRow="0" w:firstColumn="0" w:lastColumn="0" w:oddVBand="0" w:evenVBand="0" w:oddHBand="0" w:evenHBand="0" w:firstRowFirstColumn="0" w:firstRowLastColumn="0" w:lastRowFirstColumn="0" w:lastRowLastColumn="0"/>
              <w:rPr>
                <w:lang w:val="en-US"/>
              </w:rPr>
            </w:pPr>
            <w:r w:rsidRPr="00542A27">
              <w:rPr>
                <w:b/>
                <w:lang w:val="en-US"/>
              </w:rPr>
              <w:t>Note:</w:t>
            </w:r>
            <w:r w:rsidRPr="00542A27">
              <w:rPr>
                <w:lang w:val="en-US"/>
              </w:rPr>
              <w:tab/>
              <w:t xml:space="preserve">Starting with SQL Server 2016 this </w:t>
            </w:r>
            <w:r w:rsidR="00DE2FC7" w:rsidRPr="00542A27">
              <w:rPr>
                <w:lang w:val="en-US"/>
              </w:rPr>
              <w:t>behavior</w:t>
            </w:r>
            <w:r w:rsidRPr="00542A27">
              <w:rPr>
                <w:lang w:val="en-US"/>
              </w:rPr>
              <w:t xml:space="preserve"> is controlled by the SET MIXED_PAGE_ALLOCATION option of ALTER DATABASE, and trace flag 1118 has no affect.</w:t>
            </w:r>
          </w:p>
          <w:p w14:paraId="491D09BE" w14:textId="55F856E4" w:rsidR="00F479E2" w:rsidRPr="00542A27" w:rsidRDefault="00C32F31" w:rsidP="00C32F31">
            <w:pPr>
              <w:cnfStyle w:val="000000000000" w:firstRow="0" w:lastRow="0" w:firstColumn="0" w:lastColumn="0" w:oddVBand="0" w:evenVBand="0" w:oddHBand="0" w:evenHBand="0" w:firstRowFirstColumn="0" w:firstRowLastColumn="0" w:lastRowFirstColumn="0" w:lastRowLastColumn="0"/>
              <w:rPr>
                <w:lang w:val="en-US"/>
              </w:rPr>
            </w:pPr>
            <w:r w:rsidRPr="00542A27">
              <w:rPr>
                <w:b/>
                <w:lang w:val="en-US"/>
              </w:rPr>
              <w:t>Scope:</w:t>
            </w:r>
            <w:r w:rsidRPr="00542A27">
              <w:rPr>
                <w:lang w:val="en-US"/>
              </w:rPr>
              <w:tab/>
              <w:t>global only</w:t>
            </w:r>
            <w:r w:rsidR="00F479E2" w:rsidRPr="00542A27">
              <w:rPr>
                <w:rStyle w:val="Funotenzeichen"/>
                <w:lang w:val="en-US"/>
              </w:rPr>
              <w:footnoteReference w:id="4"/>
            </w:r>
            <w:r w:rsidR="00F479E2" w:rsidRPr="00542A27">
              <w:rPr>
                <w:lang w:val="en-US"/>
              </w:rPr>
              <w:t>.</w:t>
            </w:r>
          </w:p>
        </w:tc>
      </w:tr>
      <w:tr w:rsidR="0033780C" w:rsidRPr="00542A27" w14:paraId="6E0D95F1" w14:textId="77777777" w:rsidTr="00F4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ED92FB" w14:textId="546F06BE" w:rsidR="0033780C" w:rsidRPr="00542A27" w:rsidRDefault="0033780C" w:rsidP="00546612">
            <w:pPr>
              <w:rPr>
                <w:lang w:val="en-US"/>
              </w:rPr>
            </w:pPr>
            <w:r w:rsidRPr="00542A27">
              <w:rPr>
                <w:lang w:val="en-US"/>
              </w:rPr>
              <w:t>2371</w:t>
            </w:r>
          </w:p>
        </w:tc>
        <w:tc>
          <w:tcPr>
            <w:tcW w:w="7933" w:type="dxa"/>
          </w:tcPr>
          <w:p w14:paraId="6076ECC5" w14:textId="71DEF902" w:rsidR="00A65FBD" w:rsidRPr="00542A27" w:rsidRDefault="00A65FBD" w:rsidP="00A65FBD">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Changes the fixed auto update statistics threshold to dynamic auto update statistics threshold. For more information, see this Microsoft Support article.</w:t>
            </w:r>
          </w:p>
          <w:p w14:paraId="4D662778" w14:textId="17AB99AE" w:rsidR="00A65FBD" w:rsidRPr="00542A27" w:rsidRDefault="00A65FBD" w:rsidP="00A65FBD">
            <w:pPr>
              <w:ind w:left="708" w:hanging="708"/>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Note:</w:t>
            </w:r>
            <w:r w:rsidRPr="00542A27">
              <w:rPr>
                <w:lang w:val="en-US"/>
              </w:rPr>
              <w:tab/>
              <w:t xml:space="preserve">Starting with SQL Server 2016 this </w:t>
            </w:r>
            <w:r w:rsidR="00DE2FC7" w:rsidRPr="00542A27">
              <w:rPr>
                <w:lang w:val="en-US"/>
              </w:rPr>
              <w:t>behavior</w:t>
            </w:r>
            <w:r w:rsidRPr="00542A27">
              <w:rPr>
                <w:lang w:val="en-US"/>
              </w:rPr>
              <w:t xml:space="preserve"> is controlled by the engine and trace flag 2371 has no effect.</w:t>
            </w:r>
          </w:p>
          <w:p w14:paraId="630501A1" w14:textId="77777777" w:rsidR="00A65FBD" w:rsidRPr="00542A27" w:rsidRDefault="00A65FBD" w:rsidP="00A65FBD">
            <w:pPr>
              <w:cnfStyle w:val="000000100000" w:firstRow="0" w:lastRow="0" w:firstColumn="0" w:lastColumn="0" w:oddVBand="0" w:evenVBand="0" w:oddHBand="1" w:evenHBand="0" w:firstRowFirstColumn="0" w:firstRowLastColumn="0" w:lastRowFirstColumn="0" w:lastRowLastColumn="0"/>
              <w:rPr>
                <w:lang w:val="en-US"/>
              </w:rPr>
            </w:pPr>
          </w:p>
          <w:p w14:paraId="692C92EE" w14:textId="0F9DA85F" w:rsidR="0033780C" w:rsidRPr="00542A27" w:rsidRDefault="00A65FBD" w:rsidP="00A65FBD">
            <w:pPr>
              <w:cnfStyle w:val="000000100000" w:firstRow="0" w:lastRow="0" w:firstColumn="0" w:lastColumn="0" w:oddVBand="0" w:evenVBand="0" w:oddHBand="1" w:evenHBand="0" w:firstRowFirstColumn="0" w:firstRowLastColumn="0" w:lastRowFirstColumn="0" w:lastRowLastColumn="0"/>
              <w:rPr>
                <w:lang w:val="en-US"/>
              </w:rPr>
            </w:pPr>
            <w:r w:rsidRPr="00542A27">
              <w:rPr>
                <w:b/>
                <w:lang w:val="en-US"/>
              </w:rPr>
              <w:t>Scope:</w:t>
            </w:r>
            <w:r w:rsidRPr="00542A27">
              <w:rPr>
                <w:lang w:val="en-US"/>
              </w:rPr>
              <w:tab/>
              <w:t>global only</w:t>
            </w:r>
            <w:r w:rsidR="0033780C" w:rsidRPr="00542A27">
              <w:rPr>
                <w:rStyle w:val="Funotenzeichen"/>
                <w:lang w:val="en-US"/>
              </w:rPr>
              <w:footnoteReference w:id="5"/>
            </w:r>
            <w:r w:rsidR="0033780C" w:rsidRPr="00542A27">
              <w:rPr>
                <w:lang w:val="en-US"/>
              </w:rPr>
              <w:t>.</w:t>
            </w:r>
          </w:p>
        </w:tc>
      </w:tr>
    </w:tbl>
    <w:p w14:paraId="71EB6530" w14:textId="77777777" w:rsidR="00546612" w:rsidRPr="00542A27" w:rsidRDefault="00546612" w:rsidP="00546612">
      <w:pPr>
        <w:rPr>
          <w:lang w:val="en-US"/>
        </w:rPr>
      </w:pPr>
    </w:p>
    <w:p w14:paraId="79C6AE68" w14:textId="19D78778" w:rsidR="00EA103D" w:rsidRPr="00542A27" w:rsidRDefault="00B22864" w:rsidP="00EA103D">
      <w:pPr>
        <w:pStyle w:val="berschrift2"/>
        <w:rPr>
          <w:lang w:val="en-US"/>
        </w:rPr>
      </w:pPr>
      <w:bookmarkStart w:id="13" w:name="_Toc497821318"/>
      <w:r w:rsidRPr="00542A27">
        <w:rPr>
          <w:lang w:val="en-US"/>
        </w:rPr>
        <w:t>Virtual Volumes</w:t>
      </w:r>
      <w:bookmarkEnd w:id="13"/>
    </w:p>
    <w:p w14:paraId="668AED25" w14:textId="2022D877" w:rsidR="00E8315F" w:rsidRPr="00542A27" w:rsidRDefault="00B22864" w:rsidP="00B22864">
      <w:pPr>
        <w:rPr>
          <w:lang w:val="en-US"/>
        </w:rPr>
      </w:pPr>
      <w:r w:rsidRPr="00542A27">
        <w:rPr>
          <w:lang w:val="en-US"/>
        </w:rPr>
        <w:t>Microsoft SQL Server uses 4 drives for the storages of system databases and user databases.</w:t>
      </w:r>
      <w:r w:rsidR="00343E7B" w:rsidRPr="00542A27">
        <w:rPr>
          <w:lang w:val="en-US"/>
        </w:rPr>
        <w:t xml:space="preserve"> </w:t>
      </w:r>
    </w:p>
    <w:tbl>
      <w:tblPr>
        <w:tblStyle w:val="EinfacheTabelle4"/>
        <w:tblW w:w="0" w:type="auto"/>
        <w:tblLook w:val="04A0" w:firstRow="1" w:lastRow="0" w:firstColumn="1" w:lastColumn="0" w:noHBand="0" w:noVBand="1"/>
      </w:tblPr>
      <w:tblGrid>
        <w:gridCol w:w="993"/>
        <w:gridCol w:w="8069"/>
      </w:tblGrid>
      <w:tr w:rsidR="004D4ED5" w:rsidRPr="00542A27" w14:paraId="39C63B5C" w14:textId="77777777" w:rsidTr="00EC1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20E64A" w14:textId="295F1D6F" w:rsidR="004D4ED5" w:rsidRPr="00542A27" w:rsidRDefault="00DE2FC7" w:rsidP="001512A8">
            <w:pPr>
              <w:rPr>
                <w:lang w:val="en-US"/>
              </w:rPr>
            </w:pPr>
            <w:r>
              <w:rPr>
                <w:lang w:val="en-US"/>
              </w:rPr>
              <w:t>Drive</w:t>
            </w:r>
          </w:p>
        </w:tc>
        <w:tc>
          <w:tcPr>
            <w:tcW w:w="8069" w:type="dxa"/>
          </w:tcPr>
          <w:p w14:paraId="2C2F9DD2" w14:textId="2AF4BD31" w:rsidR="004D4ED5" w:rsidRPr="00542A27" w:rsidRDefault="00DE2FC7" w:rsidP="001512A8">
            <w:pPr>
              <w:cnfStyle w:val="100000000000" w:firstRow="1" w:lastRow="0" w:firstColumn="0" w:lastColumn="0" w:oddVBand="0" w:evenVBand="0" w:oddHBand="0" w:evenHBand="0" w:firstRowFirstColumn="0" w:firstRowLastColumn="0" w:lastRowFirstColumn="0" w:lastRowLastColumn="0"/>
              <w:rPr>
                <w:lang w:val="en-US"/>
              </w:rPr>
            </w:pPr>
            <w:r>
              <w:rPr>
                <w:lang w:val="en-US"/>
              </w:rPr>
              <w:t>Usage</w:t>
            </w:r>
          </w:p>
        </w:tc>
      </w:tr>
      <w:tr w:rsidR="004D4ED5" w:rsidRPr="00542A27" w14:paraId="200CF546" w14:textId="77777777" w:rsidTr="00EC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E00980" w14:textId="431469C6" w:rsidR="004D4ED5" w:rsidRPr="00542A27" w:rsidRDefault="00FA3727" w:rsidP="001512A8">
            <w:pPr>
              <w:rPr>
                <w:lang w:val="en-US"/>
              </w:rPr>
            </w:pPr>
            <w:r w:rsidRPr="00542A27">
              <w:rPr>
                <w:lang w:val="en-US"/>
              </w:rPr>
              <w:t>C</w:t>
            </w:r>
            <w:r w:rsidR="004D4ED5" w:rsidRPr="00542A27">
              <w:rPr>
                <w:lang w:val="en-US"/>
              </w:rPr>
              <w:t>:</w:t>
            </w:r>
          </w:p>
        </w:tc>
        <w:tc>
          <w:tcPr>
            <w:tcW w:w="8069" w:type="dxa"/>
          </w:tcPr>
          <w:p w14:paraId="21D91525" w14:textId="1AC16BBD" w:rsidR="004D4ED5" w:rsidRPr="00542A27" w:rsidRDefault="00B22864" w:rsidP="001512A8">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OS-System</w:t>
            </w:r>
          </w:p>
        </w:tc>
      </w:tr>
      <w:tr w:rsidR="004D4ED5" w:rsidRPr="00542A27" w14:paraId="44037CFA" w14:textId="77777777" w:rsidTr="00EC1EA3">
        <w:tc>
          <w:tcPr>
            <w:cnfStyle w:val="001000000000" w:firstRow="0" w:lastRow="0" w:firstColumn="1" w:lastColumn="0" w:oddVBand="0" w:evenVBand="0" w:oddHBand="0" w:evenHBand="0" w:firstRowFirstColumn="0" w:firstRowLastColumn="0" w:lastRowFirstColumn="0" w:lastRowLastColumn="0"/>
            <w:tcW w:w="993" w:type="dxa"/>
          </w:tcPr>
          <w:p w14:paraId="2C2A4730" w14:textId="34402FCD" w:rsidR="004D4ED5" w:rsidRPr="00542A27" w:rsidRDefault="00B22864" w:rsidP="001512A8">
            <w:pPr>
              <w:rPr>
                <w:lang w:val="en-US"/>
              </w:rPr>
            </w:pPr>
            <w:r w:rsidRPr="00542A27">
              <w:rPr>
                <w:lang w:val="en-US"/>
              </w:rPr>
              <w:t>D:</w:t>
            </w:r>
          </w:p>
        </w:tc>
        <w:tc>
          <w:tcPr>
            <w:tcW w:w="8069" w:type="dxa"/>
          </w:tcPr>
          <w:p w14:paraId="6CF9BE39" w14:textId="681EA8DC" w:rsidR="004D4ED5" w:rsidRPr="00542A27" w:rsidRDefault="00B22864" w:rsidP="004D4ED5">
            <w:pPr>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 xml:space="preserve">System databases (master, model, </w:t>
            </w:r>
            <w:proofErr w:type="spellStart"/>
            <w:r w:rsidRPr="00542A27">
              <w:rPr>
                <w:lang w:val="en-US"/>
              </w:rPr>
              <w:t>msdb</w:t>
            </w:r>
            <w:proofErr w:type="spellEnd"/>
            <w:r w:rsidRPr="00542A27">
              <w:rPr>
                <w:lang w:val="en-US"/>
              </w:rPr>
              <w:t>)</w:t>
            </w:r>
          </w:p>
        </w:tc>
      </w:tr>
      <w:tr w:rsidR="00795BB8" w:rsidRPr="005E374F" w14:paraId="54B67FD4" w14:textId="77777777" w:rsidTr="00EC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A344CA" w14:textId="02C955B0" w:rsidR="00795BB8" w:rsidRPr="00542A27" w:rsidRDefault="00B22864" w:rsidP="001512A8">
            <w:pPr>
              <w:rPr>
                <w:lang w:val="en-US"/>
              </w:rPr>
            </w:pPr>
            <w:r w:rsidRPr="00542A27">
              <w:rPr>
                <w:lang w:val="en-US"/>
              </w:rPr>
              <w:t>E:</w:t>
            </w:r>
          </w:p>
        </w:tc>
        <w:tc>
          <w:tcPr>
            <w:tcW w:w="8069" w:type="dxa"/>
          </w:tcPr>
          <w:p w14:paraId="4B92AAFD" w14:textId="39A4156E" w:rsidR="00795BB8" w:rsidRPr="00542A27" w:rsidRDefault="00B22864" w:rsidP="004D4ED5">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Database files for user databases</w:t>
            </w:r>
          </w:p>
        </w:tc>
      </w:tr>
      <w:tr w:rsidR="00895452" w:rsidRPr="005E374F" w14:paraId="413D29C2" w14:textId="77777777" w:rsidTr="00EC1EA3">
        <w:tc>
          <w:tcPr>
            <w:cnfStyle w:val="001000000000" w:firstRow="0" w:lastRow="0" w:firstColumn="1" w:lastColumn="0" w:oddVBand="0" w:evenVBand="0" w:oddHBand="0" w:evenHBand="0" w:firstRowFirstColumn="0" w:firstRowLastColumn="0" w:lastRowFirstColumn="0" w:lastRowLastColumn="0"/>
            <w:tcW w:w="993" w:type="dxa"/>
          </w:tcPr>
          <w:p w14:paraId="66B04560" w14:textId="5BF5941D" w:rsidR="00895452" w:rsidRPr="00542A27" w:rsidRDefault="00B22864" w:rsidP="001512A8">
            <w:pPr>
              <w:rPr>
                <w:lang w:val="en-US"/>
              </w:rPr>
            </w:pPr>
            <w:r w:rsidRPr="00542A27">
              <w:rPr>
                <w:lang w:val="en-US"/>
              </w:rPr>
              <w:t>F:</w:t>
            </w:r>
          </w:p>
        </w:tc>
        <w:tc>
          <w:tcPr>
            <w:tcW w:w="8069" w:type="dxa"/>
          </w:tcPr>
          <w:p w14:paraId="13626804" w14:textId="7C4C5D9E" w:rsidR="00895452" w:rsidRPr="00542A27" w:rsidRDefault="00B22864" w:rsidP="004D4ED5">
            <w:pPr>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Log files for user databases</w:t>
            </w:r>
          </w:p>
        </w:tc>
      </w:tr>
      <w:tr w:rsidR="00895452" w:rsidRPr="005E374F" w14:paraId="635F8267" w14:textId="77777777" w:rsidTr="00EC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C490E5F" w14:textId="43A9105E" w:rsidR="00895452" w:rsidRPr="00542A27" w:rsidRDefault="00B22864" w:rsidP="001512A8">
            <w:pPr>
              <w:rPr>
                <w:lang w:val="en-US"/>
              </w:rPr>
            </w:pPr>
            <w:r w:rsidRPr="00542A27">
              <w:rPr>
                <w:lang w:val="en-US"/>
              </w:rPr>
              <w:t>H:</w:t>
            </w:r>
          </w:p>
        </w:tc>
        <w:tc>
          <w:tcPr>
            <w:tcW w:w="8069" w:type="dxa"/>
          </w:tcPr>
          <w:p w14:paraId="49B94381" w14:textId="524592A0" w:rsidR="00895452" w:rsidRPr="00542A27" w:rsidRDefault="00B22864" w:rsidP="004D4ED5">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Database and log files from system database TEMPDB</w:t>
            </w:r>
          </w:p>
        </w:tc>
      </w:tr>
    </w:tbl>
    <w:p w14:paraId="73BC08E5" w14:textId="720619A7" w:rsidR="001512A8" w:rsidRPr="00542A27" w:rsidRDefault="00C43817" w:rsidP="001512A8">
      <w:pPr>
        <w:rPr>
          <w:lang w:val="en-US"/>
        </w:rPr>
      </w:pPr>
      <w:r w:rsidRPr="00542A27">
        <w:rPr>
          <w:lang w:val="en-US"/>
        </w:rPr>
        <w:t>Read and Write latency of some drives are suffering from bad performance</w:t>
      </w:r>
      <w:r w:rsidR="000B7E13" w:rsidRPr="00542A27">
        <w:rPr>
          <w:lang w:val="en-US"/>
        </w:rPr>
        <w:t>:</w:t>
      </w:r>
    </w:p>
    <w:tbl>
      <w:tblPr>
        <w:tblStyle w:val="EinfacheTabelle4"/>
        <w:tblW w:w="8681" w:type="dxa"/>
        <w:tblLook w:val="04A0" w:firstRow="1" w:lastRow="0" w:firstColumn="1" w:lastColumn="0" w:noHBand="0" w:noVBand="1"/>
      </w:tblPr>
      <w:tblGrid>
        <w:gridCol w:w="1200"/>
        <w:gridCol w:w="1200"/>
        <w:gridCol w:w="1200"/>
        <w:gridCol w:w="1200"/>
        <w:gridCol w:w="1200"/>
        <w:gridCol w:w="1231"/>
        <w:gridCol w:w="1450"/>
      </w:tblGrid>
      <w:tr w:rsidR="000B7E13" w:rsidRPr="00542A27" w14:paraId="1F6E6323" w14:textId="77777777" w:rsidTr="00D8395E">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B84FC0" w14:textId="77777777" w:rsidR="000B7E13" w:rsidRPr="00542A27" w:rsidRDefault="000B7E13" w:rsidP="000B7E13">
            <w:pPr>
              <w:keepLines w:val="0"/>
              <w:spacing w:after="0"/>
              <w:rPr>
                <w:lang w:val="en-US"/>
              </w:rPr>
            </w:pPr>
            <w:r w:rsidRPr="00542A27">
              <w:rPr>
                <w:lang w:val="en-US"/>
              </w:rPr>
              <w:t>Drive</w:t>
            </w:r>
          </w:p>
        </w:tc>
        <w:tc>
          <w:tcPr>
            <w:tcW w:w="1200" w:type="dxa"/>
            <w:noWrap/>
            <w:hideMark/>
          </w:tcPr>
          <w:p w14:paraId="72D8385D"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r w:rsidRPr="00542A27">
              <w:rPr>
                <w:lang w:val="en-US"/>
              </w:rPr>
              <w:t>Read Latency</w:t>
            </w:r>
          </w:p>
        </w:tc>
        <w:tc>
          <w:tcPr>
            <w:tcW w:w="1200" w:type="dxa"/>
            <w:noWrap/>
            <w:hideMark/>
          </w:tcPr>
          <w:p w14:paraId="6BF729CA"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r w:rsidRPr="00542A27">
              <w:rPr>
                <w:lang w:val="en-US"/>
              </w:rPr>
              <w:t>Write Latency</w:t>
            </w:r>
          </w:p>
        </w:tc>
        <w:tc>
          <w:tcPr>
            <w:tcW w:w="1200" w:type="dxa"/>
            <w:noWrap/>
            <w:hideMark/>
          </w:tcPr>
          <w:p w14:paraId="040B1AB4"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r w:rsidRPr="00542A27">
              <w:rPr>
                <w:lang w:val="en-US"/>
              </w:rPr>
              <w:t>Overall Latency</w:t>
            </w:r>
          </w:p>
        </w:tc>
        <w:tc>
          <w:tcPr>
            <w:tcW w:w="1200" w:type="dxa"/>
            <w:noWrap/>
            <w:hideMark/>
          </w:tcPr>
          <w:p w14:paraId="390C29A8"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Avg</w:t>
            </w:r>
            <w:proofErr w:type="spellEnd"/>
            <w:r w:rsidRPr="00542A27">
              <w:rPr>
                <w:lang w:val="en-US"/>
              </w:rPr>
              <w:t xml:space="preserve"> Bytes/Read</w:t>
            </w:r>
          </w:p>
        </w:tc>
        <w:tc>
          <w:tcPr>
            <w:tcW w:w="1231" w:type="dxa"/>
            <w:noWrap/>
            <w:hideMark/>
          </w:tcPr>
          <w:p w14:paraId="22A6E9B3"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Avg</w:t>
            </w:r>
            <w:proofErr w:type="spellEnd"/>
            <w:r w:rsidRPr="00542A27">
              <w:rPr>
                <w:lang w:val="en-US"/>
              </w:rPr>
              <w:t xml:space="preserve"> Bytes/Write</w:t>
            </w:r>
          </w:p>
        </w:tc>
        <w:tc>
          <w:tcPr>
            <w:tcW w:w="1450" w:type="dxa"/>
            <w:noWrap/>
            <w:hideMark/>
          </w:tcPr>
          <w:p w14:paraId="78603F6E" w14:textId="77777777" w:rsidR="000B7E13" w:rsidRPr="00542A27"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rPr>
                <w:lang w:val="en-US"/>
              </w:rPr>
            </w:pPr>
            <w:proofErr w:type="spellStart"/>
            <w:r w:rsidRPr="00542A27">
              <w:rPr>
                <w:lang w:val="en-US"/>
              </w:rPr>
              <w:t>Avg</w:t>
            </w:r>
            <w:proofErr w:type="spellEnd"/>
            <w:r w:rsidRPr="00542A27">
              <w:rPr>
                <w:lang w:val="en-US"/>
              </w:rPr>
              <w:t xml:space="preserve"> Bytes/Transfer</w:t>
            </w:r>
          </w:p>
        </w:tc>
      </w:tr>
      <w:tr w:rsidR="00C43817" w:rsidRPr="00542A27" w14:paraId="77DC0B03" w14:textId="77777777" w:rsidTr="00D839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DDF913" w14:textId="3C950B20" w:rsidR="00C43817" w:rsidRPr="00542A27" w:rsidRDefault="00C43817" w:rsidP="00C43817">
            <w:pPr>
              <w:keepLines w:val="0"/>
              <w:spacing w:after="0"/>
              <w:rPr>
                <w:lang w:val="en-US"/>
              </w:rPr>
            </w:pPr>
            <w:r w:rsidRPr="00542A27">
              <w:rPr>
                <w:lang w:val="en-US"/>
              </w:rPr>
              <w:t>D:</w:t>
            </w:r>
          </w:p>
        </w:tc>
        <w:tc>
          <w:tcPr>
            <w:tcW w:w="1200" w:type="dxa"/>
            <w:noWrap/>
            <w:hideMark/>
          </w:tcPr>
          <w:p w14:paraId="26A9330F" w14:textId="5E7AB748"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31</w:t>
            </w:r>
          </w:p>
        </w:tc>
        <w:tc>
          <w:tcPr>
            <w:tcW w:w="1200" w:type="dxa"/>
            <w:noWrap/>
            <w:hideMark/>
          </w:tcPr>
          <w:p w14:paraId="4418822B" w14:textId="45532F9A"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20</w:t>
            </w:r>
          </w:p>
        </w:tc>
        <w:tc>
          <w:tcPr>
            <w:tcW w:w="1200" w:type="dxa"/>
            <w:noWrap/>
            <w:hideMark/>
          </w:tcPr>
          <w:p w14:paraId="7B467C8A" w14:textId="35C4EC8E"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22</w:t>
            </w:r>
          </w:p>
        </w:tc>
        <w:tc>
          <w:tcPr>
            <w:tcW w:w="1200" w:type="dxa"/>
            <w:noWrap/>
            <w:hideMark/>
          </w:tcPr>
          <w:p w14:paraId="5A24C0ED" w14:textId="32AD4E04"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131733</w:t>
            </w:r>
          </w:p>
        </w:tc>
        <w:tc>
          <w:tcPr>
            <w:tcW w:w="1231" w:type="dxa"/>
            <w:noWrap/>
            <w:hideMark/>
          </w:tcPr>
          <w:p w14:paraId="4F0A3B9C" w14:textId="5AF4A817"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5950</w:t>
            </w:r>
          </w:p>
        </w:tc>
        <w:tc>
          <w:tcPr>
            <w:tcW w:w="1450" w:type="dxa"/>
            <w:noWrap/>
            <w:hideMark/>
          </w:tcPr>
          <w:p w14:paraId="569D9EA5" w14:textId="41B1E26F"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37355</w:t>
            </w:r>
          </w:p>
        </w:tc>
      </w:tr>
      <w:tr w:rsidR="00C43817" w:rsidRPr="00542A27" w14:paraId="5C24F093" w14:textId="77777777" w:rsidTr="00D839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F9F6195" w14:textId="5B709E08" w:rsidR="00C43817" w:rsidRPr="00542A27" w:rsidRDefault="00C43817" w:rsidP="00C43817">
            <w:pPr>
              <w:keepLines w:val="0"/>
              <w:spacing w:after="0"/>
              <w:rPr>
                <w:b w:val="0"/>
                <w:color w:val="FF0000"/>
                <w:lang w:val="en-US"/>
              </w:rPr>
            </w:pPr>
            <w:r w:rsidRPr="00542A27">
              <w:rPr>
                <w:b w:val="0"/>
                <w:color w:val="FF0000"/>
                <w:lang w:val="en-US"/>
              </w:rPr>
              <w:t>E:</w:t>
            </w:r>
          </w:p>
        </w:tc>
        <w:tc>
          <w:tcPr>
            <w:tcW w:w="1200" w:type="dxa"/>
            <w:noWrap/>
            <w:hideMark/>
          </w:tcPr>
          <w:p w14:paraId="306F75C2" w14:textId="5A5F758E"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61</w:t>
            </w:r>
          </w:p>
        </w:tc>
        <w:tc>
          <w:tcPr>
            <w:tcW w:w="1200" w:type="dxa"/>
            <w:noWrap/>
            <w:hideMark/>
          </w:tcPr>
          <w:p w14:paraId="3F056B25" w14:textId="3FCB8C22"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10</w:t>
            </w:r>
          </w:p>
        </w:tc>
        <w:tc>
          <w:tcPr>
            <w:tcW w:w="1200" w:type="dxa"/>
            <w:noWrap/>
            <w:hideMark/>
          </w:tcPr>
          <w:p w14:paraId="4DEC31D9" w14:textId="6BC33EB2"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51</w:t>
            </w:r>
          </w:p>
        </w:tc>
        <w:tc>
          <w:tcPr>
            <w:tcW w:w="1200" w:type="dxa"/>
            <w:noWrap/>
            <w:hideMark/>
          </w:tcPr>
          <w:p w14:paraId="79412FA4" w14:textId="5B6B6BD9"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806719</w:t>
            </w:r>
          </w:p>
        </w:tc>
        <w:tc>
          <w:tcPr>
            <w:tcW w:w="1231" w:type="dxa"/>
            <w:noWrap/>
            <w:hideMark/>
          </w:tcPr>
          <w:p w14:paraId="54CD904D" w14:textId="226FCFB3"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111642</w:t>
            </w:r>
          </w:p>
        </w:tc>
        <w:tc>
          <w:tcPr>
            <w:tcW w:w="1450" w:type="dxa"/>
            <w:noWrap/>
            <w:hideMark/>
          </w:tcPr>
          <w:p w14:paraId="6D25BF33" w14:textId="5FC81B55"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542A27">
              <w:rPr>
                <w:color w:val="FF0000"/>
                <w:lang w:val="en-US"/>
              </w:rPr>
              <w:t>673303</w:t>
            </w:r>
          </w:p>
        </w:tc>
      </w:tr>
      <w:tr w:rsidR="00C43817" w:rsidRPr="00542A27" w14:paraId="15D78F24" w14:textId="77777777" w:rsidTr="00D839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7A6137DF" w14:textId="5625A59C" w:rsidR="00C43817" w:rsidRPr="00542A27" w:rsidRDefault="00C43817" w:rsidP="00C43817">
            <w:pPr>
              <w:keepLines w:val="0"/>
              <w:spacing w:after="0"/>
              <w:rPr>
                <w:lang w:val="en-US"/>
              </w:rPr>
            </w:pPr>
            <w:r w:rsidRPr="00542A27">
              <w:rPr>
                <w:lang w:val="en-US"/>
              </w:rPr>
              <w:t>F:</w:t>
            </w:r>
          </w:p>
        </w:tc>
        <w:tc>
          <w:tcPr>
            <w:tcW w:w="1200" w:type="dxa"/>
            <w:noWrap/>
          </w:tcPr>
          <w:p w14:paraId="7EA95D38" w14:textId="5FFA8122"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5</w:t>
            </w:r>
          </w:p>
        </w:tc>
        <w:tc>
          <w:tcPr>
            <w:tcW w:w="1200" w:type="dxa"/>
            <w:noWrap/>
          </w:tcPr>
          <w:p w14:paraId="426A2D3F" w14:textId="286B45B7"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4</w:t>
            </w:r>
          </w:p>
        </w:tc>
        <w:tc>
          <w:tcPr>
            <w:tcW w:w="1200" w:type="dxa"/>
            <w:noWrap/>
          </w:tcPr>
          <w:p w14:paraId="7E56A61F" w14:textId="5701B33E"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4</w:t>
            </w:r>
          </w:p>
        </w:tc>
        <w:tc>
          <w:tcPr>
            <w:tcW w:w="1200" w:type="dxa"/>
            <w:noWrap/>
          </w:tcPr>
          <w:p w14:paraId="5D2FE41A" w14:textId="5CB7C0E6"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671948</w:t>
            </w:r>
          </w:p>
        </w:tc>
        <w:tc>
          <w:tcPr>
            <w:tcW w:w="1231" w:type="dxa"/>
            <w:noWrap/>
          </w:tcPr>
          <w:p w14:paraId="114EA891" w14:textId="3AD5EDA2"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58215</w:t>
            </w:r>
          </w:p>
        </w:tc>
        <w:tc>
          <w:tcPr>
            <w:tcW w:w="1450" w:type="dxa"/>
            <w:noWrap/>
          </w:tcPr>
          <w:p w14:paraId="11A58477" w14:textId="6F70CBAD" w:rsidR="00C43817" w:rsidRPr="00542A27" w:rsidRDefault="00C43817" w:rsidP="00C43817">
            <w:pPr>
              <w:keepLines w:val="0"/>
              <w:spacing w:after="0"/>
              <w:jc w:val="right"/>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66499</w:t>
            </w:r>
          </w:p>
        </w:tc>
      </w:tr>
      <w:tr w:rsidR="00C43817" w:rsidRPr="00542A27" w14:paraId="55F5D12B" w14:textId="77777777" w:rsidTr="00D8395E">
        <w:trPr>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79E0DCCA" w14:textId="7950C628" w:rsidR="00C43817" w:rsidRPr="00542A27" w:rsidRDefault="00C43817" w:rsidP="00C43817">
            <w:pPr>
              <w:keepLines w:val="0"/>
              <w:spacing w:after="0"/>
              <w:rPr>
                <w:lang w:val="en-US"/>
              </w:rPr>
            </w:pPr>
            <w:r w:rsidRPr="00542A27">
              <w:rPr>
                <w:lang w:val="en-US"/>
              </w:rPr>
              <w:t>H:</w:t>
            </w:r>
          </w:p>
        </w:tc>
        <w:tc>
          <w:tcPr>
            <w:tcW w:w="1200" w:type="dxa"/>
            <w:noWrap/>
          </w:tcPr>
          <w:p w14:paraId="428322D3" w14:textId="5EC460F9"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3</w:t>
            </w:r>
          </w:p>
        </w:tc>
        <w:tc>
          <w:tcPr>
            <w:tcW w:w="1200" w:type="dxa"/>
            <w:noWrap/>
          </w:tcPr>
          <w:p w14:paraId="3BDBD2CB" w14:textId="71DEF44E"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8</w:t>
            </w:r>
          </w:p>
        </w:tc>
        <w:tc>
          <w:tcPr>
            <w:tcW w:w="1200" w:type="dxa"/>
            <w:noWrap/>
          </w:tcPr>
          <w:p w14:paraId="7B327CED" w14:textId="28A503C0"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6</w:t>
            </w:r>
          </w:p>
        </w:tc>
        <w:tc>
          <w:tcPr>
            <w:tcW w:w="1200" w:type="dxa"/>
            <w:noWrap/>
          </w:tcPr>
          <w:p w14:paraId="5AEF7F5D" w14:textId="1DE25037"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61826</w:t>
            </w:r>
          </w:p>
        </w:tc>
        <w:tc>
          <w:tcPr>
            <w:tcW w:w="1231" w:type="dxa"/>
            <w:noWrap/>
          </w:tcPr>
          <w:p w14:paraId="30F608F3" w14:textId="4B0402DF"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64604</w:t>
            </w:r>
          </w:p>
        </w:tc>
        <w:tc>
          <w:tcPr>
            <w:tcW w:w="1450" w:type="dxa"/>
            <w:noWrap/>
          </w:tcPr>
          <w:p w14:paraId="69C216E9" w14:textId="3368DAB9" w:rsidR="00C43817" w:rsidRPr="00542A27" w:rsidRDefault="00C43817" w:rsidP="00C43817">
            <w:pPr>
              <w:keepLines w:val="0"/>
              <w:spacing w:after="0"/>
              <w:jc w:val="right"/>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63569</w:t>
            </w:r>
          </w:p>
        </w:tc>
      </w:tr>
    </w:tbl>
    <w:p w14:paraId="2B028D96" w14:textId="56218ECC" w:rsidR="00C43817" w:rsidRPr="00542A27" w:rsidRDefault="00C43817" w:rsidP="000B7E13">
      <w:pPr>
        <w:rPr>
          <w:lang w:val="en-US"/>
        </w:rPr>
      </w:pPr>
      <w:bookmarkStart w:id="14" w:name="_Toc440956411"/>
      <w:r w:rsidRPr="00542A27">
        <w:rPr>
          <w:lang w:val="en-US"/>
        </w:rPr>
        <w:lastRenderedPageBreak/>
        <w:t>The read latency for drive E: is – based on the values – to slow. A very good performance counter for drive latency is &lt;= 5 (very good), &gt;5 and &lt;= 10 (good), &gt;10 and &lt;=20 (average), &gt;20 (below average).</w:t>
      </w:r>
    </w:p>
    <w:p w14:paraId="7FC22565" w14:textId="7020232C" w:rsidR="00C43817" w:rsidRPr="00542A27" w:rsidRDefault="00C43817" w:rsidP="000B7E13">
      <w:pPr>
        <w:rPr>
          <w:lang w:val="en-US"/>
        </w:rPr>
      </w:pPr>
      <w:r w:rsidRPr="00542A27">
        <w:rPr>
          <w:lang w:val="en-US"/>
        </w:rPr>
        <w:t xml:space="preserve">Further investigation of the storage latency </w:t>
      </w:r>
      <w:proofErr w:type="gramStart"/>
      <w:r w:rsidRPr="00542A27">
        <w:rPr>
          <w:lang w:val="en-US"/>
        </w:rPr>
        <w:t>are</w:t>
      </w:r>
      <w:proofErr w:type="gramEnd"/>
      <w:r w:rsidRPr="00542A27">
        <w:rPr>
          <w:lang w:val="en-US"/>
        </w:rPr>
        <w:t xml:space="preserve"> required!</w:t>
      </w:r>
    </w:p>
    <w:p w14:paraId="66D72713" w14:textId="15587920" w:rsidR="00C87678" w:rsidRPr="00542A27" w:rsidRDefault="00DA4B76" w:rsidP="00C87678">
      <w:pPr>
        <w:rPr>
          <w:lang w:val="en-US"/>
        </w:rPr>
      </w:pPr>
      <w:r w:rsidRPr="00542A27">
        <w:rPr>
          <w:lang w:val="en-US"/>
        </w:rPr>
        <w:t xml:space="preserve">The size and physical placement of the tempdb database can affect the performance of a system. For example, if the size that is defined for tempdb is too small, part of the system-processing load may be taken up with </w:t>
      </w:r>
      <w:r w:rsidR="000D39A8" w:rsidRPr="00542A27">
        <w:rPr>
          <w:lang w:val="en-US"/>
        </w:rPr>
        <w:t>auto growing</w:t>
      </w:r>
      <w:r w:rsidRPr="00542A27">
        <w:rPr>
          <w:lang w:val="en-US"/>
        </w:rPr>
        <w:t xml:space="preserve"> tempdb to the size required to support the workload every time you restart the instance of SQL Server. This overhead can be </w:t>
      </w:r>
      <w:proofErr w:type="gramStart"/>
      <w:r w:rsidRPr="00542A27">
        <w:rPr>
          <w:lang w:val="en-US"/>
        </w:rPr>
        <w:t>avoid</w:t>
      </w:r>
      <w:proofErr w:type="gramEnd"/>
      <w:r w:rsidRPr="00542A27">
        <w:rPr>
          <w:lang w:val="en-US"/>
        </w:rPr>
        <w:t xml:space="preserve"> by increasing the sizes of the tempdb data and log file. The system database tempdb is used for several tasks inside the Database Storage Engine:</w:t>
      </w:r>
    </w:p>
    <w:p w14:paraId="6702DEF0" w14:textId="556A56E8" w:rsidR="00C87678" w:rsidRPr="00542A27" w:rsidRDefault="00C87678" w:rsidP="00C87678">
      <w:pPr>
        <w:pStyle w:val="Aufzhlungszeichen"/>
        <w:rPr>
          <w:lang w:val="en-US"/>
        </w:rPr>
      </w:pPr>
      <w:r w:rsidRPr="00542A27">
        <w:rPr>
          <w:lang w:val="en-US"/>
        </w:rPr>
        <w:t>Read Committed Snapshot Isolation</w:t>
      </w:r>
      <w:r w:rsidR="005854CB" w:rsidRPr="00542A27">
        <w:rPr>
          <w:rStyle w:val="Funotenzeichen"/>
          <w:lang w:val="en-US"/>
        </w:rPr>
        <w:footnoteReference w:id="6"/>
      </w:r>
    </w:p>
    <w:p w14:paraId="742F91A0" w14:textId="0E1EC00F" w:rsidR="00C87678" w:rsidRPr="00542A27" w:rsidRDefault="00C87678" w:rsidP="00C87678">
      <w:pPr>
        <w:pStyle w:val="Aufzhlungszeichen"/>
        <w:rPr>
          <w:lang w:val="en-US"/>
        </w:rPr>
      </w:pPr>
      <w:r w:rsidRPr="00542A27">
        <w:rPr>
          <w:lang w:val="en-US"/>
        </w:rPr>
        <w:t>HASH Join Operation</w:t>
      </w:r>
      <w:r w:rsidR="00DC0408" w:rsidRPr="00542A27">
        <w:rPr>
          <w:lang w:val="en-US"/>
        </w:rPr>
        <w:t>s</w:t>
      </w:r>
      <w:r w:rsidR="00E23A03" w:rsidRPr="00542A27">
        <w:rPr>
          <w:rStyle w:val="Funotenzeichen"/>
          <w:lang w:val="en-US"/>
        </w:rPr>
        <w:footnoteReference w:id="7"/>
      </w:r>
    </w:p>
    <w:p w14:paraId="5FF28B4D" w14:textId="30FEE4D0" w:rsidR="00C87678" w:rsidRPr="00542A27" w:rsidRDefault="00C87678" w:rsidP="00C87678">
      <w:pPr>
        <w:pStyle w:val="Aufzhlungszeichen"/>
        <w:rPr>
          <w:lang w:val="en-US"/>
        </w:rPr>
      </w:pPr>
      <w:r w:rsidRPr="00542A27">
        <w:rPr>
          <w:lang w:val="en-US"/>
        </w:rPr>
        <w:t>SORT Operation</w:t>
      </w:r>
      <w:r w:rsidR="00DC0408" w:rsidRPr="00542A27">
        <w:rPr>
          <w:lang w:val="en-US"/>
        </w:rPr>
        <w:t>s</w:t>
      </w:r>
      <w:r w:rsidR="00E23A03" w:rsidRPr="00542A27">
        <w:rPr>
          <w:rStyle w:val="Funotenzeichen"/>
          <w:lang w:val="en-US"/>
        </w:rPr>
        <w:footnoteReference w:id="8"/>
      </w:r>
    </w:p>
    <w:p w14:paraId="76D703A1" w14:textId="4652AA52" w:rsidR="00C87678" w:rsidRPr="00542A27" w:rsidRDefault="00DC0408" w:rsidP="00C87678">
      <w:pPr>
        <w:pStyle w:val="Aufzhlungszeichen"/>
        <w:rPr>
          <w:lang w:val="en-US"/>
        </w:rPr>
      </w:pPr>
      <w:r w:rsidRPr="00542A27">
        <w:rPr>
          <w:lang w:val="en-US"/>
        </w:rPr>
        <w:t>Temporary Tables</w:t>
      </w:r>
    </w:p>
    <w:p w14:paraId="31B31E97" w14:textId="441B7510" w:rsidR="00C87678" w:rsidRPr="00542A27" w:rsidRDefault="00DC0408" w:rsidP="00C87678">
      <w:pPr>
        <w:pStyle w:val="Aufzhlungszeichen"/>
        <w:rPr>
          <w:lang w:val="en-US"/>
        </w:rPr>
      </w:pPr>
      <w:r w:rsidRPr="00542A27">
        <w:rPr>
          <w:lang w:val="en-US"/>
        </w:rPr>
        <w:t>Table variables</w:t>
      </w:r>
    </w:p>
    <w:p w14:paraId="4244A65E" w14:textId="227D6CEE" w:rsidR="005779B5" w:rsidRPr="00542A27" w:rsidRDefault="00C87678" w:rsidP="000B7E13">
      <w:pPr>
        <w:pStyle w:val="Aufzhlungszeichen"/>
        <w:rPr>
          <w:lang w:val="en-US"/>
        </w:rPr>
      </w:pPr>
      <w:r w:rsidRPr="00542A27">
        <w:rPr>
          <w:lang w:val="en-US"/>
        </w:rPr>
        <w:t>…</w:t>
      </w:r>
    </w:p>
    <w:p w14:paraId="33FE43B7" w14:textId="482E5E8C" w:rsidR="00DA4B76" w:rsidRPr="00542A27" w:rsidRDefault="000D39A8" w:rsidP="00114FAA">
      <w:pPr>
        <w:pStyle w:val="berschrift2"/>
        <w:rPr>
          <w:lang w:val="en-US"/>
        </w:rPr>
      </w:pPr>
      <w:bookmarkStart w:id="15" w:name="_Toc497821319"/>
      <w:r w:rsidRPr="00542A27">
        <w:rPr>
          <w:lang w:val="en-US"/>
        </w:rPr>
        <w:t>Tempdb</w:t>
      </w:r>
      <w:r w:rsidR="00DA4B76" w:rsidRPr="00542A27">
        <w:rPr>
          <w:lang w:val="en-US"/>
        </w:rPr>
        <w:t xml:space="preserve"> Size and Placement Recommendations</w:t>
      </w:r>
      <w:bookmarkEnd w:id="15"/>
    </w:p>
    <w:p w14:paraId="3C78A26A" w14:textId="7542B51C" w:rsidR="00DA4B76" w:rsidRPr="00542A27" w:rsidRDefault="00DA4B76" w:rsidP="00DA4B76">
      <w:pPr>
        <w:rPr>
          <w:lang w:val="en-US"/>
        </w:rPr>
      </w:pPr>
      <w:r w:rsidRPr="00542A27">
        <w:rPr>
          <w:lang w:val="en-US"/>
        </w:rPr>
        <w:t>To achieve optimal tempdb performance, the following recommendation should take place for tempdb:</w:t>
      </w:r>
    </w:p>
    <w:p w14:paraId="2E901636" w14:textId="1B2AE630" w:rsidR="00DA4B76" w:rsidRPr="00542A27" w:rsidRDefault="00DA4B76" w:rsidP="00DA4B76">
      <w:pPr>
        <w:pStyle w:val="Aufzhlungszeichen"/>
        <w:rPr>
          <w:lang w:val="en-US"/>
        </w:rPr>
      </w:pPr>
      <w:r w:rsidRPr="00542A27">
        <w:rPr>
          <w:lang w:val="en-US"/>
        </w:rPr>
        <w:t>Allow for tempdb files to automatically grow as required. This allows for the file to grow until the disk is full.</w:t>
      </w:r>
    </w:p>
    <w:p w14:paraId="57CD9262" w14:textId="2E1642AE" w:rsidR="00DA4B76" w:rsidRPr="00542A27" w:rsidRDefault="00DA4B76" w:rsidP="00DA4B76">
      <w:pPr>
        <w:pStyle w:val="Untertitel"/>
        <w:rPr>
          <w:lang w:val="en-US"/>
        </w:rPr>
      </w:pPr>
      <w:r w:rsidRPr="00542A27">
        <w:rPr>
          <w:lang w:val="en-US"/>
        </w:rPr>
        <w:t>Note</w:t>
      </w:r>
    </w:p>
    <w:p w14:paraId="0475965E" w14:textId="196E5496" w:rsidR="00DA4B76" w:rsidRPr="00542A27" w:rsidRDefault="00DA4B76" w:rsidP="00DA4B76">
      <w:pPr>
        <w:rPr>
          <w:lang w:val="en-US"/>
        </w:rPr>
      </w:pPr>
      <w:r w:rsidRPr="00542A27">
        <w:rPr>
          <w:lang w:val="en-US"/>
        </w:rPr>
        <w:t xml:space="preserve">If the production environment cannot tolerate the potential for application time-outs that may occur during </w:t>
      </w:r>
      <w:r w:rsidR="000D39A8" w:rsidRPr="00542A27">
        <w:rPr>
          <w:lang w:val="en-US"/>
        </w:rPr>
        <w:t>auto grow</w:t>
      </w:r>
      <w:r w:rsidRPr="00542A27">
        <w:rPr>
          <w:lang w:val="en-US"/>
        </w:rPr>
        <w:t xml:space="preserve"> operations, </w:t>
      </w:r>
      <w:proofErr w:type="spellStart"/>
      <w:r w:rsidRPr="00542A27">
        <w:rPr>
          <w:lang w:val="en-US"/>
        </w:rPr>
        <w:t>preallocate</w:t>
      </w:r>
      <w:proofErr w:type="spellEnd"/>
      <w:r w:rsidRPr="00542A27">
        <w:rPr>
          <w:lang w:val="en-US"/>
        </w:rPr>
        <w:t xml:space="preserve"> space to allow for the expected workload.</w:t>
      </w:r>
    </w:p>
    <w:p w14:paraId="35299165" w14:textId="5C6FCE3D" w:rsidR="00DA4B76" w:rsidRPr="00542A27" w:rsidRDefault="00DA4B76" w:rsidP="00DA4B76">
      <w:pPr>
        <w:pStyle w:val="Aufzhlungszeichen"/>
        <w:rPr>
          <w:lang w:val="en-US"/>
        </w:rPr>
      </w:pPr>
      <w:r w:rsidRPr="00542A27">
        <w:rPr>
          <w:b/>
          <w:lang w:val="en-US"/>
        </w:rPr>
        <w:t>Set the file growth increment to a reasonable size to avoid the tempdb database files from growing by too small a value</w:t>
      </w:r>
      <w:r w:rsidRPr="00542A27">
        <w:rPr>
          <w:lang w:val="en-US"/>
        </w:rPr>
        <w:t>. If the file growth is too small, compared to the amount of data that is being written to tempdb, tempdb may have to constantly expand. This will affect performance.</w:t>
      </w:r>
    </w:p>
    <w:p w14:paraId="17ADCA4F" w14:textId="06D435AC" w:rsidR="00DA4B76" w:rsidRPr="00542A27" w:rsidRDefault="00DA4B76" w:rsidP="00DA4B76">
      <w:pPr>
        <w:pStyle w:val="Aufzhlungszeichen"/>
        <w:rPr>
          <w:lang w:val="en-US"/>
        </w:rPr>
      </w:pPr>
      <w:proofErr w:type="spellStart"/>
      <w:r w:rsidRPr="00542A27">
        <w:rPr>
          <w:lang w:val="en-US"/>
        </w:rPr>
        <w:t>Preallocation</w:t>
      </w:r>
      <w:proofErr w:type="spellEnd"/>
      <w:r w:rsidRPr="00542A27">
        <w:rPr>
          <w:lang w:val="en-US"/>
        </w:rPr>
        <w:t xml:space="preserve"> of space for all tempdb files by setting the file size to a value large enough to accommodate the typical workload in the environment. This prevents tempdb from expanding too frequently, which can affect performance. </w:t>
      </w:r>
      <w:r w:rsidR="000D39A8" w:rsidRPr="00542A27">
        <w:rPr>
          <w:lang w:val="en-US"/>
        </w:rPr>
        <w:t>Tempdb</w:t>
      </w:r>
      <w:r w:rsidRPr="00542A27">
        <w:rPr>
          <w:lang w:val="en-US"/>
        </w:rPr>
        <w:t xml:space="preserve"> database should be set to </w:t>
      </w:r>
      <w:r w:rsidR="000D39A8" w:rsidRPr="00542A27">
        <w:rPr>
          <w:lang w:val="en-US"/>
        </w:rPr>
        <w:t>auto grow</w:t>
      </w:r>
      <w:r w:rsidRPr="00542A27">
        <w:rPr>
          <w:lang w:val="en-US"/>
        </w:rPr>
        <w:t xml:space="preserve">, but this should be used to increase disk space for unplanned exceptions. </w:t>
      </w:r>
    </w:p>
    <w:p w14:paraId="10CC55E3" w14:textId="77777777" w:rsidR="00114FAA" w:rsidRPr="00542A27" w:rsidRDefault="00DA4B76" w:rsidP="00DA4B76">
      <w:pPr>
        <w:pStyle w:val="Aufzhlungszeichen"/>
        <w:rPr>
          <w:lang w:val="en-US"/>
        </w:rPr>
      </w:pPr>
      <w:r w:rsidRPr="00542A27">
        <w:rPr>
          <w:lang w:val="en-US"/>
        </w:rPr>
        <w:t xml:space="preserve">Create as many files as needed to maximize disk bandwidth. Using multiple files reduces tempdb storage contention and yields significantly better scalability. </w:t>
      </w:r>
      <w:r w:rsidR="00114FAA" w:rsidRPr="00542A27">
        <w:rPr>
          <w:lang w:val="en-US"/>
        </w:rPr>
        <w:t xml:space="preserve"> </w:t>
      </w:r>
      <w:r w:rsidRPr="00542A27">
        <w:rPr>
          <w:lang w:val="en-US"/>
        </w:rPr>
        <w:t xml:space="preserve">As a general guideline, one data file for each CPU on the server </w:t>
      </w:r>
      <w:r w:rsidR="00114FAA" w:rsidRPr="00542A27">
        <w:rPr>
          <w:lang w:val="en-US"/>
        </w:rPr>
        <w:t xml:space="preserve">up to max 8 files </w:t>
      </w:r>
      <w:r w:rsidRPr="00542A27">
        <w:rPr>
          <w:lang w:val="en-US"/>
        </w:rPr>
        <w:t xml:space="preserve">(accounting for any affinity mask settings) </w:t>
      </w:r>
      <w:r w:rsidR="00114FAA" w:rsidRPr="00542A27">
        <w:rPr>
          <w:lang w:val="en-US"/>
        </w:rPr>
        <w:t>should be created</w:t>
      </w:r>
    </w:p>
    <w:p w14:paraId="1579B0A0" w14:textId="63BB9B3F" w:rsidR="00DA4B76" w:rsidRPr="00542A27" w:rsidRDefault="00114FAA" w:rsidP="00DA4B76">
      <w:pPr>
        <w:pStyle w:val="Aufzhlungszeichen"/>
        <w:rPr>
          <w:b/>
          <w:lang w:val="en-US"/>
        </w:rPr>
      </w:pPr>
      <w:r w:rsidRPr="00542A27">
        <w:rPr>
          <w:b/>
          <w:lang w:val="en-US"/>
        </w:rPr>
        <w:t>E</w:t>
      </w:r>
      <w:r w:rsidR="00DA4B76" w:rsidRPr="00542A27">
        <w:rPr>
          <w:b/>
          <w:lang w:val="en-US"/>
        </w:rPr>
        <w:t xml:space="preserve">ach data file </w:t>
      </w:r>
      <w:proofErr w:type="gramStart"/>
      <w:r w:rsidRPr="00542A27">
        <w:rPr>
          <w:b/>
          <w:lang w:val="en-US"/>
        </w:rPr>
        <w:t>has to</w:t>
      </w:r>
      <w:proofErr w:type="gramEnd"/>
      <w:r w:rsidRPr="00542A27">
        <w:rPr>
          <w:b/>
          <w:lang w:val="en-US"/>
        </w:rPr>
        <w:t xml:space="preserve"> be </w:t>
      </w:r>
      <w:r w:rsidR="00DA4B76" w:rsidRPr="00542A27">
        <w:rPr>
          <w:b/>
          <w:lang w:val="en-US"/>
        </w:rPr>
        <w:t>the same size; this allows for optimal proportional-fill performance.</w:t>
      </w:r>
    </w:p>
    <w:p w14:paraId="3D173C90" w14:textId="3E95DB6C" w:rsidR="00DA4B76" w:rsidRPr="00542A27" w:rsidRDefault="000D39A8" w:rsidP="00114FAA">
      <w:pPr>
        <w:pStyle w:val="Aufzhlungszeichen"/>
        <w:rPr>
          <w:lang w:val="en-US"/>
        </w:rPr>
      </w:pPr>
      <w:r w:rsidRPr="00542A27">
        <w:rPr>
          <w:lang w:val="en-US"/>
        </w:rPr>
        <w:t>Tempdb</w:t>
      </w:r>
      <w:r w:rsidR="00DA4B76" w:rsidRPr="00542A27">
        <w:rPr>
          <w:lang w:val="en-US"/>
        </w:rPr>
        <w:t xml:space="preserve"> database </w:t>
      </w:r>
      <w:proofErr w:type="gramStart"/>
      <w:r w:rsidR="00114FAA" w:rsidRPr="00542A27">
        <w:rPr>
          <w:lang w:val="en-US"/>
        </w:rPr>
        <w:t>has to</w:t>
      </w:r>
      <w:proofErr w:type="gramEnd"/>
      <w:r w:rsidR="00114FAA" w:rsidRPr="00542A27">
        <w:rPr>
          <w:lang w:val="en-US"/>
        </w:rPr>
        <w:t xml:space="preserve"> be </w:t>
      </w:r>
      <w:r w:rsidR="00DA4B76" w:rsidRPr="00542A27">
        <w:rPr>
          <w:lang w:val="en-US"/>
        </w:rPr>
        <w:t>on a fast I/O subsystem.</w:t>
      </w:r>
    </w:p>
    <w:p w14:paraId="4847F079" w14:textId="6EBA290A" w:rsidR="00DA4B76" w:rsidRPr="00542A27" w:rsidRDefault="000D39A8" w:rsidP="00DA4B76">
      <w:pPr>
        <w:pStyle w:val="Aufzhlungszeichen"/>
        <w:rPr>
          <w:lang w:val="en-US"/>
        </w:rPr>
      </w:pPr>
      <w:r w:rsidRPr="00542A27">
        <w:rPr>
          <w:lang w:val="en-US"/>
        </w:rPr>
        <w:t>Tempdb</w:t>
      </w:r>
      <w:r w:rsidR="00DA4B76" w:rsidRPr="00542A27">
        <w:rPr>
          <w:lang w:val="en-US"/>
        </w:rPr>
        <w:t xml:space="preserve"> database </w:t>
      </w:r>
      <w:r w:rsidR="00114FAA" w:rsidRPr="00542A27">
        <w:rPr>
          <w:lang w:val="en-US"/>
        </w:rPr>
        <w:t xml:space="preserve">files should be stored </w:t>
      </w:r>
      <w:r w:rsidR="00DA4B76" w:rsidRPr="00542A27">
        <w:rPr>
          <w:lang w:val="en-US"/>
        </w:rPr>
        <w:t>on disks that differ from those that are used by user databases.</w:t>
      </w:r>
    </w:p>
    <w:p w14:paraId="40C8BB35" w14:textId="3E86D323" w:rsidR="00EA103D" w:rsidRPr="00542A27" w:rsidRDefault="00AE68AB" w:rsidP="00EA103D">
      <w:pPr>
        <w:pStyle w:val="berschrift2"/>
        <w:rPr>
          <w:lang w:val="en-US"/>
        </w:rPr>
      </w:pPr>
      <w:bookmarkStart w:id="16" w:name="_Toc497821320"/>
      <w:r w:rsidRPr="00542A27">
        <w:rPr>
          <w:lang w:val="en-US"/>
        </w:rPr>
        <w:t>Memory / RAM</w:t>
      </w:r>
      <w:bookmarkEnd w:id="16"/>
    </w:p>
    <w:p w14:paraId="5092C860" w14:textId="4398171F" w:rsidR="00EA103D" w:rsidRPr="00542A27" w:rsidRDefault="00AE68AB" w:rsidP="00EA103D">
      <w:pPr>
        <w:rPr>
          <w:lang w:val="en-US"/>
        </w:rPr>
      </w:pPr>
      <w:r w:rsidRPr="00542A27">
        <w:rPr>
          <w:lang w:val="en-US"/>
        </w:rPr>
        <w:t xml:space="preserve">The virtual environment is configured with 64 GB of memory. </w:t>
      </w:r>
      <w:r w:rsidR="00925DD4" w:rsidRPr="00542A27">
        <w:rPr>
          <w:lang w:val="en-US"/>
        </w:rPr>
        <w:t>The available memory for Microsoft SQL Server has been limited to 60 GB</w:t>
      </w:r>
      <w:r w:rsidR="00DE2FC7">
        <w:rPr>
          <w:lang w:val="en-US"/>
        </w:rPr>
        <w:t>.</w:t>
      </w:r>
    </w:p>
    <w:tbl>
      <w:tblPr>
        <w:tblStyle w:val="EinfacheTabelle4"/>
        <w:tblW w:w="0" w:type="auto"/>
        <w:tblLook w:val="04A0" w:firstRow="1" w:lastRow="0" w:firstColumn="1" w:lastColumn="0" w:noHBand="0" w:noVBand="1"/>
      </w:tblPr>
      <w:tblGrid>
        <w:gridCol w:w="525"/>
        <w:gridCol w:w="1469"/>
        <w:gridCol w:w="1321"/>
        <w:gridCol w:w="1558"/>
        <w:gridCol w:w="1749"/>
      </w:tblGrid>
      <w:tr w:rsidR="00EA103D" w:rsidRPr="00542A27" w14:paraId="6259F902" w14:textId="77777777" w:rsidTr="00EA1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E7D0" w14:textId="3627F157" w:rsidR="00EA103D" w:rsidRPr="00542A27" w:rsidRDefault="00EA103D" w:rsidP="00EA103D">
            <w:pPr>
              <w:keepLines w:val="0"/>
              <w:spacing w:after="0"/>
              <w:jc w:val="center"/>
              <w:rPr>
                <w:sz w:val="18"/>
                <w:szCs w:val="18"/>
                <w:lang w:val="en-US"/>
              </w:rPr>
            </w:pPr>
            <w:r w:rsidRPr="00542A27">
              <w:rPr>
                <w:sz w:val="18"/>
                <w:szCs w:val="18"/>
                <w:lang w:val="en-US"/>
              </w:rPr>
              <w:t>CPU</w:t>
            </w:r>
          </w:p>
        </w:tc>
        <w:tc>
          <w:tcPr>
            <w:tcW w:w="0" w:type="auto"/>
            <w:noWrap/>
            <w:hideMark/>
          </w:tcPr>
          <w:p w14:paraId="732706CD" w14:textId="23621481" w:rsidR="00EA103D" w:rsidRPr="00542A27"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RAM (physically)</w:t>
            </w:r>
          </w:p>
        </w:tc>
        <w:tc>
          <w:tcPr>
            <w:tcW w:w="0" w:type="auto"/>
            <w:noWrap/>
            <w:hideMark/>
          </w:tcPr>
          <w:p w14:paraId="3B3CEA6C" w14:textId="2F8C11DC" w:rsidR="00EA103D" w:rsidRPr="00542A27"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RAM (granted)</w:t>
            </w:r>
          </w:p>
        </w:tc>
        <w:tc>
          <w:tcPr>
            <w:tcW w:w="0" w:type="auto"/>
            <w:noWrap/>
            <w:hideMark/>
          </w:tcPr>
          <w:p w14:paraId="2AFA0621" w14:textId="3CAD4FDC" w:rsidR="00EA103D" w:rsidRPr="00542A27"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RAM (committed)</w:t>
            </w:r>
          </w:p>
        </w:tc>
        <w:tc>
          <w:tcPr>
            <w:tcW w:w="0" w:type="auto"/>
            <w:noWrap/>
            <w:hideMark/>
          </w:tcPr>
          <w:p w14:paraId="54C9F21C" w14:textId="77777777" w:rsidR="00EA103D" w:rsidRPr="00542A27"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542A27">
              <w:rPr>
                <w:sz w:val="18"/>
                <w:szCs w:val="18"/>
                <w:lang w:val="en-US"/>
              </w:rPr>
              <w:t>max_workers_count</w:t>
            </w:r>
            <w:proofErr w:type="spellEnd"/>
          </w:p>
        </w:tc>
      </w:tr>
      <w:tr w:rsidR="000D39A8" w:rsidRPr="00542A27" w14:paraId="4D4E6496" w14:textId="77777777" w:rsidTr="00EA1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29D97" w14:textId="0EF7EBFE" w:rsidR="000D39A8" w:rsidRPr="00542A27" w:rsidRDefault="000D39A8" w:rsidP="000D39A8">
            <w:pPr>
              <w:keepLines w:val="0"/>
              <w:spacing w:after="0"/>
              <w:jc w:val="center"/>
              <w:rPr>
                <w:sz w:val="18"/>
                <w:szCs w:val="18"/>
                <w:lang w:val="en-US"/>
              </w:rPr>
            </w:pPr>
            <w:r w:rsidRPr="00542A27">
              <w:rPr>
                <w:lang w:val="en-US"/>
              </w:rPr>
              <w:t>16</w:t>
            </w:r>
          </w:p>
        </w:tc>
        <w:tc>
          <w:tcPr>
            <w:tcW w:w="0" w:type="auto"/>
            <w:noWrap/>
            <w:hideMark/>
          </w:tcPr>
          <w:p w14:paraId="4F5477DB" w14:textId="22A1DDB6" w:rsidR="000D39A8" w:rsidRPr="00542A27" w:rsidRDefault="000D39A8" w:rsidP="000D39A8">
            <w:pPr>
              <w:keepLines w:val="0"/>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lang w:val="en-US"/>
              </w:rPr>
              <w:t>64.00</w:t>
            </w:r>
          </w:p>
        </w:tc>
        <w:tc>
          <w:tcPr>
            <w:tcW w:w="0" w:type="auto"/>
            <w:noWrap/>
            <w:hideMark/>
          </w:tcPr>
          <w:p w14:paraId="7686E9C4" w14:textId="7CFB2615" w:rsidR="000D39A8" w:rsidRPr="00542A27" w:rsidRDefault="000D39A8" w:rsidP="000D39A8">
            <w:pPr>
              <w:keepLines w:val="0"/>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lang w:val="en-US"/>
              </w:rPr>
              <w:t>58.54</w:t>
            </w:r>
          </w:p>
        </w:tc>
        <w:tc>
          <w:tcPr>
            <w:tcW w:w="0" w:type="auto"/>
            <w:noWrap/>
            <w:hideMark/>
          </w:tcPr>
          <w:p w14:paraId="30C302E8" w14:textId="3DCF4CA5" w:rsidR="000D39A8" w:rsidRPr="00542A27" w:rsidRDefault="000D39A8" w:rsidP="000D39A8">
            <w:pPr>
              <w:keepLines w:val="0"/>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lang w:val="en-US"/>
              </w:rPr>
              <w:t>58.59</w:t>
            </w:r>
          </w:p>
        </w:tc>
        <w:tc>
          <w:tcPr>
            <w:tcW w:w="0" w:type="auto"/>
            <w:noWrap/>
            <w:hideMark/>
          </w:tcPr>
          <w:p w14:paraId="44535E1D" w14:textId="4FE41B76" w:rsidR="000D39A8" w:rsidRPr="00542A27" w:rsidRDefault="000D39A8" w:rsidP="000D39A8">
            <w:pPr>
              <w:keepLines w:val="0"/>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lang w:val="en-US"/>
              </w:rPr>
              <w:t>704</w:t>
            </w:r>
          </w:p>
        </w:tc>
      </w:tr>
    </w:tbl>
    <w:p w14:paraId="43FC93CD" w14:textId="77777777" w:rsidR="00650061" w:rsidRPr="00542A27" w:rsidRDefault="00650061" w:rsidP="00650061">
      <w:pPr>
        <w:rPr>
          <w:lang w:val="en-US"/>
        </w:rPr>
      </w:pPr>
    </w:p>
    <w:p w14:paraId="4FFE75FC" w14:textId="40524BF9" w:rsidR="00650061" w:rsidRPr="00542A27" w:rsidRDefault="00CA7DE5" w:rsidP="00CA7DE5">
      <w:pPr>
        <w:rPr>
          <w:lang w:val="en-US"/>
        </w:rPr>
      </w:pPr>
      <w:r w:rsidRPr="00542A27">
        <w:rPr>
          <w:lang w:val="en-US"/>
        </w:rPr>
        <w:t>Based on the PLE (Page Life Expectancy</w:t>
      </w:r>
      <w:r w:rsidR="000147D9" w:rsidRPr="00542A27">
        <w:rPr>
          <w:rStyle w:val="Funotenzeichen"/>
          <w:lang w:val="en-US"/>
        </w:rPr>
        <w:footnoteReference w:id="9"/>
      </w:r>
      <w:r w:rsidR="00656772" w:rsidRPr="00542A27">
        <w:rPr>
          <w:lang w:val="en-US"/>
        </w:rPr>
        <w:t xml:space="preserve">) </w:t>
      </w:r>
      <w:r w:rsidRPr="00542A27">
        <w:rPr>
          <w:lang w:val="en-US"/>
        </w:rPr>
        <w:t xml:space="preserve">the memory seems sufficient. A big problem is the distribution of the cores on multiple </w:t>
      </w:r>
      <w:r w:rsidR="009C12C0">
        <w:rPr>
          <w:lang w:val="en-US"/>
        </w:rPr>
        <w:t>NUMA</w:t>
      </w:r>
      <w:r w:rsidRPr="00542A27">
        <w:rPr>
          <w:lang w:val="en-US"/>
        </w:rPr>
        <w:t xml:space="preserve"> Nodes (see page </w:t>
      </w:r>
      <w:r w:rsidRPr="00542A27">
        <w:rPr>
          <w:lang w:val="en-US"/>
        </w:rPr>
        <w:fldChar w:fldCharType="begin"/>
      </w:r>
      <w:r w:rsidRPr="00542A27">
        <w:rPr>
          <w:lang w:val="en-US"/>
        </w:rPr>
        <w:instrText xml:space="preserve"> PAGEREF _Ref496785277 \h </w:instrText>
      </w:r>
      <w:r w:rsidRPr="00542A27">
        <w:rPr>
          <w:lang w:val="en-US"/>
        </w:rPr>
      </w:r>
      <w:r w:rsidRPr="00542A27">
        <w:rPr>
          <w:lang w:val="en-US"/>
        </w:rPr>
        <w:fldChar w:fldCharType="separate"/>
      </w:r>
      <w:r w:rsidRPr="00542A27">
        <w:rPr>
          <w:noProof/>
          <w:lang w:val="en-US"/>
        </w:rPr>
        <w:t>9</w:t>
      </w:r>
      <w:r w:rsidRPr="00542A27">
        <w:rPr>
          <w:lang w:val="en-US"/>
        </w:rPr>
        <w:fldChar w:fldCharType="end"/>
      </w:r>
      <w:r w:rsidRPr="00542A27">
        <w:rPr>
          <w:lang w:val="en-US"/>
        </w:rPr>
        <w:t>).</w:t>
      </w:r>
    </w:p>
    <w:tbl>
      <w:tblPr>
        <w:tblStyle w:val="EinfacheTabelle4"/>
        <w:tblW w:w="7230" w:type="dxa"/>
        <w:tblLook w:val="04A0" w:firstRow="1" w:lastRow="0" w:firstColumn="1" w:lastColumn="0" w:noHBand="0" w:noVBand="1"/>
      </w:tblPr>
      <w:tblGrid>
        <w:gridCol w:w="2552"/>
        <w:gridCol w:w="850"/>
        <w:gridCol w:w="1027"/>
        <w:gridCol w:w="2801"/>
      </w:tblGrid>
      <w:tr w:rsidR="00CA7DE5" w:rsidRPr="009F7C12" w14:paraId="63517EC2" w14:textId="77777777" w:rsidTr="00655860">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26BE1A" w14:textId="77777777" w:rsidR="00CA7DE5" w:rsidRPr="009F7C12" w:rsidRDefault="00CA7DE5" w:rsidP="00656772">
            <w:pPr>
              <w:keepLines w:val="0"/>
              <w:spacing w:after="0"/>
              <w:rPr>
                <w:sz w:val="18"/>
                <w:szCs w:val="18"/>
                <w:lang w:val="en-US"/>
              </w:rPr>
            </w:pPr>
            <w:proofErr w:type="spellStart"/>
            <w:r w:rsidRPr="009F7C12">
              <w:rPr>
                <w:sz w:val="18"/>
                <w:szCs w:val="18"/>
                <w:lang w:val="en-US"/>
              </w:rPr>
              <w:lastRenderedPageBreak/>
              <w:t>object_name</w:t>
            </w:r>
            <w:proofErr w:type="spellEnd"/>
          </w:p>
        </w:tc>
        <w:tc>
          <w:tcPr>
            <w:tcW w:w="850" w:type="dxa"/>
            <w:noWrap/>
            <w:hideMark/>
          </w:tcPr>
          <w:p w14:paraId="5C5793D5" w14:textId="5AFBA6A5" w:rsidR="00CA7DE5" w:rsidRPr="009F7C12" w:rsidRDefault="00CA7DE5" w:rsidP="00656772">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9F7C12">
              <w:rPr>
                <w:sz w:val="18"/>
                <w:szCs w:val="18"/>
                <w:lang w:val="en-US"/>
              </w:rPr>
              <w:t>NUMA</w:t>
            </w:r>
          </w:p>
        </w:tc>
        <w:tc>
          <w:tcPr>
            <w:tcW w:w="1027" w:type="dxa"/>
            <w:noWrap/>
            <w:hideMark/>
          </w:tcPr>
          <w:p w14:paraId="26CF288C" w14:textId="47FAECAD" w:rsidR="00CA7DE5" w:rsidRPr="009F7C12" w:rsidRDefault="00CA7DE5" w:rsidP="00656772">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9F7C12">
              <w:rPr>
                <w:sz w:val="18"/>
                <w:szCs w:val="18"/>
                <w:lang w:val="en-US"/>
              </w:rPr>
              <w:t>PLE</w:t>
            </w:r>
          </w:p>
        </w:tc>
        <w:tc>
          <w:tcPr>
            <w:tcW w:w="2801" w:type="dxa"/>
            <w:noWrap/>
            <w:hideMark/>
          </w:tcPr>
          <w:p w14:paraId="7453585A" w14:textId="77777777" w:rsidR="00CA7DE5" w:rsidRPr="009F7C12" w:rsidRDefault="00CA7DE5" w:rsidP="00656772">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9F7C12">
              <w:rPr>
                <w:sz w:val="18"/>
                <w:szCs w:val="18"/>
                <w:lang w:val="en-US"/>
              </w:rPr>
              <w:t>Measure_Date_Time</w:t>
            </w:r>
            <w:proofErr w:type="spellEnd"/>
          </w:p>
        </w:tc>
      </w:tr>
      <w:tr w:rsidR="00CA7DE5" w:rsidRPr="009F7C12" w14:paraId="37018C81" w14:textId="77777777" w:rsidTr="00CA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hideMark/>
          </w:tcPr>
          <w:p w14:paraId="5A1E366E" w14:textId="31F4C5CE"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hideMark/>
          </w:tcPr>
          <w:p w14:paraId="541B1225" w14:textId="5D54ED6B"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0</w:t>
            </w:r>
          </w:p>
        </w:tc>
        <w:tc>
          <w:tcPr>
            <w:tcW w:w="1027" w:type="dxa"/>
            <w:noWrap/>
            <w:vAlign w:val="bottom"/>
            <w:hideMark/>
          </w:tcPr>
          <w:p w14:paraId="2D93FCC5" w14:textId="10685249"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48418</w:t>
            </w:r>
          </w:p>
        </w:tc>
        <w:tc>
          <w:tcPr>
            <w:tcW w:w="2801" w:type="dxa"/>
            <w:noWrap/>
            <w:vAlign w:val="bottom"/>
            <w:hideMark/>
          </w:tcPr>
          <w:p w14:paraId="2154D78D" w14:textId="434717CC"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31408BA9" w14:textId="77777777" w:rsidTr="00CA7DE5">
        <w:trPr>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37C3B284" w14:textId="0C54C084" w:rsidR="00CA7DE5" w:rsidRPr="009F7C12" w:rsidRDefault="00CA7DE5" w:rsidP="00CA7DE5">
            <w:pPr>
              <w:keepLines w:val="0"/>
              <w:spacing w:after="0"/>
              <w:rPr>
                <w:color w:val="000000"/>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69A45561" w14:textId="4882531C"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F7C12">
              <w:rPr>
                <w:color w:val="000000"/>
                <w:sz w:val="18"/>
                <w:szCs w:val="18"/>
                <w:lang w:val="en-US"/>
              </w:rPr>
              <w:t>1</w:t>
            </w:r>
          </w:p>
        </w:tc>
        <w:tc>
          <w:tcPr>
            <w:tcW w:w="1027" w:type="dxa"/>
            <w:noWrap/>
            <w:vAlign w:val="bottom"/>
          </w:tcPr>
          <w:p w14:paraId="606C6BDD" w14:textId="0A3220C8"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F7C12">
              <w:rPr>
                <w:color w:val="000000"/>
                <w:sz w:val="18"/>
                <w:szCs w:val="18"/>
                <w:lang w:val="en-US"/>
              </w:rPr>
              <w:t>48419</w:t>
            </w:r>
          </w:p>
        </w:tc>
        <w:tc>
          <w:tcPr>
            <w:tcW w:w="2801" w:type="dxa"/>
            <w:noWrap/>
            <w:vAlign w:val="bottom"/>
          </w:tcPr>
          <w:p w14:paraId="3A72E044" w14:textId="6503DA2B"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F7C12">
              <w:rPr>
                <w:color w:val="000000"/>
                <w:sz w:val="18"/>
                <w:szCs w:val="18"/>
                <w:lang w:val="en-US"/>
              </w:rPr>
              <w:t>01.11.2017 15:07</w:t>
            </w:r>
          </w:p>
        </w:tc>
      </w:tr>
      <w:tr w:rsidR="00CA7DE5" w:rsidRPr="009F7C12" w14:paraId="2B8BF43A" w14:textId="77777777" w:rsidTr="00CA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7614AFCD" w14:textId="6104ED8A"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12A937E6" w14:textId="1519BE92"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2</w:t>
            </w:r>
          </w:p>
        </w:tc>
        <w:tc>
          <w:tcPr>
            <w:tcW w:w="1027" w:type="dxa"/>
            <w:noWrap/>
            <w:vAlign w:val="bottom"/>
          </w:tcPr>
          <w:p w14:paraId="00D21FBE" w14:textId="17B0AF0C"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48419</w:t>
            </w:r>
          </w:p>
        </w:tc>
        <w:tc>
          <w:tcPr>
            <w:tcW w:w="2801" w:type="dxa"/>
            <w:noWrap/>
            <w:vAlign w:val="bottom"/>
          </w:tcPr>
          <w:p w14:paraId="18185D72" w14:textId="214E2F16"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1EFA56C0" w14:textId="77777777" w:rsidTr="00CA7DE5">
        <w:trPr>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78ACE7CF" w14:textId="356AA88F"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1C45D761" w14:textId="57D137CF"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3</w:t>
            </w:r>
          </w:p>
        </w:tc>
        <w:tc>
          <w:tcPr>
            <w:tcW w:w="1027" w:type="dxa"/>
            <w:noWrap/>
            <w:vAlign w:val="bottom"/>
          </w:tcPr>
          <w:p w14:paraId="3E645C5C" w14:textId="1056F371"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48419</w:t>
            </w:r>
          </w:p>
        </w:tc>
        <w:tc>
          <w:tcPr>
            <w:tcW w:w="2801" w:type="dxa"/>
            <w:noWrap/>
            <w:vAlign w:val="bottom"/>
          </w:tcPr>
          <w:p w14:paraId="2B381123" w14:textId="425C7A8E"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32787E85" w14:textId="77777777" w:rsidTr="00CA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23D3A045" w14:textId="2FB359A9"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08B8425F" w14:textId="0E838289"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4</w:t>
            </w:r>
          </w:p>
        </w:tc>
        <w:tc>
          <w:tcPr>
            <w:tcW w:w="1027" w:type="dxa"/>
            <w:noWrap/>
            <w:vAlign w:val="bottom"/>
          </w:tcPr>
          <w:p w14:paraId="1FD6FF0B" w14:textId="663388F3"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48419</w:t>
            </w:r>
          </w:p>
        </w:tc>
        <w:tc>
          <w:tcPr>
            <w:tcW w:w="2801" w:type="dxa"/>
            <w:noWrap/>
            <w:vAlign w:val="bottom"/>
          </w:tcPr>
          <w:p w14:paraId="16031C3F" w14:textId="6EE5E4F5"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2611B5BC" w14:textId="77777777" w:rsidTr="00CA7DE5">
        <w:trPr>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11DF3ECE" w14:textId="1122E796"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3C791D55" w14:textId="031B232A"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5</w:t>
            </w:r>
          </w:p>
        </w:tc>
        <w:tc>
          <w:tcPr>
            <w:tcW w:w="1027" w:type="dxa"/>
            <w:noWrap/>
            <w:vAlign w:val="bottom"/>
          </w:tcPr>
          <w:p w14:paraId="0D671E13" w14:textId="4320A22D"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48416</w:t>
            </w:r>
          </w:p>
        </w:tc>
        <w:tc>
          <w:tcPr>
            <w:tcW w:w="2801" w:type="dxa"/>
            <w:noWrap/>
            <w:vAlign w:val="bottom"/>
          </w:tcPr>
          <w:p w14:paraId="47F96A5C" w14:textId="40DDF325"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6C589E4D" w14:textId="77777777" w:rsidTr="00CA7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7E527F0F" w14:textId="06292B07"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3DE14F2C" w14:textId="74645BA5"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6</w:t>
            </w:r>
          </w:p>
        </w:tc>
        <w:tc>
          <w:tcPr>
            <w:tcW w:w="1027" w:type="dxa"/>
            <w:noWrap/>
            <w:vAlign w:val="bottom"/>
          </w:tcPr>
          <w:p w14:paraId="07A7140B" w14:textId="491CBA4F"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48418</w:t>
            </w:r>
          </w:p>
        </w:tc>
        <w:tc>
          <w:tcPr>
            <w:tcW w:w="2801" w:type="dxa"/>
            <w:noWrap/>
            <w:vAlign w:val="bottom"/>
          </w:tcPr>
          <w:p w14:paraId="2FB8A14B" w14:textId="4360B87A" w:rsidR="00CA7DE5" w:rsidRPr="009F7C12" w:rsidRDefault="00CA7DE5" w:rsidP="00CA7DE5">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F7C12">
              <w:rPr>
                <w:color w:val="000000"/>
                <w:sz w:val="18"/>
                <w:szCs w:val="18"/>
                <w:lang w:val="en-US"/>
              </w:rPr>
              <w:t>01.11.2017 15:07</w:t>
            </w:r>
          </w:p>
        </w:tc>
      </w:tr>
      <w:tr w:rsidR="00CA7DE5" w:rsidRPr="009F7C12" w14:paraId="2C958317" w14:textId="77777777" w:rsidTr="003F22D7">
        <w:trPr>
          <w:trHeight w:val="300"/>
        </w:trPr>
        <w:tc>
          <w:tcPr>
            <w:cnfStyle w:val="001000000000" w:firstRow="0" w:lastRow="0" w:firstColumn="1" w:lastColumn="0" w:oddVBand="0" w:evenVBand="0" w:oddHBand="0" w:evenHBand="0" w:firstRowFirstColumn="0" w:firstRowLastColumn="0" w:lastRowFirstColumn="0" w:lastRowLastColumn="0"/>
            <w:tcW w:w="2552" w:type="dxa"/>
            <w:noWrap/>
            <w:vAlign w:val="bottom"/>
          </w:tcPr>
          <w:p w14:paraId="59C4585C" w14:textId="4A9138C0" w:rsidR="00CA7DE5" w:rsidRPr="009F7C12" w:rsidRDefault="00CA7DE5" w:rsidP="00CA7DE5">
            <w:pPr>
              <w:keepLines w:val="0"/>
              <w:spacing w:after="0"/>
              <w:rPr>
                <w:sz w:val="18"/>
                <w:szCs w:val="18"/>
                <w:lang w:val="en-US"/>
              </w:rPr>
            </w:pPr>
            <w:proofErr w:type="spellStart"/>
            <w:proofErr w:type="gramStart"/>
            <w:r w:rsidRPr="009F7C12">
              <w:rPr>
                <w:color w:val="000000"/>
                <w:sz w:val="18"/>
                <w:szCs w:val="18"/>
                <w:lang w:val="en-US"/>
              </w:rPr>
              <w:t>SQLServer:Buffer</w:t>
            </w:r>
            <w:proofErr w:type="spellEnd"/>
            <w:proofErr w:type="gramEnd"/>
            <w:r w:rsidRPr="009F7C12">
              <w:rPr>
                <w:color w:val="000000"/>
                <w:sz w:val="18"/>
                <w:szCs w:val="18"/>
                <w:lang w:val="en-US"/>
              </w:rPr>
              <w:t xml:space="preserve"> Node           </w:t>
            </w:r>
          </w:p>
        </w:tc>
        <w:tc>
          <w:tcPr>
            <w:tcW w:w="850" w:type="dxa"/>
            <w:noWrap/>
            <w:vAlign w:val="bottom"/>
          </w:tcPr>
          <w:p w14:paraId="5C7EB050" w14:textId="403B054D"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7</w:t>
            </w:r>
          </w:p>
        </w:tc>
        <w:tc>
          <w:tcPr>
            <w:tcW w:w="1027" w:type="dxa"/>
            <w:noWrap/>
            <w:vAlign w:val="bottom"/>
          </w:tcPr>
          <w:p w14:paraId="033EE6AD" w14:textId="334735DD"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48418</w:t>
            </w:r>
          </w:p>
        </w:tc>
        <w:tc>
          <w:tcPr>
            <w:tcW w:w="2801" w:type="dxa"/>
            <w:noWrap/>
            <w:vAlign w:val="bottom"/>
          </w:tcPr>
          <w:p w14:paraId="1F2426C2" w14:textId="7091E7F3" w:rsidR="00CA7DE5" w:rsidRPr="009F7C12" w:rsidRDefault="00CA7DE5" w:rsidP="00CA7DE5">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F7C12">
              <w:rPr>
                <w:color w:val="000000"/>
                <w:sz w:val="18"/>
                <w:szCs w:val="18"/>
                <w:lang w:val="en-US"/>
              </w:rPr>
              <w:t>01.11.2017 15:07</w:t>
            </w:r>
          </w:p>
        </w:tc>
      </w:tr>
    </w:tbl>
    <w:p w14:paraId="77CB8593" w14:textId="77777777" w:rsidR="0024741B" w:rsidRPr="00542A27" w:rsidRDefault="0024741B" w:rsidP="00650061">
      <w:pPr>
        <w:rPr>
          <w:lang w:val="en-US"/>
        </w:rPr>
      </w:pPr>
    </w:p>
    <w:p w14:paraId="4E50518E" w14:textId="2361731D" w:rsidR="00656772" w:rsidRPr="00542A27" w:rsidRDefault="00CA7DE5" w:rsidP="000226D1">
      <w:pPr>
        <w:rPr>
          <w:lang w:val="en-US"/>
        </w:rPr>
      </w:pPr>
      <w:r w:rsidRPr="00542A27">
        <w:rPr>
          <w:lang w:val="en-US"/>
        </w:rPr>
        <w:t xml:space="preserve">The analysis shows an average PLE of ~800 minutes per </w:t>
      </w:r>
      <w:r w:rsidR="009C12C0">
        <w:rPr>
          <w:lang w:val="en-US"/>
        </w:rPr>
        <w:t>NUMA</w:t>
      </w:r>
      <w:r w:rsidRPr="00542A27">
        <w:rPr>
          <w:lang w:val="en-US"/>
        </w:rPr>
        <w:t xml:space="preserve"> N</w:t>
      </w:r>
      <w:r w:rsidR="000226D1" w:rsidRPr="00542A27">
        <w:rPr>
          <w:lang w:val="en-US"/>
        </w:rPr>
        <w:t>ode.</w:t>
      </w:r>
    </w:p>
    <w:p w14:paraId="4584DDCA" w14:textId="3CAEA6AA" w:rsidR="001606EB" w:rsidRPr="00542A27" w:rsidRDefault="001606EB" w:rsidP="001606EB">
      <w:pPr>
        <w:pStyle w:val="berschrift2"/>
        <w:rPr>
          <w:lang w:val="en-US"/>
        </w:rPr>
      </w:pPr>
      <w:bookmarkStart w:id="17" w:name="_Ref496785277"/>
      <w:bookmarkStart w:id="18" w:name="_Toc497821321"/>
      <w:r w:rsidRPr="00542A27">
        <w:rPr>
          <w:lang w:val="en-US"/>
        </w:rPr>
        <w:t>NUMA-</w:t>
      </w:r>
      <w:bookmarkEnd w:id="17"/>
      <w:r w:rsidR="000226D1" w:rsidRPr="00542A27">
        <w:rPr>
          <w:lang w:val="en-US"/>
        </w:rPr>
        <w:t>architecture</w:t>
      </w:r>
      <w:bookmarkEnd w:id="18"/>
    </w:p>
    <w:p w14:paraId="68FDBA42" w14:textId="143F2932" w:rsidR="00BA3F6C" w:rsidRPr="00542A27" w:rsidRDefault="003F22D7" w:rsidP="003F22D7">
      <w:pPr>
        <w:rPr>
          <w:lang w:val="en-US"/>
        </w:rPr>
      </w:pPr>
      <w:r w:rsidRPr="00542A27">
        <w:rPr>
          <w:lang w:val="en-US"/>
        </w:rPr>
        <w:t xml:space="preserve">A weird configuration of NUMA configuration was found on the system. 16 </w:t>
      </w:r>
      <w:proofErr w:type="spellStart"/>
      <w:r w:rsidRPr="00542A27">
        <w:rPr>
          <w:lang w:val="en-US"/>
        </w:rPr>
        <w:t>vCores</w:t>
      </w:r>
      <w:proofErr w:type="spellEnd"/>
      <w:r w:rsidRPr="00542A27">
        <w:rPr>
          <w:lang w:val="en-US"/>
        </w:rPr>
        <w:t xml:space="preserve"> are distributed over 8 (!) NUMA nodes. Each NUMA node addresses 64 GB/8 = 16 GB of RAM.</w:t>
      </w:r>
    </w:p>
    <w:p w14:paraId="5C070B46" w14:textId="5A53DEF1" w:rsidR="003F22D7" w:rsidRPr="00542A27" w:rsidRDefault="003F22D7" w:rsidP="003F22D7">
      <w:pPr>
        <w:rPr>
          <w:lang w:val="en-US"/>
        </w:rPr>
      </w:pPr>
      <w:r w:rsidRPr="00542A27">
        <w:rPr>
          <w:lang w:val="en-US"/>
        </w:rPr>
        <w:t>Microsoft SQL Server is non-uniform memory access (NUMA) aware, and performs well on NUMA hardware without special configuration. As clock speed and the number of processors increase, it becomes increasingly difficult to reduce the memory latency required to use this additional processing power. NUMA architecture provides a scalable solution to address the memory. SQL Server has been designed to take advantage of NUMA-based computers without requiring any application changes.</w:t>
      </w:r>
    </w:p>
    <w:p w14:paraId="7491C2E9" w14:textId="6FBBB090" w:rsidR="00290012" w:rsidRPr="00542A27" w:rsidRDefault="00290012" w:rsidP="00650061">
      <w:pPr>
        <w:rPr>
          <w:lang w:val="en-US"/>
        </w:rPr>
      </w:pPr>
      <w:r w:rsidRPr="00542A27">
        <w:rPr>
          <w:noProof/>
          <w:lang w:val="en-US"/>
        </w:rPr>
        <w:drawing>
          <wp:inline distT="0" distB="0" distL="0" distR="0" wp14:anchorId="0B4F1305" wp14:editId="73995917">
            <wp:extent cx="2876550" cy="28098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NUMA.png"/>
                    <pic:cNvPicPr/>
                  </pic:nvPicPr>
                  <pic:blipFill>
                    <a:blip r:embed="rId12">
                      <a:extLst>
                        <a:ext uri="{28A0092B-C50C-407E-A947-70E740481C1C}">
                          <a14:useLocalDpi xmlns:a14="http://schemas.microsoft.com/office/drawing/2010/main" val="0"/>
                        </a:ext>
                      </a:extLst>
                    </a:blip>
                    <a:stretch>
                      <a:fillRect/>
                    </a:stretch>
                  </pic:blipFill>
                  <pic:spPr>
                    <a:xfrm>
                      <a:off x="0" y="0"/>
                      <a:ext cx="2876550" cy="2809875"/>
                    </a:xfrm>
                    <a:prstGeom prst="rect">
                      <a:avLst/>
                    </a:prstGeom>
                  </pic:spPr>
                </pic:pic>
              </a:graphicData>
            </a:graphic>
          </wp:inline>
        </w:drawing>
      </w:r>
    </w:p>
    <w:p w14:paraId="0E71796E" w14:textId="38E75BA8" w:rsidR="00290012" w:rsidRPr="00542A27" w:rsidRDefault="003F22D7" w:rsidP="00290012">
      <w:pPr>
        <w:pStyle w:val="Beschriftung"/>
        <w:rPr>
          <w:lang w:val="en-US"/>
        </w:rPr>
      </w:pPr>
      <w:r w:rsidRPr="00542A27">
        <w:rPr>
          <w:lang w:val="en-US"/>
        </w:rPr>
        <w:t xml:space="preserve">Picture </w:t>
      </w:r>
      <w:r w:rsidR="00290012" w:rsidRPr="00542A27">
        <w:rPr>
          <w:lang w:val="en-US"/>
        </w:rPr>
        <w:t xml:space="preserve"> </w:t>
      </w:r>
      <w:r w:rsidR="0031215F" w:rsidRPr="00542A27">
        <w:rPr>
          <w:lang w:val="en-US"/>
        </w:rPr>
        <w:fldChar w:fldCharType="begin"/>
      </w:r>
      <w:r w:rsidR="0031215F" w:rsidRPr="00542A27">
        <w:rPr>
          <w:lang w:val="en-US"/>
        </w:rPr>
        <w:instrText xml:space="preserve"> SEQ Abbildung \* ARABIC </w:instrText>
      </w:r>
      <w:r w:rsidR="0031215F" w:rsidRPr="00542A27">
        <w:rPr>
          <w:lang w:val="en-US"/>
        </w:rPr>
        <w:fldChar w:fldCharType="separate"/>
      </w:r>
      <w:r w:rsidR="003464F8" w:rsidRPr="00542A27">
        <w:rPr>
          <w:noProof/>
          <w:lang w:val="en-US"/>
        </w:rPr>
        <w:t>1</w:t>
      </w:r>
      <w:r w:rsidR="0031215F" w:rsidRPr="00542A27">
        <w:rPr>
          <w:noProof/>
          <w:lang w:val="en-US"/>
        </w:rPr>
        <w:fldChar w:fldCharType="end"/>
      </w:r>
      <w:r w:rsidR="00290012" w:rsidRPr="00542A27">
        <w:rPr>
          <w:lang w:val="en-US"/>
        </w:rPr>
        <w:t>: NUMA</w:t>
      </w:r>
    </w:p>
    <w:p w14:paraId="5B292BD2" w14:textId="77777777" w:rsidR="003F22D7" w:rsidRPr="00542A27" w:rsidRDefault="003F22D7" w:rsidP="003F22D7">
      <w:pPr>
        <w:rPr>
          <w:lang w:val="en-US"/>
        </w:rPr>
      </w:pPr>
      <w:r w:rsidRPr="00542A27">
        <w:rPr>
          <w:lang w:val="en-US"/>
        </w:rPr>
        <w:t xml:space="preserve">The trend in hardware has been towards more than one system bus, each serving a small set of processors. Each group of processors </w:t>
      </w:r>
      <w:r w:rsidRPr="00542A27">
        <w:rPr>
          <w:b/>
          <w:lang w:val="en-US"/>
        </w:rPr>
        <w:t>has its own memory</w:t>
      </w:r>
      <w:r w:rsidRPr="00542A27">
        <w:rPr>
          <w:lang w:val="en-US"/>
        </w:rPr>
        <w:t xml:space="preserve"> and possibly its own I/O channels. However, each CPU can access memory associated with the other groups in a coherent way. Each group is called a NUMA node. The number of CPUs within a NUMA node depends on the hardware vendor. </w:t>
      </w:r>
      <w:r w:rsidRPr="00542A27">
        <w:rPr>
          <w:b/>
          <w:lang w:val="en-US"/>
        </w:rPr>
        <w:t>It is faster to access local memory than the memory associated with other NUMA nodes.</w:t>
      </w:r>
      <w:r w:rsidRPr="00542A27">
        <w:rPr>
          <w:lang w:val="en-US"/>
        </w:rPr>
        <w:t xml:space="preserve"> This is the reason for the name, non-uniform memory access architecture. </w:t>
      </w:r>
    </w:p>
    <w:p w14:paraId="35F6E7CE" w14:textId="05734FCE" w:rsidR="003F22D7" w:rsidRPr="00542A27" w:rsidRDefault="003F22D7" w:rsidP="003F22D7">
      <w:pPr>
        <w:rPr>
          <w:lang w:val="en-US"/>
        </w:rPr>
      </w:pPr>
      <w:r w:rsidRPr="00542A27">
        <w:rPr>
          <w:lang w:val="en-US"/>
        </w:rPr>
        <w:lastRenderedPageBreak/>
        <w:t xml:space="preserve">On NUMA hardware, some regions of memory are on physically different buses from other regions. Because NUMA uses local and foreign memory, </w:t>
      </w:r>
      <w:r w:rsidRPr="00542A27">
        <w:rPr>
          <w:b/>
          <w:lang w:val="en-US"/>
        </w:rPr>
        <w:t>it will take longer to access some regions of memory than others</w:t>
      </w:r>
      <w:r w:rsidRPr="00542A27">
        <w:rPr>
          <w:lang w:val="en-US"/>
        </w:rPr>
        <w:t xml:space="preserve">. Local memory and foreign memory are typically used </w:t>
      </w:r>
      <w:r w:rsidR="001039C0" w:rsidRPr="00542A27">
        <w:rPr>
          <w:lang w:val="en-US"/>
        </w:rPr>
        <w:t>about</w:t>
      </w:r>
      <w:r w:rsidRPr="00542A27">
        <w:rPr>
          <w:lang w:val="en-US"/>
        </w:rPr>
        <w:t xml:space="preserve"> a currently running thread. Local memory is the memory that is on the same node as the CPU currently running the thread. Any memory that does not belong to the node on which the thread is currently running is foreign. Foreign memory is also known as remote memory. The ratio of the cost to access foreign memory over that for local memory is called the NUMA ratio. If the NUMA ratio is 1, it is symmetric multiprocessing (SMP). </w:t>
      </w:r>
      <w:r w:rsidRPr="00542A27">
        <w:rPr>
          <w:b/>
          <w:lang w:val="en-US"/>
        </w:rPr>
        <w:t>The greater the ratio, the more it costs to access the memory of other nodes</w:t>
      </w:r>
      <w:r w:rsidRPr="00542A27">
        <w:rPr>
          <w:lang w:val="en-US"/>
        </w:rPr>
        <w:t>.</w:t>
      </w:r>
    </w:p>
    <w:p w14:paraId="6D11639B" w14:textId="5C27A506" w:rsidR="00BA3F6C" w:rsidRPr="00542A27" w:rsidRDefault="003F22D7" w:rsidP="003F22D7">
      <w:pPr>
        <w:rPr>
          <w:lang w:val="en-US"/>
        </w:rPr>
      </w:pPr>
      <w:r w:rsidRPr="00542A27">
        <w:rPr>
          <w:lang w:val="en-US"/>
        </w:rPr>
        <w:t xml:space="preserve">The main benefit of NUMA is scalability. The NUMA architecture was designed to surpass the scalability limits of the SMP architecture. With SMP, all memory access is posted to the same shared memory bus. </w:t>
      </w:r>
      <w:r w:rsidRPr="00542A27">
        <w:rPr>
          <w:b/>
          <w:lang w:val="en-US"/>
        </w:rPr>
        <w:t>This works fine for a relatively small number of CPUs, but not when you have dozens, even hundreds, of CPUs competing for access to the shared memory bus.</w:t>
      </w:r>
      <w:r w:rsidRPr="00542A27">
        <w:rPr>
          <w:lang w:val="en-US"/>
        </w:rPr>
        <w:t xml:space="preserve"> NUMA alleviates these bottlenecks by limiting the number of CPUs on any one memory bus and connecting the various nodes by means of a </w:t>
      </w:r>
      <w:proofErr w:type="gramStart"/>
      <w:r w:rsidRPr="00542A27">
        <w:rPr>
          <w:lang w:val="en-US"/>
        </w:rPr>
        <w:t>high speed</w:t>
      </w:r>
      <w:proofErr w:type="gramEnd"/>
      <w:r w:rsidRPr="00542A27">
        <w:rPr>
          <w:lang w:val="en-US"/>
        </w:rPr>
        <w:t xml:space="preserve"> interconnection.</w:t>
      </w:r>
    </w:p>
    <w:p w14:paraId="207AAAFB" w14:textId="5B842D7E" w:rsidR="00821894" w:rsidRPr="00542A27" w:rsidRDefault="00821894" w:rsidP="003F22D7">
      <w:pPr>
        <w:rPr>
          <w:b/>
          <w:color w:val="FF0000"/>
          <w:lang w:val="en-US"/>
        </w:rPr>
      </w:pPr>
      <w:r w:rsidRPr="00542A27">
        <w:rPr>
          <w:b/>
          <w:color w:val="FF0000"/>
          <w:lang w:val="en-US"/>
        </w:rPr>
        <w:t xml:space="preserve">Having too many NUMA nodes can lead to some </w:t>
      </w:r>
      <w:proofErr w:type="gramStart"/>
      <w:r w:rsidRPr="00542A27">
        <w:rPr>
          <w:b/>
          <w:color w:val="FF0000"/>
          <w:lang w:val="en-US"/>
        </w:rPr>
        <w:t>really strange</w:t>
      </w:r>
      <w:proofErr w:type="gramEnd"/>
      <w:r w:rsidRPr="00542A27">
        <w:rPr>
          <w:b/>
          <w:color w:val="FF0000"/>
          <w:lang w:val="en-US"/>
        </w:rPr>
        <w:t xml:space="preserve"> CPU </w:t>
      </w:r>
      <w:r w:rsidR="00DE2FC7" w:rsidRPr="00542A27">
        <w:rPr>
          <w:b/>
          <w:color w:val="FF0000"/>
          <w:lang w:val="en-US"/>
        </w:rPr>
        <w:t>behavior</w:t>
      </w:r>
      <w:r w:rsidRPr="00542A27">
        <w:rPr>
          <w:b/>
          <w:color w:val="FF0000"/>
          <w:lang w:val="en-US"/>
        </w:rPr>
        <w:t xml:space="preserve">. The CPU workload of the machine cannot evenly </w:t>
      </w:r>
      <w:proofErr w:type="gramStart"/>
      <w:r w:rsidRPr="00542A27">
        <w:rPr>
          <w:b/>
          <w:color w:val="FF0000"/>
          <w:lang w:val="en-US"/>
        </w:rPr>
        <w:t>balanced</w:t>
      </w:r>
      <w:proofErr w:type="gramEnd"/>
      <w:r w:rsidRPr="00542A27">
        <w:rPr>
          <w:b/>
          <w:color w:val="FF0000"/>
          <w:lang w:val="en-US"/>
        </w:rPr>
        <w:t xml:space="preserve"> across the CPUs. If – in the current case – there will be 16 cores on the VM, configured with 8 NUMA nodes, it might be that two cores (might be four, or six it depends on a lot of factors) running very hot compared to the other cores on the server.</w:t>
      </w:r>
    </w:p>
    <w:p w14:paraId="472BEA75" w14:textId="69B047DF" w:rsidR="00DA74B8" w:rsidRPr="00542A27" w:rsidRDefault="00DA74B8" w:rsidP="00DA74B8">
      <w:pPr>
        <w:pStyle w:val="berschrift2"/>
        <w:rPr>
          <w:lang w:val="en-US"/>
        </w:rPr>
      </w:pPr>
      <w:bookmarkStart w:id="19" w:name="_Toc497821322"/>
      <w:r w:rsidRPr="00542A27">
        <w:rPr>
          <w:lang w:val="en-US"/>
        </w:rPr>
        <w:t>Microsoft SQL Server</w:t>
      </w:r>
      <w:bookmarkEnd w:id="19"/>
    </w:p>
    <w:p w14:paraId="3685DB42" w14:textId="7051671F" w:rsidR="00D45AAC" w:rsidRPr="00542A27" w:rsidRDefault="003F22D7" w:rsidP="00CC6BB3">
      <w:pPr>
        <w:pStyle w:val="berschrift2"/>
        <w:rPr>
          <w:lang w:val="en-US"/>
        </w:rPr>
      </w:pPr>
      <w:bookmarkStart w:id="20" w:name="_Toc497821323"/>
      <w:r w:rsidRPr="00542A27">
        <w:rPr>
          <w:lang w:val="en-US"/>
        </w:rPr>
        <w:t xml:space="preserve">Configuration settings of </w:t>
      </w:r>
      <w:r w:rsidR="00CC6BB3" w:rsidRPr="00542A27">
        <w:rPr>
          <w:lang w:val="en-US"/>
        </w:rPr>
        <w:t>Microsoft SQL Server</w:t>
      </w:r>
      <w:bookmarkEnd w:id="20"/>
    </w:p>
    <w:tbl>
      <w:tblPr>
        <w:tblStyle w:val="EinfacheTabelle4"/>
        <w:tblW w:w="9214" w:type="dxa"/>
        <w:tblLook w:val="04A0" w:firstRow="1" w:lastRow="0" w:firstColumn="1" w:lastColumn="0" w:noHBand="0" w:noVBand="1"/>
      </w:tblPr>
      <w:tblGrid>
        <w:gridCol w:w="3261"/>
        <w:gridCol w:w="4394"/>
        <w:gridCol w:w="1559"/>
      </w:tblGrid>
      <w:tr w:rsidR="009D55D3" w:rsidRPr="00B0436F" w14:paraId="71165135" w14:textId="77777777" w:rsidTr="00864E0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61" w:type="dxa"/>
          </w:tcPr>
          <w:p w14:paraId="1B2A7815" w14:textId="786F0D30" w:rsidR="009D55D3" w:rsidRPr="00B0436F" w:rsidRDefault="00C90A9A" w:rsidP="006876A7">
            <w:pPr>
              <w:rPr>
                <w:rFonts w:asciiTheme="minorHAnsi" w:hAnsiTheme="minorHAnsi" w:cstheme="minorHAnsi"/>
                <w:sz w:val="18"/>
                <w:szCs w:val="18"/>
                <w:lang w:val="en-US"/>
              </w:rPr>
            </w:pPr>
            <w:r w:rsidRPr="00B0436F">
              <w:rPr>
                <w:rFonts w:asciiTheme="minorHAnsi" w:hAnsiTheme="minorHAnsi" w:cstheme="minorHAnsi"/>
                <w:sz w:val="18"/>
                <w:szCs w:val="18"/>
                <w:lang w:val="en-US"/>
              </w:rPr>
              <w:t>N</w:t>
            </w:r>
            <w:r w:rsidR="009D55D3" w:rsidRPr="00B0436F">
              <w:rPr>
                <w:rFonts w:asciiTheme="minorHAnsi" w:hAnsiTheme="minorHAnsi" w:cstheme="minorHAnsi"/>
                <w:sz w:val="18"/>
                <w:szCs w:val="18"/>
                <w:lang w:val="en-US"/>
              </w:rPr>
              <w:t>ame</w:t>
            </w:r>
          </w:p>
        </w:tc>
        <w:tc>
          <w:tcPr>
            <w:tcW w:w="4394" w:type="dxa"/>
          </w:tcPr>
          <w:p w14:paraId="474D6EDB" w14:textId="06E67A7D" w:rsidR="009D55D3" w:rsidRPr="00B0436F" w:rsidRDefault="00AC6997" w:rsidP="006876A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rFonts w:asciiTheme="minorHAnsi" w:hAnsiTheme="minorHAnsi" w:cstheme="minorHAnsi"/>
                <w:sz w:val="18"/>
                <w:szCs w:val="18"/>
                <w:lang w:val="en-US"/>
              </w:rPr>
              <w:t>D</w:t>
            </w:r>
            <w:r w:rsidR="009D55D3" w:rsidRPr="00B0436F">
              <w:rPr>
                <w:rFonts w:asciiTheme="minorHAnsi" w:hAnsiTheme="minorHAnsi" w:cstheme="minorHAnsi"/>
                <w:sz w:val="18"/>
                <w:szCs w:val="18"/>
                <w:lang w:val="en-US"/>
              </w:rPr>
              <w:t>escription</w:t>
            </w:r>
          </w:p>
        </w:tc>
        <w:tc>
          <w:tcPr>
            <w:tcW w:w="1559" w:type="dxa"/>
          </w:tcPr>
          <w:p w14:paraId="00A2AE5D" w14:textId="77777777" w:rsidR="009D55D3" w:rsidRPr="00B0436F" w:rsidRDefault="009D55D3" w:rsidP="009D55D3">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spellStart"/>
            <w:r w:rsidRPr="00B0436F">
              <w:rPr>
                <w:rFonts w:asciiTheme="minorHAnsi" w:hAnsiTheme="minorHAnsi" w:cstheme="minorHAnsi"/>
                <w:sz w:val="18"/>
                <w:szCs w:val="18"/>
                <w:lang w:val="en-US"/>
              </w:rPr>
              <w:t>value_in_use</w:t>
            </w:r>
            <w:proofErr w:type="spellEnd"/>
          </w:p>
        </w:tc>
      </w:tr>
      <w:tr w:rsidR="003F22D7" w:rsidRPr="00B0436F" w14:paraId="47539342"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03653E5" w14:textId="1AD85A9A" w:rsidR="003F22D7" w:rsidRPr="00B0436F" w:rsidRDefault="003F22D7" w:rsidP="003F22D7">
            <w:pPr>
              <w:rPr>
                <w:rFonts w:asciiTheme="minorHAnsi" w:hAnsiTheme="minorHAnsi" w:cstheme="minorHAnsi"/>
                <w:sz w:val="18"/>
                <w:szCs w:val="18"/>
                <w:lang w:val="en-US"/>
              </w:rPr>
            </w:pPr>
            <w:r w:rsidRPr="00B0436F">
              <w:rPr>
                <w:sz w:val="18"/>
                <w:szCs w:val="18"/>
                <w:lang w:val="en-US"/>
              </w:rPr>
              <w:t>recovery interval (min)</w:t>
            </w:r>
          </w:p>
        </w:tc>
        <w:tc>
          <w:tcPr>
            <w:tcW w:w="4394" w:type="dxa"/>
          </w:tcPr>
          <w:p w14:paraId="3F3D3290" w14:textId="3DABB6BD"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Maximum recovery interval in minutes</w:t>
            </w:r>
          </w:p>
        </w:tc>
        <w:tc>
          <w:tcPr>
            <w:tcW w:w="1559" w:type="dxa"/>
          </w:tcPr>
          <w:p w14:paraId="29C984E6" w14:textId="11625B73"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0</w:t>
            </w:r>
          </w:p>
        </w:tc>
      </w:tr>
      <w:tr w:rsidR="003F22D7" w:rsidRPr="00B0436F" w14:paraId="67222AEC"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6C4528A2" w14:textId="112EBA63" w:rsidR="003F22D7" w:rsidRPr="00B0436F" w:rsidRDefault="003F22D7" w:rsidP="003F22D7">
            <w:pPr>
              <w:rPr>
                <w:rFonts w:asciiTheme="minorHAnsi" w:hAnsiTheme="minorHAnsi" w:cstheme="minorHAnsi"/>
                <w:sz w:val="18"/>
                <w:szCs w:val="18"/>
                <w:lang w:val="en-US"/>
              </w:rPr>
            </w:pPr>
            <w:r w:rsidRPr="00B0436F">
              <w:rPr>
                <w:sz w:val="18"/>
                <w:szCs w:val="18"/>
                <w:lang w:val="en-US"/>
              </w:rPr>
              <w:t>locks</w:t>
            </w:r>
          </w:p>
        </w:tc>
        <w:tc>
          <w:tcPr>
            <w:tcW w:w="4394" w:type="dxa"/>
          </w:tcPr>
          <w:p w14:paraId="3434D101" w14:textId="512B250B"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Number of locks for all users</w:t>
            </w:r>
          </w:p>
        </w:tc>
        <w:tc>
          <w:tcPr>
            <w:tcW w:w="1559" w:type="dxa"/>
          </w:tcPr>
          <w:p w14:paraId="6942DA78" w14:textId="49956FB8"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0</w:t>
            </w:r>
          </w:p>
        </w:tc>
      </w:tr>
      <w:tr w:rsidR="003F22D7" w:rsidRPr="00B0436F" w14:paraId="78395836"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4D58FE7" w14:textId="651F577C" w:rsidR="003F22D7" w:rsidRPr="00B0436F" w:rsidRDefault="003F22D7" w:rsidP="003F22D7">
            <w:pPr>
              <w:rPr>
                <w:rFonts w:asciiTheme="minorHAnsi" w:hAnsiTheme="minorHAnsi" w:cstheme="minorHAnsi"/>
                <w:sz w:val="18"/>
                <w:szCs w:val="18"/>
                <w:lang w:val="en-US"/>
              </w:rPr>
            </w:pPr>
            <w:r w:rsidRPr="00B0436F">
              <w:rPr>
                <w:sz w:val="18"/>
                <w:szCs w:val="18"/>
                <w:lang w:val="en-US"/>
              </w:rPr>
              <w:t>fill factor (%)</w:t>
            </w:r>
          </w:p>
        </w:tc>
        <w:tc>
          <w:tcPr>
            <w:tcW w:w="4394" w:type="dxa"/>
          </w:tcPr>
          <w:p w14:paraId="2FFE6789" w14:textId="123CD5B5"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Default fill factor percentage</w:t>
            </w:r>
          </w:p>
        </w:tc>
        <w:tc>
          <w:tcPr>
            <w:tcW w:w="1559" w:type="dxa"/>
          </w:tcPr>
          <w:p w14:paraId="4DD6CBB5" w14:textId="0AA0ED8E"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0</w:t>
            </w:r>
          </w:p>
        </w:tc>
      </w:tr>
      <w:tr w:rsidR="003F22D7" w:rsidRPr="00B0436F" w14:paraId="6A10F24A"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4AFA05A1" w14:textId="7AB4CA39" w:rsidR="003F22D7" w:rsidRPr="00B0436F" w:rsidRDefault="003F22D7" w:rsidP="003F22D7">
            <w:pPr>
              <w:rPr>
                <w:rFonts w:asciiTheme="minorHAnsi" w:hAnsiTheme="minorHAnsi" w:cstheme="minorHAnsi"/>
                <w:sz w:val="18"/>
                <w:szCs w:val="18"/>
                <w:lang w:val="en-US"/>
              </w:rPr>
            </w:pPr>
            <w:r w:rsidRPr="00B0436F">
              <w:rPr>
                <w:sz w:val="18"/>
                <w:szCs w:val="18"/>
                <w:lang w:val="en-US"/>
              </w:rPr>
              <w:t>cross db ownership chaining</w:t>
            </w:r>
          </w:p>
        </w:tc>
        <w:tc>
          <w:tcPr>
            <w:tcW w:w="4394" w:type="dxa"/>
          </w:tcPr>
          <w:p w14:paraId="74B6CE9F" w14:textId="2CEC68E0"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Allow cross db ownership chaining</w:t>
            </w:r>
          </w:p>
        </w:tc>
        <w:tc>
          <w:tcPr>
            <w:tcW w:w="1559" w:type="dxa"/>
          </w:tcPr>
          <w:p w14:paraId="2421A180" w14:textId="4114E660"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0</w:t>
            </w:r>
          </w:p>
        </w:tc>
      </w:tr>
      <w:tr w:rsidR="003F22D7" w:rsidRPr="00B0436F" w14:paraId="720D6406"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72C0210" w14:textId="1E0698DB" w:rsidR="003F22D7" w:rsidRPr="00B0436F" w:rsidRDefault="003F22D7" w:rsidP="003F22D7">
            <w:pPr>
              <w:rPr>
                <w:rFonts w:asciiTheme="minorHAnsi" w:hAnsiTheme="minorHAnsi" w:cstheme="minorHAnsi"/>
                <w:sz w:val="18"/>
                <w:szCs w:val="18"/>
                <w:lang w:val="en-US"/>
              </w:rPr>
            </w:pPr>
            <w:r w:rsidRPr="00B0436F">
              <w:rPr>
                <w:sz w:val="18"/>
                <w:szCs w:val="18"/>
                <w:lang w:val="en-US"/>
              </w:rPr>
              <w:t>max worker threads</w:t>
            </w:r>
          </w:p>
        </w:tc>
        <w:tc>
          <w:tcPr>
            <w:tcW w:w="4394" w:type="dxa"/>
          </w:tcPr>
          <w:p w14:paraId="5E57D8FB" w14:textId="18A35273"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Maximum worker threads</w:t>
            </w:r>
          </w:p>
        </w:tc>
        <w:tc>
          <w:tcPr>
            <w:tcW w:w="1559" w:type="dxa"/>
          </w:tcPr>
          <w:p w14:paraId="6B2C05B9" w14:textId="012CF92B"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0</w:t>
            </w:r>
          </w:p>
        </w:tc>
      </w:tr>
      <w:tr w:rsidR="003F22D7" w:rsidRPr="00B0436F" w14:paraId="3B1A02D1"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06C32F4C" w14:textId="2E37934F" w:rsidR="003F22D7" w:rsidRPr="00B0436F" w:rsidRDefault="003F22D7" w:rsidP="003F22D7">
            <w:pPr>
              <w:rPr>
                <w:rFonts w:asciiTheme="minorHAnsi" w:hAnsiTheme="minorHAnsi" w:cstheme="minorHAnsi"/>
                <w:color w:val="FF0000"/>
                <w:sz w:val="18"/>
                <w:szCs w:val="18"/>
                <w:lang w:val="en-US"/>
              </w:rPr>
            </w:pPr>
            <w:r w:rsidRPr="00B0436F">
              <w:rPr>
                <w:color w:val="FF0000"/>
                <w:sz w:val="18"/>
                <w:szCs w:val="18"/>
                <w:lang w:val="en-US"/>
              </w:rPr>
              <w:t>cost threshold for parallelism</w:t>
            </w:r>
          </w:p>
        </w:tc>
        <w:tc>
          <w:tcPr>
            <w:tcW w:w="4394" w:type="dxa"/>
          </w:tcPr>
          <w:p w14:paraId="08FA267E" w14:textId="1B9AE849"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cost threshold for parallelism</w:t>
            </w:r>
          </w:p>
        </w:tc>
        <w:tc>
          <w:tcPr>
            <w:tcW w:w="1559" w:type="dxa"/>
          </w:tcPr>
          <w:p w14:paraId="7FA365DE" w14:textId="19269D41"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5</w:t>
            </w:r>
          </w:p>
        </w:tc>
      </w:tr>
      <w:tr w:rsidR="003F22D7" w:rsidRPr="00B0436F" w14:paraId="30490CE5"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FEAF1C0" w14:textId="2A503071" w:rsidR="003F22D7" w:rsidRPr="00B0436F" w:rsidRDefault="003F22D7" w:rsidP="003F22D7">
            <w:pPr>
              <w:rPr>
                <w:rFonts w:asciiTheme="minorHAnsi" w:hAnsiTheme="minorHAnsi" w:cstheme="minorHAnsi"/>
                <w:b w:val="0"/>
                <w:color w:val="FF0000"/>
                <w:sz w:val="18"/>
                <w:szCs w:val="18"/>
                <w:lang w:val="en-US"/>
              </w:rPr>
            </w:pPr>
            <w:r w:rsidRPr="00B0436F">
              <w:rPr>
                <w:b w:val="0"/>
                <w:color w:val="FF0000"/>
                <w:sz w:val="18"/>
                <w:szCs w:val="18"/>
                <w:lang w:val="en-US"/>
              </w:rPr>
              <w:t>max degree of parallelism</w:t>
            </w:r>
          </w:p>
        </w:tc>
        <w:tc>
          <w:tcPr>
            <w:tcW w:w="4394" w:type="dxa"/>
          </w:tcPr>
          <w:p w14:paraId="23494D2F" w14:textId="181FCDAA"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B0436F">
              <w:rPr>
                <w:color w:val="FF0000"/>
                <w:sz w:val="18"/>
                <w:szCs w:val="18"/>
                <w:lang w:val="en-US"/>
              </w:rPr>
              <w:t>maximum degree of parallelism</w:t>
            </w:r>
          </w:p>
        </w:tc>
        <w:tc>
          <w:tcPr>
            <w:tcW w:w="1559" w:type="dxa"/>
          </w:tcPr>
          <w:p w14:paraId="4E22D66B" w14:textId="03A4FE6F"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B0436F">
              <w:rPr>
                <w:color w:val="FF0000"/>
                <w:sz w:val="18"/>
                <w:szCs w:val="18"/>
                <w:lang w:val="en-US"/>
              </w:rPr>
              <w:t>0</w:t>
            </w:r>
          </w:p>
        </w:tc>
      </w:tr>
      <w:tr w:rsidR="003F22D7" w:rsidRPr="00B0436F" w14:paraId="203260CD"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7D807FD5" w14:textId="7EB38B6F" w:rsidR="003F22D7" w:rsidRPr="00B0436F" w:rsidRDefault="003F22D7" w:rsidP="003F22D7">
            <w:pPr>
              <w:rPr>
                <w:rFonts w:asciiTheme="minorHAnsi" w:hAnsiTheme="minorHAnsi" w:cstheme="minorHAnsi"/>
                <w:sz w:val="18"/>
                <w:szCs w:val="18"/>
                <w:lang w:val="en-US"/>
              </w:rPr>
            </w:pPr>
            <w:r w:rsidRPr="00B0436F">
              <w:rPr>
                <w:sz w:val="18"/>
                <w:szCs w:val="18"/>
                <w:lang w:val="en-US"/>
              </w:rPr>
              <w:t>min server memory (MB)</w:t>
            </w:r>
          </w:p>
        </w:tc>
        <w:tc>
          <w:tcPr>
            <w:tcW w:w="4394" w:type="dxa"/>
          </w:tcPr>
          <w:p w14:paraId="45B51BFE" w14:textId="163DA42D"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Minimum size of server memory (MB)</w:t>
            </w:r>
          </w:p>
        </w:tc>
        <w:tc>
          <w:tcPr>
            <w:tcW w:w="1559" w:type="dxa"/>
          </w:tcPr>
          <w:p w14:paraId="4FFFC4CD" w14:textId="28F7DBC4"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16</w:t>
            </w:r>
          </w:p>
        </w:tc>
      </w:tr>
      <w:tr w:rsidR="003F22D7" w:rsidRPr="00B0436F" w14:paraId="2CD48A00"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B857F0" w14:textId="4684A971" w:rsidR="003F22D7" w:rsidRPr="00B0436F" w:rsidRDefault="003F22D7" w:rsidP="003F22D7">
            <w:pPr>
              <w:rPr>
                <w:rFonts w:asciiTheme="minorHAnsi" w:hAnsiTheme="minorHAnsi" w:cstheme="minorHAnsi"/>
                <w:color w:val="FF0000"/>
                <w:sz w:val="18"/>
                <w:szCs w:val="18"/>
                <w:lang w:val="en-US"/>
              </w:rPr>
            </w:pPr>
            <w:r w:rsidRPr="00B0436F">
              <w:rPr>
                <w:sz w:val="18"/>
                <w:szCs w:val="18"/>
                <w:lang w:val="en-US"/>
              </w:rPr>
              <w:t>max server memory (MB)</w:t>
            </w:r>
          </w:p>
        </w:tc>
        <w:tc>
          <w:tcPr>
            <w:tcW w:w="4394" w:type="dxa"/>
          </w:tcPr>
          <w:p w14:paraId="06126643" w14:textId="44CF8A52"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B0436F">
              <w:rPr>
                <w:sz w:val="18"/>
                <w:szCs w:val="18"/>
                <w:lang w:val="en-US"/>
              </w:rPr>
              <w:t>Maximum size of server memory (MB)</w:t>
            </w:r>
          </w:p>
        </w:tc>
        <w:tc>
          <w:tcPr>
            <w:tcW w:w="1559" w:type="dxa"/>
          </w:tcPr>
          <w:p w14:paraId="0AE9C42D" w14:textId="65EED068"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B0436F">
              <w:rPr>
                <w:sz w:val="18"/>
                <w:szCs w:val="18"/>
                <w:lang w:val="en-US"/>
              </w:rPr>
              <w:t>60000</w:t>
            </w:r>
          </w:p>
        </w:tc>
      </w:tr>
      <w:tr w:rsidR="003F22D7" w:rsidRPr="00B0436F" w14:paraId="3172793C"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70BEFBB0" w14:textId="3762CD26" w:rsidR="003F22D7" w:rsidRPr="00B0436F" w:rsidRDefault="003F22D7" w:rsidP="003F22D7">
            <w:pPr>
              <w:rPr>
                <w:rFonts w:asciiTheme="minorHAnsi" w:hAnsiTheme="minorHAnsi" w:cstheme="minorHAnsi"/>
                <w:sz w:val="18"/>
                <w:szCs w:val="18"/>
                <w:lang w:val="en-US"/>
              </w:rPr>
            </w:pPr>
            <w:proofErr w:type="spellStart"/>
            <w:r w:rsidRPr="00B0436F">
              <w:rPr>
                <w:sz w:val="18"/>
                <w:szCs w:val="18"/>
                <w:lang w:val="en-US"/>
              </w:rPr>
              <w:t>clr</w:t>
            </w:r>
            <w:proofErr w:type="spellEnd"/>
            <w:r w:rsidRPr="00B0436F">
              <w:rPr>
                <w:sz w:val="18"/>
                <w:szCs w:val="18"/>
                <w:lang w:val="en-US"/>
              </w:rPr>
              <w:t xml:space="preserve"> enabled</w:t>
            </w:r>
          </w:p>
        </w:tc>
        <w:tc>
          <w:tcPr>
            <w:tcW w:w="4394" w:type="dxa"/>
          </w:tcPr>
          <w:p w14:paraId="69CA7909" w14:textId="0E8A8C7E"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CLR user code execution enabled in the server</w:t>
            </w:r>
          </w:p>
        </w:tc>
        <w:tc>
          <w:tcPr>
            <w:tcW w:w="1559" w:type="dxa"/>
          </w:tcPr>
          <w:p w14:paraId="17922FE7" w14:textId="4F558476"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1</w:t>
            </w:r>
          </w:p>
        </w:tc>
      </w:tr>
      <w:tr w:rsidR="003F22D7" w:rsidRPr="00B0436F" w14:paraId="13CB9BDE"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A1CFF0" w14:textId="68D69D18" w:rsidR="003F22D7" w:rsidRPr="00B0436F" w:rsidRDefault="003F22D7" w:rsidP="003F22D7">
            <w:pPr>
              <w:rPr>
                <w:rFonts w:asciiTheme="minorHAnsi" w:hAnsiTheme="minorHAnsi" w:cstheme="minorHAnsi"/>
                <w:color w:val="FF0000"/>
                <w:sz w:val="18"/>
                <w:szCs w:val="18"/>
                <w:lang w:val="en-US"/>
              </w:rPr>
            </w:pPr>
            <w:r w:rsidRPr="00B0436F">
              <w:rPr>
                <w:color w:val="FF0000"/>
                <w:sz w:val="18"/>
                <w:szCs w:val="18"/>
                <w:lang w:val="en-US"/>
              </w:rPr>
              <w:t>optimize for ad hoc workloads</w:t>
            </w:r>
          </w:p>
        </w:tc>
        <w:tc>
          <w:tcPr>
            <w:tcW w:w="4394" w:type="dxa"/>
          </w:tcPr>
          <w:p w14:paraId="4DB2D532" w14:textId="473565D4"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 xml:space="preserve">When this option is set, plan cache size is further reduced for single-use </w:t>
            </w:r>
            <w:proofErr w:type="spellStart"/>
            <w:r w:rsidRPr="00B0436F">
              <w:rPr>
                <w:b/>
                <w:color w:val="FF0000"/>
                <w:sz w:val="18"/>
                <w:szCs w:val="18"/>
                <w:lang w:val="en-US"/>
              </w:rPr>
              <w:t>adhoc</w:t>
            </w:r>
            <w:proofErr w:type="spellEnd"/>
            <w:r w:rsidRPr="00B0436F">
              <w:rPr>
                <w:b/>
                <w:color w:val="FF0000"/>
                <w:sz w:val="18"/>
                <w:szCs w:val="18"/>
                <w:lang w:val="en-US"/>
              </w:rPr>
              <w:t xml:space="preserve"> OLTP workload.</w:t>
            </w:r>
          </w:p>
        </w:tc>
        <w:tc>
          <w:tcPr>
            <w:tcW w:w="1559" w:type="dxa"/>
          </w:tcPr>
          <w:p w14:paraId="60A9C30B" w14:textId="4782AB2E"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1</w:t>
            </w:r>
          </w:p>
        </w:tc>
      </w:tr>
      <w:tr w:rsidR="003F22D7" w:rsidRPr="00B0436F" w14:paraId="53C30A06" w14:textId="77777777" w:rsidTr="003F22D7">
        <w:tc>
          <w:tcPr>
            <w:cnfStyle w:val="001000000000" w:firstRow="0" w:lastRow="0" w:firstColumn="1" w:lastColumn="0" w:oddVBand="0" w:evenVBand="0" w:oddHBand="0" w:evenHBand="0" w:firstRowFirstColumn="0" w:firstRowLastColumn="0" w:lastRowFirstColumn="0" w:lastRowLastColumn="0"/>
            <w:tcW w:w="3261" w:type="dxa"/>
          </w:tcPr>
          <w:p w14:paraId="05275AD6" w14:textId="14982208" w:rsidR="003F22D7" w:rsidRPr="00B0436F" w:rsidRDefault="003F22D7" w:rsidP="003F22D7">
            <w:pPr>
              <w:rPr>
                <w:rFonts w:asciiTheme="minorHAnsi" w:hAnsiTheme="minorHAnsi" w:cstheme="minorHAnsi"/>
                <w:sz w:val="18"/>
                <w:szCs w:val="18"/>
                <w:lang w:val="en-US"/>
              </w:rPr>
            </w:pPr>
            <w:r w:rsidRPr="00B0436F">
              <w:rPr>
                <w:sz w:val="18"/>
                <w:szCs w:val="18"/>
                <w:lang w:val="en-US"/>
              </w:rPr>
              <w:t>Database Mail XPs</w:t>
            </w:r>
          </w:p>
        </w:tc>
        <w:tc>
          <w:tcPr>
            <w:tcW w:w="4394" w:type="dxa"/>
          </w:tcPr>
          <w:p w14:paraId="51D46649" w14:textId="5CC41FA6" w:rsidR="003F22D7" w:rsidRPr="00B0436F" w:rsidRDefault="003F22D7" w:rsidP="003F22D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Enable or disable Database Mail XPs</w:t>
            </w:r>
          </w:p>
        </w:tc>
        <w:tc>
          <w:tcPr>
            <w:tcW w:w="1559" w:type="dxa"/>
          </w:tcPr>
          <w:p w14:paraId="5C64CE3E" w14:textId="5398823C" w:rsidR="003F22D7" w:rsidRPr="00B0436F" w:rsidRDefault="003F22D7" w:rsidP="003F22D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B0436F">
              <w:rPr>
                <w:sz w:val="18"/>
                <w:szCs w:val="18"/>
                <w:lang w:val="en-US"/>
              </w:rPr>
              <w:t>1</w:t>
            </w:r>
          </w:p>
        </w:tc>
      </w:tr>
      <w:tr w:rsidR="003F22D7" w:rsidRPr="00B0436F" w14:paraId="532FD55C" w14:textId="77777777" w:rsidTr="003F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C6462FD" w14:textId="675D7B67" w:rsidR="003F22D7" w:rsidRPr="00B0436F" w:rsidRDefault="003F22D7" w:rsidP="003F22D7">
            <w:pPr>
              <w:rPr>
                <w:rFonts w:asciiTheme="minorHAnsi" w:hAnsiTheme="minorHAnsi" w:cstheme="minorHAnsi"/>
                <w:color w:val="FF0000"/>
                <w:sz w:val="18"/>
                <w:szCs w:val="18"/>
                <w:lang w:val="en-US"/>
              </w:rPr>
            </w:pPr>
            <w:r w:rsidRPr="00B0436F">
              <w:rPr>
                <w:color w:val="FF0000"/>
                <w:sz w:val="18"/>
                <w:szCs w:val="18"/>
                <w:lang w:val="en-US"/>
              </w:rPr>
              <w:t>xp_cmdshell</w:t>
            </w:r>
          </w:p>
        </w:tc>
        <w:tc>
          <w:tcPr>
            <w:tcW w:w="4394" w:type="dxa"/>
          </w:tcPr>
          <w:p w14:paraId="323689CF" w14:textId="1D755374" w:rsidR="003F22D7" w:rsidRPr="00B0436F" w:rsidRDefault="003F22D7" w:rsidP="003F22D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Enable or disable command shell</w:t>
            </w:r>
          </w:p>
        </w:tc>
        <w:tc>
          <w:tcPr>
            <w:tcW w:w="1559" w:type="dxa"/>
          </w:tcPr>
          <w:p w14:paraId="71519473" w14:textId="1C4FA023" w:rsidR="003F22D7" w:rsidRPr="00B0436F" w:rsidRDefault="003F22D7" w:rsidP="003F22D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0000"/>
                <w:sz w:val="18"/>
                <w:szCs w:val="18"/>
                <w:lang w:val="en-US"/>
              </w:rPr>
            </w:pPr>
            <w:r w:rsidRPr="00B0436F">
              <w:rPr>
                <w:b/>
                <w:color w:val="FF0000"/>
                <w:sz w:val="18"/>
                <w:szCs w:val="18"/>
                <w:lang w:val="en-US"/>
              </w:rPr>
              <w:t>1</w:t>
            </w:r>
          </w:p>
        </w:tc>
      </w:tr>
    </w:tbl>
    <w:p w14:paraId="30BD99C3" w14:textId="77777777" w:rsidR="009D55D3" w:rsidRPr="00542A27" w:rsidRDefault="009D55D3" w:rsidP="009D55D3">
      <w:pPr>
        <w:rPr>
          <w:lang w:val="en-US"/>
        </w:rPr>
      </w:pPr>
      <w:bookmarkStart w:id="21" w:name="_Ref459560723"/>
    </w:p>
    <w:p w14:paraId="4B644DC9" w14:textId="0DBA7C20" w:rsidR="009D55D3" w:rsidRPr="00542A27" w:rsidRDefault="003F22D7" w:rsidP="009D55D3">
      <w:pPr>
        <w:rPr>
          <w:lang w:val="en-US"/>
        </w:rPr>
      </w:pPr>
      <w:r w:rsidRPr="00542A27">
        <w:rPr>
          <w:lang w:val="en-US"/>
        </w:rPr>
        <w:t>Some of</w:t>
      </w:r>
      <w:r w:rsidR="00344EA1" w:rsidRPr="00542A27">
        <w:rPr>
          <w:lang w:val="en-US"/>
        </w:rPr>
        <w:t xml:space="preserve"> </w:t>
      </w:r>
      <w:r w:rsidRPr="00542A27">
        <w:rPr>
          <w:lang w:val="en-US"/>
        </w:rPr>
        <w:t>the above settings have deep impacts to performance problems and can lead to slowly running systems</w:t>
      </w:r>
    </w:p>
    <w:p w14:paraId="591FCDAF" w14:textId="482C8E82" w:rsidR="004B5646" w:rsidRPr="00542A27" w:rsidRDefault="008B0CDD" w:rsidP="008B0CDD">
      <w:pPr>
        <w:pStyle w:val="Aufzhlungszeichen"/>
        <w:rPr>
          <w:lang w:val="en-US"/>
        </w:rPr>
      </w:pPr>
      <w:r w:rsidRPr="00542A27">
        <w:rPr>
          <w:lang w:val="en-US"/>
        </w:rPr>
        <w:t>Cost</w:t>
      </w:r>
      <w:r w:rsidR="001B035D" w:rsidRPr="00542A27">
        <w:rPr>
          <w:lang w:val="en-US"/>
        </w:rPr>
        <w:t xml:space="preserve"> Threshold for Paral</w:t>
      </w:r>
      <w:r w:rsidRPr="00542A27">
        <w:rPr>
          <w:lang w:val="en-US"/>
        </w:rPr>
        <w:t>lelism</w:t>
      </w:r>
    </w:p>
    <w:p w14:paraId="2BB13485" w14:textId="5F7CDEE4" w:rsidR="008B0CDD" w:rsidRPr="00542A27" w:rsidRDefault="008B0CDD" w:rsidP="008B0CDD">
      <w:pPr>
        <w:pStyle w:val="Aufzhlungszeichen"/>
        <w:rPr>
          <w:lang w:val="en-US"/>
        </w:rPr>
      </w:pPr>
      <w:r w:rsidRPr="00542A27">
        <w:rPr>
          <w:lang w:val="en-US"/>
        </w:rPr>
        <w:t>Max Degree of Parallelism</w:t>
      </w:r>
    </w:p>
    <w:p w14:paraId="547FBF6C" w14:textId="156A56D6" w:rsidR="008B0CDD" w:rsidRPr="00542A27" w:rsidRDefault="008B0CDD" w:rsidP="008B0CDD">
      <w:pPr>
        <w:pStyle w:val="Aufzhlungszeichen"/>
        <w:rPr>
          <w:lang w:val="en-US"/>
        </w:rPr>
      </w:pPr>
      <w:r w:rsidRPr="00542A27">
        <w:rPr>
          <w:lang w:val="en-US"/>
        </w:rPr>
        <w:t>Max Server Memory</w:t>
      </w:r>
    </w:p>
    <w:p w14:paraId="2B92131B" w14:textId="4A2AD9F5" w:rsidR="008B0CDD" w:rsidRPr="00542A27" w:rsidRDefault="008B0CDD" w:rsidP="008B0CDD">
      <w:pPr>
        <w:pStyle w:val="Aufzhlungszeichen"/>
        <w:rPr>
          <w:lang w:val="en-US"/>
        </w:rPr>
      </w:pPr>
      <w:r w:rsidRPr="00542A27">
        <w:rPr>
          <w:lang w:val="en-US"/>
        </w:rPr>
        <w:t>xp_cmdshell</w:t>
      </w:r>
    </w:p>
    <w:p w14:paraId="7D13FEB7" w14:textId="13452330" w:rsidR="009D55D3" w:rsidRPr="00542A27" w:rsidRDefault="009D55D3" w:rsidP="009D55D3">
      <w:pPr>
        <w:pStyle w:val="berschrift3"/>
        <w:rPr>
          <w:lang w:val="en-US"/>
        </w:rPr>
      </w:pPr>
      <w:bookmarkStart w:id="22" w:name="_Ref477500289"/>
      <w:bookmarkStart w:id="23" w:name="_Toc497821324"/>
      <w:r w:rsidRPr="00542A27">
        <w:rPr>
          <w:lang w:val="en-US"/>
        </w:rPr>
        <w:t xml:space="preserve">Cost Threshold </w:t>
      </w:r>
      <w:r w:rsidR="00154D51" w:rsidRPr="00542A27">
        <w:rPr>
          <w:lang w:val="en-US"/>
        </w:rPr>
        <w:t>for</w:t>
      </w:r>
      <w:r w:rsidRPr="00542A27">
        <w:rPr>
          <w:lang w:val="en-US"/>
        </w:rPr>
        <w:t xml:space="preserve"> Parallelism</w:t>
      </w:r>
      <w:bookmarkEnd w:id="22"/>
      <w:bookmarkEnd w:id="23"/>
    </w:p>
    <w:p w14:paraId="035198F0" w14:textId="416EDABC" w:rsidR="003F22D7" w:rsidRPr="00542A27" w:rsidRDefault="003F22D7" w:rsidP="003F22D7">
      <w:pPr>
        <w:rPr>
          <w:lang w:val="en-US"/>
        </w:rPr>
      </w:pPr>
      <w:r w:rsidRPr="00542A27">
        <w:rPr>
          <w:lang w:val="en-US"/>
        </w:rPr>
        <w:t>The option “cost threshold for parallelism” specifies the threshold at which Microsoft SQL Server creates and runs parallel plans for queries. SQL Server creates and runs a parallel plan for a query only when the estimated cost to run a serial plan for the same query is higher than the value set in cost threshold for parallelism. The cost refers to an estimated elapsed time in seconds required to run the serial plan on a specific hardware configuration. Only set cost threshold for parallelism on symmetric multiprocessors.</w:t>
      </w:r>
    </w:p>
    <w:p w14:paraId="7632DB9A" w14:textId="77777777" w:rsidR="003F22D7" w:rsidRPr="00542A27" w:rsidRDefault="003F22D7" w:rsidP="003F22D7">
      <w:pPr>
        <w:rPr>
          <w:lang w:val="en-US"/>
        </w:rPr>
      </w:pPr>
      <w:r w:rsidRPr="00542A27">
        <w:rPr>
          <w:lang w:val="en-US"/>
        </w:rPr>
        <w:lastRenderedPageBreak/>
        <w:t>Longer queries usually benefit from parallel plans; the performance advantage negates the additional time required to initialize, synchronize, and terminate parallel plans. The cost threshold for parallelism option is actively used when a mix of short and longer queries is run. The short queries run serial plans, whereas the longer queries use parallel plans. The value of cost threshold for parallelism determines which queries are considered short, and they should therefore be run using serial plans.</w:t>
      </w:r>
    </w:p>
    <w:p w14:paraId="0D75A094" w14:textId="77777777" w:rsidR="003F22D7" w:rsidRPr="00542A27" w:rsidRDefault="003F22D7" w:rsidP="003F22D7">
      <w:pPr>
        <w:rPr>
          <w:lang w:val="en-US"/>
        </w:rPr>
      </w:pPr>
      <w:r w:rsidRPr="00542A27">
        <w:rPr>
          <w:lang w:val="en-US"/>
        </w:rPr>
        <w:t>In certain cases, a parallel plan may be chosen even though the query's cost plan is less than the current cost threshold for parallelism value. This can happen because the decision to use a parallel or serial plan is based on a cost estimate provided before the full optimization is complete.</w:t>
      </w:r>
    </w:p>
    <w:p w14:paraId="58607C53" w14:textId="199D8DA5" w:rsidR="009D55D3" w:rsidRPr="00542A27" w:rsidRDefault="003F22D7" w:rsidP="003F22D7">
      <w:pPr>
        <w:rPr>
          <w:lang w:val="en-US"/>
        </w:rPr>
      </w:pPr>
      <w:r w:rsidRPr="00542A27">
        <w:rPr>
          <w:lang w:val="en-US"/>
        </w:rPr>
        <w:t xml:space="preserve">The cost threshold for parallelism option can be set to any value from 0 through 32767. </w:t>
      </w:r>
      <w:r w:rsidRPr="00542A27">
        <w:rPr>
          <w:b/>
          <w:lang w:val="en-US"/>
        </w:rPr>
        <w:t>The default value is 5.</w:t>
      </w:r>
      <w:r w:rsidR="00C96BE3" w:rsidRPr="00542A27">
        <w:rPr>
          <w:b/>
          <w:lang w:val="en-US"/>
        </w:rPr>
        <w:t xml:space="preserve"> This value is from 1997 (!) and is based on hardware </w:t>
      </w:r>
      <w:r w:rsidR="002C1370" w:rsidRPr="00542A27">
        <w:rPr>
          <w:b/>
          <w:lang w:val="en-US"/>
        </w:rPr>
        <w:t xml:space="preserve">from </w:t>
      </w:r>
      <w:r w:rsidR="00F707FF" w:rsidRPr="00542A27">
        <w:rPr>
          <w:b/>
          <w:lang w:val="en-US"/>
        </w:rPr>
        <w:t>1997</w:t>
      </w:r>
      <w:r w:rsidR="002C1370" w:rsidRPr="00542A27">
        <w:rPr>
          <w:b/>
          <w:lang w:val="en-US"/>
        </w:rPr>
        <w:t>.</w:t>
      </w:r>
    </w:p>
    <w:p w14:paraId="62FF3B58" w14:textId="63CBAED8" w:rsidR="009D55D3" w:rsidRPr="00542A27" w:rsidRDefault="009D55D3" w:rsidP="009D55D3">
      <w:pPr>
        <w:pStyle w:val="berschrift3"/>
        <w:rPr>
          <w:lang w:val="en-US"/>
        </w:rPr>
      </w:pPr>
      <w:bookmarkStart w:id="24" w:name="_Toc497821325"/>
      <w:r w:rsidRPr="00542A27">
        <w:rPr>
          <w:lang w:val="en-US"/>
        </w:rPr>
        <w:t>Max Degree of Parallelism</w:t>
      </w:r>
      <w:bookmarkEnd w:id="24"/>
    </w:p>
    <w:p w14:paraId="1DA387B9" w14:textId="6B239BF7" w:rsidR="00C42059" w:rsidRPr="00542A27" w:rsidRDefault="00C2346E" w:rsidP="009D55D3">
      <w:pPr>
        <w:rPr>
          <w:lang w:val="en-US"/>
        </w:rPr>
      </w:pPr>
      <w:r w:rsidRPr="00542A27">
        <w:rPr>
          <w:lang w:val="en-US"/>
        </w:rPr>
        <w:t xml:space="preserve">The Microsoft SQL Server max degree of parallelism (MAXDOP) configuration option controls the number of processors that are used for the execution of a query in a parallel plan. </w:t>
      </w:r>
      <w:r w:rsidRPr="00542A27">
        <w:rPr>
          <w:b/>
          <w:lang w:val="en-US"/>
        </w:rPr>
        <w:t>This option determines the computing and thread resources that are used for the query plan operators that perform the work in parallel</w:t>
      </w:r>
      <w:r w:rsidRPr="00542A27">
        <w:rPr>
          <w:lang w:val="en-US"/>
        </w:rPr>
        <w:t xml:space="preserve">. Depending on whether SQL Server is set up on a symmetric multiprocessing (SMP) computer, a non-uniform memory access (NUMA) computer, or </w:t>
      </w:r>
      <w:r w:rsidR="002B7F2A" w:rsidRPr="00542A27">
        <w:rPr>
          <w:lang w:val="en-US"/>
        </w:rPr>
        <w:t>hyper threading</w:t>
      </w:r>
      <w:r w:rsidRPr="00542A27">
        <w:rPr>
          <w:lang w:val="en-US"/>
        </w:rPr>
        <w:t>-enabled processors, the option for the max degree of parallelism must be configured appropriately.</w:t>
      </w:r>
    </w:p>
    <w:p w14:paraId="10DCC0C0" w14:textId="1D291CC9" w:rsidR="009E221E" w:rsidRPr="00542A27" w:rsidRDefault="00053D9D" w:rsidP="009E221E">
      <w:pPr>
        <w:pStyle w:val="berschrift3"/>
        <w:rPr>
          <w:lang w:val="en-US"/>
        </w:rPr>
      </w:pPr>
      <w:bookmarkStart w:id="25" w:name="_Toc497821326"/>
      <w:r w:rsidRPr="00542A27">
        <w:rPr>
          <w:lang w:val="en-US"/>
        </w:rPr>
        <w:t>Min/</w:t>
      </w:r>
      <w:r w:rsidR="009E221E" w:rsidRPr="00542A27">
        <w:rPr>
          <w:lang w:val="en-US"/>
        </w:rPr>
        <w:t>Max Server Memory</w:t>
      </w:r>
      <w:bookmarkEnd w:id="25"/>
    </w:p>
    <w:p w14:paraId="36296176" w14:textId="31003BFC" w:rsidR="00053D9D" w:rsidRPr="00542A27" w:rsidRDefault="00053D9D" w:rsidP="00053D9D">
      <w:pPr>
        <w:rPr>
          <w:lang w:val="en-US"/>
        </w:rPr>
      </w:pPr>
      <w:r w:rsidRPr="00542A27">
        <w:rPr>
          <w:lang w:val="en-US"/>
        </w:rPr>
        <w:t>The two server memory options, “</w:t>
      </w:r>
      <w:r w:rsidRPr="00542A27">
        <w:rPr>
          <w:b/>
          <w:lang w:val="en-US"/>
        </w:rPr>
        <w:t>min server memory</w:t>
      </w:r>
      <w:r w:rsidRPr="00542A27">
        <w:rPr>
          <w:lang w:val="en-US"/>
        </w:rPr>
        <w:t>” and “</w:t>
      </w:r>
      <w:r w:rsidRPr="00542A27">
        <w:rPr>
          <w:b/>
          <w:lang w:val="en-US"/>
        </w:rPr>
        <w:t>max server memory</w:t>
      </w:r>
      <w:r w:rsidRPr="00542A27">
        <w:rPr>
          <w:lang w:val="en-US"/>
        </w:rPr>
        <w:t>” are used to reconfigure the amount of memory (in megabytes) that is managed by the SQL Server Memory Manager for a SQL Server process used by an instance of SQL Server.</w:t>
      </w:r>
    </w:p>
    <w:p w14:paraId="6C8CB2BF" w14:textId="77777777" w:rsidR="00053D9D" w:rsidRPr="00542A27" w:rsidRDefault="00053D9D" w:rsidP="00053D9D">
      <w:pPr>
        <w:rPr>
          <w:lang w:val="en-US"/>
        </w:rPr>
      </w:pPr>
    </w:p>
    <w:p w14:paraId="05D4204A" w14:textId="271ECD80" w:rsidR="009E221E" w:rsidRPr="00542A27" w:rsidRDefault="00053D9D" w:rsidP="00053D9D">
      <w:pPr>
        <w:rPr>
          <w:lang w:val="en-US"/>
        </w:rPr>
      </w:pPr>
      <w:r w:rsidRPr="00542A27">
        <w:rPr>
          <w:lang w:val="en-US"/>
        </w:rPr>
        <w:t>The default setting for min server memory is 0, and the default setting for max server memory is 2147483647 MB. By default, SQL Server can change its memory requirements dynamically based on available system resources. When SQL Server is using memory dynamically, it queries the system periodically to determine the amount of free memory. Maintaining this free memory prevents the operating system (OS) from paging. If less memory is free, SQL Server releases memory to the OS. If more memory is free, SQL Server may allocate more memory. SQL Server adds memory only when its workload requires more memory; a server at rest does not increase the size of its virtual address space.</w:t>
      </w:r>
    </w:p>
    <w:p w14:paraId="47DD00CC" w14:textId="74D2BC59" w:rsidR="001E42DE" w:rsidRPr="00542A27" w:rsidRDefault="00B36C17" w:rsidP="009E221E">
      <w:pPr>
        <w:rPr>
          <w:lang w:val="en-US"/>
        </w:rPr>
      </w:pPr>
      <w:r w:rsidRPr="00542A27">
        <w:rPr>
          <w:lang w:val="en-US"/>
        </w:rPr>
        <w:t xml:space="preserve">The distribution of system and user databases is described as </w:t>
      </w:r>
      <w:r w:rsidR="002B7F2A" w:rsidRPr="00542A27">
        <w:rPr>
          <w:lang w:val="en-US"/>
        </w:rPr>
        <w:t>follows</w:t>
      </w:r>
      <w:r w:rsidR="001E42DE" w:rsidRPr="00542A27">
        <w:rPr>
          <w:rStyle w:val="Funotenzeichen"/>
          <w:lang w:val="en-US"/>
        </w:rPr>
        <w:footnoteReference w:id="10"/>
      </w:r>
      <w:r w:rsidR="001E42DE" w:rsidRPr="00542A27">
        <w:rPr>
          <w:lang w:val="en-US"/>
        </w:rPr>
        <w:t>:</w:t>
      </w:r>
    </w:p>
    <w:tbl>
      <w:tblPr>
        <w:tblStyle w:val="Gitternetztabelle6farbigAkzent1"/>
        <w:tblW w:w="0" w:type="auto"/>
        <w:tblInd w:w="-5" w:type="dxa"/>
        <w:tblLook w:val="04A0" w:firstRow="1" w:lastRow="0" w:firstColumn="1" w:lastColumn="0" w:noHBand="0" w:noVBand="1"/>
      </w:tblPr>
      <w:tblGrid>
        <w:gridCol w:w="1701"/>
        <w:gridCol w:w="5387"/>
        <w:gridCol w:w="1974"/>
      </w:tblGrid>
      <w:tr w:rsidR="001E42DE" w:rsidRPr="00542A27" w14:paraId="2997C702" w14:textId="77777777" w:rsidTr="001E4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5F7EAC" w14:textId="64E6A6BA" w:rsidR="001E42DE" w:rsidRPr="00542A27" w:rsidRDefault="001E42DE" w:rsidP="001E42DE">
            <w:pPr>
              <w:rPr>
                <w:sz w:val="18"/>
                <w:szCs w:val="18"/>
                <w:lang w:val="en-US"/>
              </w:rPr>
            </w:pPr>
            <w:r w:rsidRPr="00542A27">
              <w:rPr>
                <w:sz w:val="18"/>
                <w:szCs w:val="18"/>
                <w:lang w:val="en-US"/>
              </w:rPr>
              <w:t>Buffer Pool Rank</w:t>
            </w:r>
          </w:p>
        </w:tc>
        <w:tc>
          <w:tcPr>
            <w:tcW w:w="5387" w:type="dxa"/>
          </w:tcPr>
          <w:p w14:paraId="218B5B63" w14:textId="7F971FFB" w:rsidR="001E42DE" w:rsidRPr="00542A27" w:rsidRDefault="001E42DE" w:rsidP="001E42DE">
            <w:pP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542A27">
              <w:rPr>
                <w:sz w:val="18"/>
                <w:szCs w:val="18"/>
                <w:lang w:val="en-US"/>
              </w:rPr>
              <w:t>database_name</w:t>
            </w:r>
            <w:proofErr w:type="spellEnd"/>
          </w:p>
        </w:tc>
        <w:tc>
          <w:tcPr>
            <w:tcW w:w="1974" w:type="dxa"/>
          </w:tcPr>
          <w:p w14:paraId="7A3DA2B4" w14:textId="3F11CD12" w:rsidR="001E42DE" w:rsidRPr="00542A27" w:rsidRDefault="001E42DE" w:rsidP="001E42DE">
            <w:pPr>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Cached Size</w:t>
            </w:r>
          </w:p>
        </w:tc>
      </w:tr>
      <w:tr w:rsidR="00053D9D" w:rsidRPr="00542A27" w14:paraId="54293001" w14:textId="77777777" w:rsidTr="00282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3EBA55B1" w14:textId="3AAB3016" w:rsidR="00053D9D" w:rsidRPr="00542A27" w:rsidRDefault="00053D9D" w:rsidP="00053D9D">
            <w:pPr>
              <w:rPr>
                <w:sz w:val="18"/>
                <w:szCs w:val="18"/>
                <w:lang w:val="en-US"/>
              </w:rPr>
            </w:pPr>
            <w:r w:rsidRPr="00542A27">
              <w:rPr>
                <w:color w:val="000000"/>
                <w:sz w:val="18"/>
                <w:szCs w:val="18"/>
                <w:lang w:val="en-US"/>
              </w:rPr>
              <w:t>1</w:t>
            </w:r>
          </w:p>
        </w:tc>
        <w:tc>
          <w:tcPr>
            <w:tcW w:w="5387" w:type="dxa"/>
            <w:vAlign w:val="bottom"/>
          </w:tcPr>
          <w:p w14:paraId="0D764976" w14:textId="5CC8189D" w:rsidR="00053D9D" w:rsidRPr="00542A27" w:rsidRDefault="00B0436F" w:rsidP="00053D9D">
            <w:pPr>
              <w:cnfStyle w:val="000000100000" w:firstRow="0" w:lastRow="0" w:firstColumn="0" w:lastColumn="0" w:oddVBand="0" w:evenVBand="0" w:oddHBand="1" w:evenHBand="0" w:firstRowFirstColumn="0" w:firstRowLastColumn="0" w:lastRowFirstColumn="0" w:lastRowLastColumn="0"/>
              <w:rPr>
                <w:sz w:val="18"/>
                <w:szCs w:val="18"/>
                <w:lang w:val="en-US"/>
              </w:rPr>
            </w:pPr>
            <w:r>
              <w:rPr>
                <w:color w:val="000000"/>
                <w:sz w:val="18"/>
                <w:szCs w:val="18"/>
                <w:lang w:val="en-US"/>
              </w:rPr>
              <w:t>&lt;DB_1&gt;</w:t>
            </w:r>
          </w:p>
        </w:tc>
        <w:tc>
          <w:tcPr>
            <w:tcW w:w="1974" w:type="dxa"/>
            <w:vAlign w:val="bottom"/>
          </w:tcPr>
          <w:p w14:paraId="0DECE566" w14:textId="4C1E1736" w:rsidR="00053D9D" w:rsidRPr="00542A27" w:rsidRDefault="00053D9D" w:rsidP="00053D9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color w:val="000000"/>
                <w:sz w:val="18"/>
                <w:szCs w:val="18"/>
                <w:lang w:val="en-US"/>
              </w:rPr>
              <w:t>13804,36</w:t>
            </w:r>
          </w:p>
        </w:tc>
      </w:tr>
      <w:tr w:rsidR="00053D9D" w:rsidRPr="00542A27" w14:paraId="76FFF5E7" w14:textId="77777777" w:rsidTr="002825F8">
        <w:tc>
          <w:tcPr>
            <w:cnfStyle w:val="001000000000" w:firstRow="0" w:lastRow="0" w:firstColumn="1" w:lastColumn="0" w:oddVBand="0" w:evenVBand="0" w:oddHBand="0" w:evenHBand="0" w:firstRowFirstColumn="0" w:firstRowLastColumn="0" w:lastRowFirstColumn="0" w:lastRowLastColumn="0"/>
            <w:tcW w:w="1701" w:type="dxa"/>
            <w:vAlign w:val="bottom"/>
          </w:tcPr>
          <w:p w14:paraId="4B2367CF" w14:textId="324028FC" w:rsidR="00053D9D" w:rsidRPr="00542A27" w:rsidRDefault="00053D9D" w:rsidP="00053D9D">
            <w:pPr>
              <w:rPr>
                <w:sz w:val="18"/>
                <w:szCs w:val="18"/>
                <w:lang w:val="en-US"/>
              </w:rPr>
            </w:pPr>
            <w:r w:rsidRPr="00542A27">
              <w:rPr>
                <w:color w:val="000000"/>
                <w:sz w:val="18"/>
                <w:szCs w:val="18"/>
                <w:lang w:val="en-US"/>
              </w:rPr>
              <w:t>2</w:t>
            </w:r>
          </w:p>
        </w:tc>
        <w:tc>
          <w:tcPr>
            <w:tcW w:w="5387" w:type="dxa"/>
            <w:vAlign w:val="bottom"/>
          </w:tcPr>
          <w:p w14:paraId="28525B0C" w14:textId="49C4C258" w:rsidR="00053D9D" w:rsidRPr="00542A27" w:rsidRDefault="00B0436F" w:rsidP="00053D9D">
            <w:pPr>
              <w:cnfStyle w:val="000000000000" w:firstRow="0" w:lastRow="0" w:firstColumn="0" w:lastColumn="0" w:oddVBand="0" w:evenVBand="0" w:oddHBand="0" w:evenHBand="0" w:firstRowFirstColumn="0" w:firstRowLastColumn="0" w:lastRowFirstColumn="0" w:lastRowLastColumn="0"/>
              <w:rPr>
                <w:sz w:val="18"/>
                <w:szCs w:val="18"/>
                <w:lang w:val="en-US"/>
              </w:rPr>
            </w:pPr>
            <w:r>
              <w:rPr>
                <w:color w:val="000000"/>
                <w:sz w:val="18"/>
                <w:szCs w:val="18"/>
                <w:lang w:val="en-US"/>
              </w:rPr>
              <w:t>&lt;DB_2&gt;</w:t>
            </w:r>
          </w:p>
        </w:tc>
        <w:tc>
          <w:tcPr>
            <w:tcW w:w="1974" w:type="dxa"/>
            <w:vAlign w:val="bottom"/>
          </w:tcPr>
          <w:p w14:paraId="7A7BB5F2" w14:textId="50F651C7" w:rsidR="00053D9D" w:rsidRPr="00542A27" w:rsidRDefault="00053D9D" w:rsidP="00053D9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color w:val="000000"/>
                <w:sz w:val="18"/>
                <w:szCs w:val="18"/>
                <w:lang w:val="en-US"/>
              </w:rPr>
              <w:t>5969,54</w:t>
            </w:r>
          </w:p>
        </w:tc>
      </w:tr>
      <w:tr w:rsidR="00053D9D" w:rsidRPr="00542A27" w14:paraId="78E3302C" w14:textId="77777777" w:rsidTr="00282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54899BD3" w14:textId="2A3E7429" w:rsidR="00053D9D" w:rsidRPr="00542A27" w:rsidRDefault="00053D9D" w:rsidP="00053D9D">
            <w:pPr>
              <w:rPr>
                <w:sz w:val="18"/>
                <w:szCs w:val="18"/>
                <w:lang w:val="en-US"/>
              </w:rPr>
            </w:pPr>
            <w:r w:rsidRPr="00542A27">
              <w:rPr>
                <w:color w:val="000000"/>
                <w:sz w:val="18"/>
                <w:szCs w:val="18"/>
                <w:lang w:val="en-US"/>
              </w:rPr>
              <w:t>3</w:t>
            </w:r>
          </w:p>
        </w:tc>
        <w:tc>
          <w:tcPr>
            <w:tcW w:w="5387" w:type="dxa"/>
            <w:vAlign w:val="bottom"/>
          </w:tcPr>
          <w:p w14:paraId="3E2BBFB3" w14:textId="746EE1F2" w:rsidR="00053D9D" w:rsidRPr="00542A27" w:rsidRDefault="00B0436F" w:rsidP="00053D9D">
            <w:pPr>
              <w:cnfStyle w:val="000000100000" w:firstRow="0" w:lastRow="0" w:firstColumn="0" w:lastColumn="0" w:oddVBand="0" w:evenVBand="0" w:oddHBand="1" w:evenHBand="0" w:firstRowFirstColumn="0" w:firstRowLastColumn="0" w:lastRowFirstColumn="0" w:lastRowLastColumn="0"/>
              <w:rPr>
                <w:sz w:val="18"/>
                <w:szCs w:val="18"/>
                <w:lang w:val="en-US"/>
              </w:rPr>
            </w:pPr>
            <w:r>
              <w:rPr>
                <w:color w:val="000000"/>
                <w:sz w:val="18"/>
                <w:szCs w:val="18"/>
                <w:lang w:val="en-US"/>
              </w:rPr>
              <w:t>&lt;DB_3&gt;</w:t>
            </w:r>
          </w:p>
        </w:tc>
        <w:tc>
          <w:tcPr>
            <w:tcW w:w="1974" w:type="dxa"/>
            <w:vAlign w:val="bottom"/>
          </w:tcPr>
          <w:p w14:paraId="2F660BE6" w14:textId="5BCE259F" w:rsidR="00053D9D" w:rsidRPr="00542A27" w:rsidRDefault="00053D9D" w:rsidP="00053D9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color w:val="000000"/>
                <w:sz w:val="18"/>
                <w:szCs w:val="18"/>
                <w:lang w:val="en-US"/>
              </w:rPr>
              <w:t>918,47</w:t>
            </w:r>
          </w:p>
        </w:tc>
      </w:tr>
      <w:tr w:rsidR="00053D9D" w:rsidRPr="00542A27" w14:paraId="5C37D37C" w14:textId="77777777" w:rsidTr="002825F8">
        <w:tc>
          <w:tcPr>
            <w:cnfStyle w:val="001000000000" w:firstRow="0" w:lastRow="0" w:firstColumn="1" w:lastColumn="0" w:oddVBand="0" w:evenVBand="0" w:oddHBand="0" w:evenHBand="0" w:firstRowFirstColumn="0" w:firstRowLastColumn="0" w:lastRowFirstColumn="0" w:lastRowLastColumn="0"/>
            <w:tcW w:w="1701" w:type="dxa"/>
            <w:vAlign w:val="bottom"/>
          </w:tcPr>
          <w:p w14:paraId="3EBBFBF9" w14:textId="4BF478BC" w:rsidR="00053D9D" w:rsidRPr="00542A27" w:rsidRDefault="00053D9D" w:rsidP="00053D9D">
            <w:pPr>
              <w:rPr>
                <w:sz w:val="18"/>
                <w:szCs w:val="18"/>
                <w:lang w:val="en-US"/>
              </w:rPr>
            </w:pPr>
            <w:r w:rsidRPr="00542A27">
              <w:rPr>
                <w:color w:val="000000"/>
                <w:sz w:val="18"/>
                <w:szCs w:val="18"/>
                <w:lang w:val="en-US"/>
              </w:rPr>
              <w:t>4</w:t>
            </w:r>
          </w:p>
        </w:tc>
        <w:tc>
          <w:tcPr>
            <w:tcW w:w="5387" w:type="dxa"/>
            <w:vAlign w:val="bottom"/>
          </w:tcPr>
          <w:p w14:paraId="4CBE6030" w14:textId="6F66E319" w:rsidR="00053D9D" w:rsidRPr="00542A27" w:rsidRDefault="00B0436F" w:rsidP="00053D9D">
            <w:pPr>
              <w:cnfStyle w:val="000000000000" w:firstRow="0" w:lastRow="0" w:firstColumn="0" w:lastColumn="0" w:oddVBand="0" w:evenVBand="0" w:oddHBand="0" w:evenHBand="0" w:firstRowFirstColumn="0" w:firstRowLastColumn="0" w:lastRowFirstColumn="0" w:lastRowLastColumn="0"/>
              <w:rPr>
                <w:sz w:val="18"/>
                <w:szCs w:val="18"/>
                <w:lang w:val="en-US"/>
              </w:rPr>
            </w:pPr>
            <w:r>
              <w:rPr>
                <w:color w:val="000000"/>
                <w:sz w:val="18"/>
                <w:szCs w:val="18"/>
                <w:lang w:val="en-US"/>
              </w:rPr>
              <w:t>&lt;DB_4&gt;</w:t>
            </w:r>
          </w:p>
        </w:tc>
        <w:tc>
          <w:tcPr>
            <w:tcW w:w="1974" w:type="dxa"/>
            <w:vAlign w:val="bottom"/>
          </w:tcPr>
          <w:p w14:paraId="3E7CFE62" w14:textId="7F0349A7" w:rsidR="00053D9D" w:rsidRPr="00542A27" w:rsidRDefault="00053D9D" w:rsidP="00053D9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color w:val="000000"/>
                <w:sz w:val="18"/>
                <w:szCs w:val="18"/>
                <w:lang w:val="en-US"/>
              </w:rPr>
              <w:t>620,86</w:t>
            </w:r>
          </w:p>
        </w:tc>
      </w:tr>
    </w:tbl>
    <w:p w14:paraId="12BD63E9" w14:textId="78FC4804" w:rsidR="001E42DE" w:rsidRPr="00542A27" w:rsidRDefault="001E42DE" w:rsidP="009E221E">
      <w:pPr>
        <w:rPr>
          <w:lang w:val="en-US"/>
        </w:rPr>
      </w:pPr>
    </w:p>
    <w:p w14:paraId="0163BE4A" w14:textId="596D5004" w:rsidR="006418C8" w:rsidRPr="00542A27" w:rsidRDefault="00AB0AFF" w:rsidP="009E221E">
      <w:pPr>
        <w:rPr>
          <w:lang w:val="en-US"/>
        </w:rPr>
      </w:pPr>
      <w:r w:rsidRPr="00542A27">
        <w:rPr>
          <w:lang w:val="en-US"/>
        </w:rPr>
        <w:t xml:space="preserve">The distribution picture shows a dominant consume of Memory by the databases </w:t>
      </w:r>
      <w:r w:rsidR="00B0436F">
        <w:rPr>
          <w:lang w:val="en-US"/>
        </w:rPr>
        <w:t>&lt;DB_1&gt;</w:t>
      </w:r>
      <w:r w:rsidRPr="00542A27">
        <w:rPr>
          <w:lang w:val="en-US"/>
        </w:rPr>
        <w:t xml:space="preserve"> and </w:t>
      </w:r>
      <w:r w:rsidR="00B0436F">
        <w:rPr>
          <w:lang w:val="en-US"/>
        </w:rPr>
        <w:t>&lt;DB_2&gt;</w:t>
      </w:r>
      <w:r w:rsidRPr="00542A27">
        <w:rPr>
          <w:lang w:val="en-US"/>
        </w:rPr>
        <w:t>.</w:t>
      </w:r>
    </w:p>
    <w:p w14:paraId="137EB3D2" w14:textId="099B9BA5" w:rsidR="00AB0AFF" w:rsidRPr="00542A27" w:rsidRDefault="00AB0AFF" w:rsidP="00AB0AFF">
      <w:pPr>
        <w:pStyle w:val="Untertitel"/>
        <w:rPr>
          <w:lang w:val="en-US"/>
        </w:rPr>
      </w:pPr>
      <w:r w:rsidRPr="00542A27">
        <w:rPr>
          <w:lang w:val="en-US"/>
        </w:rPr>
        <w:t>Note</w:t>
      </w:r>
    </w:p>
    <w:p w14:paraId="6FC8E8E5" w14:textId="712EB8F6" w:rsidR="00AB0AFF" w:rsidRPr="00542A27" w:rsidRDefault="00AB0AFF" w:rsidP="009E221E">
      <w:pPr>
        <w:rPr>
          <w:color w:val="FF0000"/>
          <w:lang w:val="en-US"/>
        </w:rPr>
      </w:pPr>
      <w:r w:rsidRPr="00542A27">
        <w:rPr>
          <w:color w:val="FF0000"/>
          <w:lang w:val="en-US"/>
        </w:rPr>
        <w:t>The values are NOT representative for the production system because the UAT system is not heavily used.</w:t>
      </w:r>
    </w:p>
    <w:p w14:paraId="157661B1" w14:textId="4B2923ED" w:rsidR="009E221E" w:rsidRPr="00542A27" w:rsidRDefault="009E221E" w:rsidP="009E221E">
      <w:pPr>
        <w:pStyle w:val="berschrift3"/>
        <w:rPr>
          <w:lang w:val="en-US"/>
        </w:rPr>
      </w:pPr>
      <w:bookmarkStart w:id="26" w:name="_Ref477619112"/>
      <w:bookmarkStart w:id="27" w:name="_Toc497821327"/>
      <w:r w:rsidRPr="00542A27">
        <w:rPr>
          <w:lang w:val="en-US"/>
        </w:rPr>
        <w:t>xp_cmdshell</w:t>
      </w:r>
      <w:bookmarkEnd w:id="26"/>
      <w:bookmarkEnd w:id="27"/>
    </w:p>
    <w:p w14:paraId="045420A1" w14:textId="1E1B68BE" w:rsidR="009E221E" w:rsidRPr="00542A27" w:rsidRDefault="00935CD7" w:rsidP="009E221E">
      <w:pPr>
        <w:rPr>
          <w:lang w:val="en-US"/>
        </w:rPr>
      </w:pPr>
      <w:r w:rsidRPr="00542A27">
        <w:rPr>
          <w:lang w:val="en-US"/>
        </w:rPr>
        <w:t>xp_cmdshell is a security critical option in Microsoft SQL Server which spawns a Windows command shell and passes in a string for execution. Any output is returned as rows of text.</w:t>
      </w:r>
    </w:p>
    <w:p w14:paraId="79A4D253" w14:textId="7F7B5B7C" w:rsidR="009352A6" w:rsidRPr="00542A27" w:rsidRDefault="009352A6" w:rsidP="009352A6">
      <w:pPr>
        <w:pStyle w:val="Untertitel"/>
        <w:rPr>
          <w:lang w:val="en-US"/>
        </w:rPr>
      </w:pPr>
      <w:r w:rsidRPr="00542A27">
        <w:rPr>
          <w:lang w:val="en-US"/>
        </w:rPr>
        <w:t>Note</w:t>
      </w:r>
    </w:p>
    <w:p w14:paraId="3B7D773A" w14:textId="5B8799EA" w:rsidR="009352A6" w:rsidRPr="00542A27" w:rsidRDefault="009352A6" w:rsidP="009352A6">
      <w:pPr>
        <w:pStyle w:val="Aufzhlungszeichen"/>
        <w:rPr>
          <w:b/>
          <w:lang w:val="en-US"/>
        </w:rPr>
      </w:pPr>
      <w:r w:rsidRPr="00542A27">
        <w:rPr>
          <w:lang w:val="en-US"/>
        </w:rPr>
        <w:lastRenderedPageBreak/>
        <w:t xml:space="preserve">The Windows process spawned by xp_cmdshell has the </w:t>
      </w:r>
      <w:r w:rsidRPr="00542A27">
        <w:rPr>
          <w:b/>
          <w:lang w:val="en-US"/>
        </w:rPr>
        <w:t>same security rights as the SQL Server service account.</w:t>
      </w:r>
    </w:p>
    <w:p w14:paraId="416FF79F" w14:textId="5753BB7E" w:rsidR="009352A6" w:rsidRPr="00542A27" w:rsidRDefault="009352A6" w:rsidP="009352A6">
      <w:pPr>
        <w:pStyle w:val="Aufzhlungszeichen"/>
        <w:rPr>
          <w:lang w:val="en-US"/>
        </w:rPr>
      </w:pPr>
      <w:r w:rsidRPr="00542A27">
        <w:rPr>
          <w:lang w:val="en-US"/>
        </w:rPr>
        <w:t>xp_cmdshell operates synchronously. Control is not returned to the caller until the command-shell command is completed.</w:t>
      </w:r>
    </w:p>
    <w:p w14:paraId="0FAE40BD" w14:textId="6466D75A" w:rsidR="001512A8" w:rsidRPr="00542A27" w:rsidRDefault="001512A8" w:rsidP="002B5ABF">
      <w:pPr>
        <w:pStyle w:val="berschrift3"/>
        <w:rPr>
          <w:lang w:val="en-US"/>
        </w:rPr>
      </w:pPr>
      <w:bookmarkStart w:id="28" w:name="_Ref459809833"/>
      <w:bookmarkStart w:id="29" w:name="_Ref459809841"/>
      <w:bookmarkStart w:id="30" w:name="_Toc497821328"/>
      <w:r w:rsidRPr="00542A27">
        <w:rPr>
          <w:lang w:val="en-US"/>
        </w:rPr>
        <w:t>Wait Stats</w:t>
      </w:r>
      <w:bookmarkEnd w:id="14"/>
      <w:bookmarkEnd w:id="21"/>
      <w:bookmarkEnd w:id="28"/>
      <w:bookmarkEnd w:id="29"/>
      <w:bookmarkEnd w:id="30"/>
    </w:p>
    <w:p w14:paraId="0A7946EB" w14:textId="6D19D456" w:rsidR="00032655" w:rsidRPr="00542A27" w:rsidRDefault="00032655" w:rsidP="00032655">
      <w:pPr>
        <w:rPr>
          <w:lang w:val="en-US"/>
        </w:rPr>
      </w:pPr>
      <w:r w:rsidRPr="00542A27">
        <w:rPr>
          <w:lang w:val="en-US"/>
        </w:rPr>
        <w:t>When a user application submits to SQL Server a request for data, the biggest element of SQL Server’s total response time would, ideally, be the CPU processing time. In other words, the time it takes the CPU to pull together the required data and send it back. However, in a busy database system, with hundreds or thousands of user requests competing for the limited resources of the database server, there will be times when a request is waiting to proceed, rather than actively processing. For example, Session A’s request may be waiting for Session B to release a lock on a resource to which it needs access.</w:t>
      </w:r>
    </w:p>
    <w:p w14:paraId="3D610582" w14:textId="5ACD5EDA" w:rsidR="00AC4694" w:rsidRPr="00542A27" w:rsidRDefault="00032655" w:rsidP="00032655">
      <w:pPr>
        <w:rPr>
          <w:lang w:val="en-US"/>
        </w:rPr>
      </w:pPr>
      <w:r w:rsidRPr="00542A27">
        <w:rPr>
          <w:lang w:val="en-US"/>
        </w:rPr>
        <w:t>Every time a request is forced to wait, SQL Server records the length of the wait, and the cause of the wait, a.k.a. the wait type, which generally indicates the resource on which the request was waiting. These are the wait statistics.</w:t>
      </w:r>
    </w:p>
    <w:p w14:paraId="0D614D9A" w14:textId="31FFD717" w:rsidR="00AC4694" w:rsidRPr="00542A27" w:rsidRDefault="00AF0114" w:rsidP="00173B5F">
      <w:pPr>
        <w:keepNext/>
        <w:rPr>
          <w:lang w:val="en-US"/>
        </w:rPr>
      </w:pPr>
      <w:r w:rsidRPr="00542A27">
        <w:rPr>
          <w:noProof/>
          <w:lang w:val="en-US"/>
        </w:rPr>
        <w:drawing>
          <wp:inline distT="0" distB="0" distL="0" distR="0" wp14:anchorId="3EEB6E03" wp14:editId="78785FD6">
            <wp:extent cx="5760720" cy="3239770"/>
            <wp:effectExtent l="114300" t="114300" r="144780" b="1511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A5BD81" w14:textId="4C23FF69" w:rsidR="00681E96" w:rsidRPr="00542A27" w:rsidRDefault="008B7A45" w:rsidP="00681E96">
      <w:pPr>
        <w:pStyle w:val="Beschriftung"/>
        <w:rPr>
          <w:lang w:val="en-US"/>
        </w:rPr>
      </w:pPr>
      <w:r w:rsidRPr="00542A27">
        <w:rPr>
          <w:lang w:val="en-US"/>
        </w:rPr>
        <w:t>Picture</w:t>
      </w:r>
      <w:r w:rsidR="00681E96" w:rsidRPr="00542A27">
        <w:rPr>
          <w:lang w:val="en-US"/>
        </w:rPr>
        <w:t xml:space="preserve"> </w:t>
      </w:r>
      <w:r w:rsidR="0031215F" w:rsidRPr="00542A27">
        <w:rPr>
          <w:lang w:val="en-US"/>
        </w:rPr>
        <w:fldChar w:fldCharType="begin"/>
      </w:r>
      <w:r w:rsidR="0031215F" w:rsidRPr="00542A27">
        <w:rPr>
          <w:lang w:val="en-US"/>
        </w:rPr>
        <w:instrText xml:space="preserve"> SEQ Abbildung \* ARABIC </w:instrText>
      </w:r>
      <w:r w:rsidR="0031215F" w:rsidRPr="00542A27">
        <w:rPr>
          <w:lang w:val="en-US"/>
        </w:rPr>
        <w:fldChar w:fldCharType="separate"/>
      </w:r>
      <w:r w:rsidR="003464F8" w:rsidRPr="00542A27">
        <w:rPr>
          <w:noProof/>
          <w:lang w:val="en-US"/>
        </w:rPr>
        <w:t>2</w:t>
      </w:r>
      <w:r w:rsidR="0031215F" w:rsidRPr="00542A27">
        <w:rPr>
          <w:noProof/>
          <w:lang w:val="en-US"/>
        </w:rPr>
        <w:fldChar w:fldCharType="end"/>
      </w:r>
      <w:r w:rsidR="00681E96" w:rsidRPr="00542A27">
        <w:rPr>
          <w:lang w:val="en-US"/>
        </w:rPr>
        <w:t xml:space="preserve">: </w:t>
      </w:r>
      <w:r w:rsidR="00032655" w:rsidRPr="00542A27">
        <w:rPr>
          <w:lang w:val="en-US"/>
        </w:rPr>
        <w:t xml:space="preserve">Working cycle </w:t>
      </w:r>
      <w:r w:rsidR="00681E96" w:rsidRPr="00542A27">
        <w:rPr>
          <w:lang w:val="en-US"/>
        </w:rPr>
        <w:t>in Microsoft SQL Server</w:t>
      </w:r>
    </w:p>
    <w:p w14:paraId="37193EB2" w14:textId="6CA7DFC8" w:rsidR="000E2524" w:rsidRPr="00542A27" w:rsidRDefault="001039C0" w:rsidP="000E2524">
      <w:pPr>
        <w:rPr>
          <w:lang w:val="en-US"/>
        </w:rPr>
      </w:pPr>
      <w:r w:rsidRPr="00542A27">
        <w:rPr>
          <w:lang w:val="en-US"/>
        </w:rPr>
        <w:t>If</w:t>
      </w:r>
      <w:r w:rsidR="000E2524" w:rsidRPr="00542A27">
        <w:rPr>
          <w:lang w:val="en-US"/>
        </w:rPr>
        <w:t xml:space="preserve"> </w:t>
      </w:r>
      <w:r w:rsidR="008B7A45" w:rsidRPr="00542A27">
        <w:rPr>
          <w:lang w:val="en-US"/>
        </w:rPr>
        <w:t xml:space="preserve">a </w:t>
      </w:r>
      <w:r w:rsidR="000E2524" w:rsidRPr="00542A27">
        <w:rPr>
          <w:lang w:val="en-US"/>
        </w:rPr>
        <w:t xml:space="preserve">query is running actively on </w:t>
      </w:r>
      <w:r w:rsidR="008B7A45" w:rsidRPr="00542A27">
        <w:rPr>
          <w:lang w:val="en-US"/>
        </w:rPr>
        <w:t xml:space="preserve">the </w:t>
      </w:r>
      <w:r w:rsidR="000E2524" w:rsidRPr="00542A27">
        <w:rPr>
          <w:lang w:val="en-US"/>
        </w:rPr>
        <w:t xml:space="preserve">CPU, the query is in the </w:t>
      </w:r>
      <w:r w:rsidR="000E2524" w:rsidRPr="00542A27">
        <w:rPr>
          <w:b/>
          <w:lang w:val="en-US"/>
        </w:rPr>
        <w:t>RUNNING</w:t>
      </w:r>
      <w:r w:rsidR="000E2524" w:rsidRPr="00542A27">
        <w:rPr>
          <w:lang w:val="en-US"/>
        </w:rPr>
        <w:t xml:space="preserve"> state. Being in the running state is always </w:t>
      </w:r>
      <w:r w:rsidR="008B7A45" w:rsidRPr="00542A27">
        <w:rPr>
          <w:lang w:val="en-US"/>
        </w:rPr>
        <w:t xml:space="preserve">the </w:t>
      </w:r>
      <w:r w:rsidR="000E2524" w:rsidRPr="00542A27">
        <w:rPr>
          <w:lang w:val="en-US"/>
        </w:rPr>
        <w:t xml:space="preserve">primary goal. When SQL Server takes </w:t>
      </w:r>
      <w:r w:rsidR="008B7A45" w:rsidRPr="00542A27">
        <w:rPr>
          <w:lang w:val="en-US"/>
        </w:rPr>
        <w:t xml:space="preserve">a </w:t>
      </w:r>
      <w:r w:rsidR="000E2524" w:rsidRPr="00542A27">
        <w:rPr>
          <w:lang w:val="en-US"/>
        </w:rPr>
        <w:t xml:space="preserve">query off the CPU, then the query is moved into the </w:t>
      </w:r>
      <w:r w:rsidR="000E2524" w:rsidRPr="00542A27">
        <w:rPr>
          <w:b/>
          <w:lang w:val="en-US"/>
        </w:rPr>
        <w:t>SUSPENDED</w:t>
      </w:r>
      <w:r w:rsidR="000E2524" w:rsidRPr="00542A27">
        <w:rPr>
          <w:lang w:val="en-US"/>
        </w:rPr>
        <w:t xml:space="preserve"> state. The query waits </w:t>
      </w:r>
      <w:proofErr w:type="gramStart"/>
      <w:r w:rsidR="000E2524" w:rsidRPr="00542A27">
        <w:rPr>
          <w:lang w:val="en-US"/>
        </w:rPr>
        <w:t>as long as</w:t>
      </w:r>
      <w:proofErr w:type="gramEnd"/>
      <w:r w:rsidR="000E2524" w:rsidRPr="00542A27">
        <w:rPr>
          <w:lang w:val="en-US"/>
        </w:rPr>
        <w:t xml:space="preserve"> needed in the SUSPENDED state, until the requested resource is available </w:t>
      </w:r>
    </w:p>
    <w:p w14:paraId="1052275E" w14:textId="537078F1" w:rsidR="00AF0114" w:rsidRPr="00542A27" w:rsidRDefault="000E2524" w:rsidP="000E2524">
      <w:pPr>
        <w:rPr>
          <w:lang w:val="en-US"/>
        </w:rPr>
      </w:pPr>
      <w:r w:rsidRPr="00542A27">
        <w:rPr>
          <w:lang w:val="en-US"/>
        </w:rPr>
        <w:t xml:space="preserve">When the requested resource is available, then SQL Server moves </w:t>
      </w:r>
      <w:r w:rsidR="008B7A45" w:rsidRPr="00542A27">
        <w:rPr>
          <w:lang w:val="en-US"/>
        </w:rPr>
        <w:t xml:space="preserve">the </w:t>
      </w:r>
      <w:r w:rsidRPr="00542A27">
        <w:rPr>
          <w:lang w:val="en-US"/>
        </w:rPr>
        <w:t xml:space="preserve">query into the </w:t>
      </w:r>
      <w:r w:rsidRPr="00542A27">
        <w:rPr>
          <w:b/>
          <w:lang w:val="en-US"/>
        </w:rPr>
        <w:t>RUNNABLE</w:t>
      </w:r>
      <w:r w:rsidRPr="00542A27">
        <w:rPr>
          <w:lang w:val="en-US"/>
        </w:rPr>
        <w:t xml:space="preserve"> state. The RUNNABLE state means that </w:t>
      </w:r>
      <w:r w:rsidR="008B7A45" w:rsidRPr="00542A27">
        <w:rPr>
          <w:lang w:val="en-US"/>
        </w:rPr>
        <w:t xml:space="preserve">a </w:t>
      </w:r>
      <w:r w:rsidRPr="00542A27">
        <w:rPr>
          <w:lang w:val="en-US"/>
        </w:rPr>
        <w:t xml:space="preserve">query is ready for continuing its execution, but it needs one additional essential thing: a CPU to run on. When there is currently no CPU available (because other queries are currently in the RUNNING state), then the query </w:t>
      </w:r>
      <w:proofErr w:type="gramStart"/>
      <w:r w:rsidRPr="00542A27">
        <w:rPr>
          <w:lang w:val="en-US"/>
        </w:rPr>
        <w:t>has to</w:t>
      </w:r>
      <w:proofErr w:type="gramEnd"/>
      <w:r w:rsidRPr="00542A27">
        <w:rPr>
          <w:lang w:val="en-US"/>
        </w:rPr>
        <w:t xml:space="preserve"> spend some time in the RUNNABLE state. </w:t>
      </w:r>
      <w:proofErr w:type="gramStart"/>
      <w:r w:rsidRPr="00542A27">
        <w:rPr>
          <w:lang w:val="en-US"/>
        </w:rPr>
        <w:t>Finally</w:t>
      </w:r>
      <w:proofErr w:type="gramEnd"/>
      <w:r w:rsidRPr="00542A27">
        <w:rPr>
          <w:lang w:val="en-US"/>
        </w:rPr>
        <w:t xml:space="preserve"> when a CPU becomes available, the query moves into the RUNNING state, and everything happens over and over again.</w:t>
      </w:r>
    </w:p>
    <w:p w14:paraId="29275213" w14:textId="7290668C" w:rsidR="00AF0114" w:rsidRPr="00542A27" w:rsidRDefault="00AF0114" w:rsidP="00AC4694">
      <w:pPr>
        <w:rPr>
          <w:lang w:val="en-US"/>
        </w:rPr>
      </w:pPr>
      <w:r w:rsidRPr="00542A27">
        <w:rPr>
          <w:noProof/>
          <w:lang w:val="en-US"/>
        </w:rPr>
        <w:lastRenderedPageBreak/>
        <w:drawing>
          <wp:inline distT="0" distB="0" distL="0" distR="0" wp14:anchorId="3855E097" wp14:editId="75C8CB83">
            <wp:extent cx="5760720" cy="3239770"/>
            <wp:effectExtent l="114300" t="114300" r="144780" b="15113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AECBE" w14:textId="3E3D51EC" w:rsidR="00AF0114" w:rsidRPr="00542A27" w:rsidRDefault="00953365" w:rsidP="00AF0114">
      <w:pPr>
        <w:pStyle w:val="Beschriftung"/>
        <w:rPr>
          <w:lang w:val="en-US"/>
        </w:rPr>
      </w:pPr>
      <w:r w:rsidRPr="00542A27">
        <w:rPr>
          <w:lang w:val="en-US"/>
        </w:rPr>
        <w:t>Picture</w:t>
      </w:r>
      <w:r w:rsidR="00AF0114" w:rsidRPr="00542A27">
        <w:rPr>
          <w:lang w:val="en-US"/>
        </w:rPr>
        <w:t xml:space="preserve"> </w:t>
      </w:r>
      <w:r w:rsidR="0031215F" w:rsidRPr="00542A27">
        <w:rPr>
          <w:lang w:val="en-US"/>
        </w:rPr>
        <w:fldChar w:fldCharType="begin"/>
      </w:r>
      <w:r w:rsidR="0031215F" w:rsidRPr="00542A27">
        <w:rPr>
          <w:lang w:val="en-US"/>
        </w:rPr>
        <w:instrText xml:space="preserve"> SEQ Abbildung \* ARABIC </w:instrText>
      </w:r>
      <w:r w:rsidR="0031215F" w:rsidRPr="00542A27">
        <w:rPr>
          <w:lang w:val="en-US"/>
        </w:rPr>
        <w:fldChar w:fldCharType="separate"/>
      </w:r>
      <w:r w:rsidR="003464F8" w:rsidRPr="00542A27">
        <w:rPr>
          <w:noProof/>
          <w:lang w:val="en-US"/>
        </w:rPr>
        <w:t>3</w:t>
      </w:r>
      <w:r w:rsidR="0031215F" w:rsidRPr="00542A27">
        <w:rPr>
          <w:noProof/>
          <w:lang w:val="en-US"/>
        </w:rPr>
        <w:fldChar w:fldCharType="end"/>
      </w:r>
      <w:r w:rsidR="00AF0114" w:rsidRPr="00542A27">
        <w:rPr>
          <w:lang w:val="en-US"/>
        </w:rPr>
        <w:t xml:space="preserve">: </w:t>
      </w:r>
      <w:r w:rsidRPr="00542A27">
        <w:rPr>
          <w:lang w:val="en-US"/>
        </w:rPr>
        <w:t xml:space="preserve">Logging of a </w:t>
      </w:r>
      <w:r w:rsidR="00AF0114" w:rsidRPr="00542A27">
        <w:rPr>
          <w:lang w:val="en-US"/>
        </w:rPr>
        <w:t>SOS_SCHEDULER_YIELD</w:t>
      </w:r>
      <w:r w:rsidRPr="00542A27">
        <w:rPr>
          <w:lang w:val="en-US"/>
        </w:rPr>
        <w:t xml:space="preserve"> wait</w:t>
      </w:r>
    </w:p>
    <w:tbl>
      <w:tblPr>
        <w:tblStyle w:val="EinfacheTabelle4"/>
        <w:tblW w:w="9072" w:type="dxa"/>
        <w:tblLook w:val="04A0" w:firstRow="1" w:lastRow="0" w:firstColumn="1" w:lastColumn="0" w:noHBand="0" w:noVBand="1"/>
      </w:tblPr>
      <w:tblGrid>
        <w:gridCol w:w="2410"/>
        <w:gridCol w:w="1701"/>
        <w:gridCol w:w="1559"/>
        <w:gridCol w:w="1111"/>
        <w:gridCol w:w="1234"/>
        <w:gridCol w:w="1057"/>
      </w:tblGrid>
      <w:tr w:rsidR="00237DD3" w:rsidRPr="00542A27" w14:paraId="5C18BEB6" w14:textId="77777777" w:rsidTr="008957A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795C312" w14:textId="6E27B3DF" w:rsidR="00237DD3" w:rsidRPr="00542A27" w:rsidRDefault="00237DD3" w:rsidP="00237DD3">
            <w:pPr>
              <w:keepLines w:val="0"/>
              <w:spacing w:after="0"/>
              <w:rPr>
                <w:sz w:val="18"/>
                <w:szCs w:val="18"/>
                <w:lang w:val="en-US"/>
              </w:rPr>
            </w:pPr>
            <w:r w:rsidRPr="00542A27">
              <w:rPr>
                <w:sz w:val="18"/>
                <w:szCs w:val="18"/>
                <w:lang w:val="en-US"/>
              </w:rPr>
              <w:t>Wait</w:t>
            </w:r>
            <w:r w:rsidR="00D8691B" w:rsidRPr="00542A27">
              <w:rPr>
                <w:sz w:val="18"/>
                <w:szCs w:val="18"/>
                <w:lang w:val="en-US"/>
              </w:rPr>
              <w:t xml:space="preserve"> </w:t>
            </w:r>
            <w:r w:rsidRPr="00542A27">
              <w:rPr>
                <w:sz w:val="18"/>
                <w:szCs w:val="18"/>
                <w:lang w:val="en-US"/>
              </w:rPr>
              <w:t>Type</w:t>
            </w:r>
          </w:p>
        </w:tc>
        <w:tc>
          <w:tcPr>
            <w:tcW w:w="1701" w:type="dxa"/>
            <w:noWrap/>
            <w:hideMark/>
          </w:tcPr>
          <w:p w14:paraId="17693F6A" w14:textId="7063B702" w:rsidR="00237DD3" w:rsidRPr="00542A27" w:rsidRDefault="00237DD3" w:rsidP="008957A3">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Wait</w:t>
            </w:r>
            <w:r w:rsidR="008957A3" w:rsidRPr="00542A27">
              <w:rPr>
                <w:sz w:val="18"/>
                <w:szCs w:val="18"/>
                <w:lang w:val="en-US"/>
              </w:rPr>
              <w:t xml:space="preserve"> (</w:t>
            </w:r>
            <w:r w:rsidRPr="00542A27">
              <w:rPr>
                <w:sz w:val="18"/>
                <w:szCs w:val="18"/>
                <w:lang w:val="en-US"/>
              </w:rPr>
              <w:t>S</w:t>
            </w:r>
            <w:r w:rsidR="008957A3" w:rsidRPr="00542A27">
              <w:rPr>
                <w:sz w:val="18"/>
                <w:szCs w:val="18"/>
                <w:lang w:val="en-US"/>
              </w:rPr>
              <w:t>ec)</w:t>
            </w:r>
          </w:p>
        </w:tc>
        <w:tc>
          <w:tcPr>
            <w:tcW w:w="1559" w:type="dxa"/>
            <w:noWrap/>
            <w:hideMark/>
          </w:tcPr>
          <w:p w14:paraId="3BB28FFD" w14:textId="69B2B673" w:rsidR="00237DD3" w:rsidRPr="00542A27" w:rsidRDefault="00237DD3" w:rsidP="008957A3">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Resource</w:t>
            </w:r>
            <w:r w:rsidR="008957A3" w:rsidRPr="00542A27">
              <w:rPr>
                <w:sz w:val="18"/>
                <w:szCs w:val="18"/>
                <w:lang w:val="en-US"/>
              </w:rPr>
              <w:t xml:space="preserve"> (</w:t>
            </w:r>
            <w:r w:rsidRPr="00542A27">
              <w:rPr>
                <w:sz w:val="18"/>
                <w:szCs w:val="18"/>
                <w:lang w:val="en-US"/>
              </w:rPr>
              <w:t>S</w:t>
            </w:r>
            <w:r w:rsidR="008957A3" w:rsidRPr="00542A27">
              <w:rPr>
                <w:sz w:val="18"/>
                <w:szCs w:val="18"/>
                <w:lang w:val="en-US"/>
              </w:rPr>
              <w:t>ec)</w:t>
            </w:r>
          </w:p>
        </w:tc>
        <w:tc>
          <w:tcPr>
            <w:tcW w:w="1111" w:type="dxa"/>
            <w:noWrap/>
            <w:hideMark/>
          </w:tcPr>
          <w:p w14:paraId="4C4AA584" w14:textId="7E69576C" w:rsidR="00237DD3" w:rsidRPr="00542A27" w:rsidRDefault="00237DD3" w:rsidP="008957A3">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Signal</w:t>
            </w:r>
            <w:r w:rsidR="008957A3" w:rsidRPr="00542A27">
              <w:rPr>
                <w:sz w:val="18"/>
                <w:szCs w:val="18"/>
                <w:lang w:val="en-US"/>
              </w:rPr>
              <w:t xml:space="preserve"> (</w:t>
            </w:r>
            <w:r w:rsidRPr="00542A27">
              <w:rPr>
                <w:sz w:val="18"/>
                <w:szCs w:val="18"/>
                <w:lang w:val="en-US"/>
              </w:rPr>
              <w:t>S</w:t>
            </w:r>
            <w:r w:rsidR="008957A3" w:rsidRPr="00542A27">
              <w:rPr>
                <w:sz w:val="18"/>
                <w:szCs w:val="18"/>
                <w:lang w:val="en-US"/>
              </w:rPr>
              <w:t>ec)</w:t>
            </w:r>
          </w:p>
        </w:tc>
        <w:tc>
          <w:tcPr>
            <w:tcW w:w="1234" w:type="dxa"/>
            <w:noWrap/>
            <w:hideMark/>
          </w:tcPr>
          <w:p w14:paraId="66BC932A" w14:textId="77777777" w:rsidR="00237DD3" w:rsidRPr="00542A27"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542A27">
              <w:rPr>
                <w:sz w:val="18"/>
                <w:szCs w:val="18"/>
                <w:lang w:val="en-US"/>
              </w:rPr>
              <w:t>WaitCount</w:t>
            </w:r>
            <w:proofErr w:type="spellEnd"/>
          </w:p>
        </w:tc>
        <w:tc>
          <w:tcPr>
            <w:tcW w:w="1057" w:type="dxa"/>
            <w:noWrap/>
            <w:hideMark/>
          </w:tcPr>
          <w:p w14:paraId="6B66A6C5" w14:textId="357A40DA" w:rsidR="00237DD3" w:rsidRPr="00542A27" w:rsidRDefault="008957A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w:t>
            </w:r>
          </w:p>
        </w:tc>
      </w:tr>
      <w:tr w:rsidR="008957A3" w:rsidRPr="00542A27" w14:paraId="12C8087C" w14:textId="77777777" w:rsidTr="00895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3C5942BB" w14:textId="25903487" w:rsidR="008957A3" w:rsidRPr="00542A27" w:rsidRDefault="008957A3" w:rsidP="008957A3">
            <w:pPr>
              <w:keepLines w:val="0"/>
              <w:spacing w:after="0"/>
              <w:rPr>
                <w:color w:val="FF0000"/>
                <w:sz w:val="18"/>
                <w:szCs w:val="18"/>
                <w:lang w:val="en-US"/>
              </w:rPr>
            </w:pPr>
            <w:r w:rsidRPr="00542A27">
              <w:rPr>
                <w:color w:val="000000"/>
                <w:sz w:val="18"/>
                <w:szCs w:val="18"/>
                <w:lang w:val="en-US"/>
              </w:rPr>
              <w:t>CXPACKET</w:t>
            </w:r>
            <w:r w:rsidR="004413FE" w:rsidRPr="00542A27">
              <w:rPr>
                <w:rStyle w:val="Funotenzeichen"/>
                <w:color w:val="000000"/>
                <w:sz w:val="18"/>
                <w:szCs w:val="18"/>
                <w:lang w:val="en-US"/>
              </w:rPr>
              <w:footnoteReference w:id="11"/>
            </w:r>
          </w:p>
        </w:tc>
        <w:tc>
          <w:tcPr>
            <w:tcW w:w="1701" w:type="dxa"/>
            <w:noWrap/>
            <w:vAlign w:val="bottom"/>
            <w:hideMark/>
          </w:tcPr>
          <w:p w14:paraId="4761C804" w14:textId="773CDFF0"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253638,4</w:t>
            </w:r>
          </w:p>
        </w:tc>
        <w:tc>
          <w:tcPr>
            <w:tcW w:w="1559" w:type="dxa"/>
            <w:noWrap/>
            <w:vAlign w:val="bottom"/>
            <w:hideMark/>
          </w:tcPr>
          <w:p w14:paraId="0D431141" w14:textId="2CF88E60"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228542,8</w:t>
            </w:r>
          </w:p>
        </w:tc>
        <w:tc>
          <w:tcPr>
            <w:tcW w:w="1111" w:type="dxa"/>
            <w:noWrap/>
            <w:vAlign w:val="bottom"/>
            <w:hideMark/>
          </w:tcPr>
          <w:p w14:paraId="60F9AF3F" w14:textId="3ED060BA"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25095,63</w:t>
            </w:r>
          </w:p>
        </w:tc>
        <w:tc>
          <w:tcPr>
            <w:tcW w:w="1234" w:type="dxa"/>
            <w:noWrap/>
            <w:vAlign w:val="bottom"/>
            <w:hideMark/>
          </w:tcPr>
          <w:p w14:paraId="65C4EC69" w14:textId="4963CAA6"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190134342</w:t>
            </w:r>
          </w:p>
        </w:tc>
        <w:tc>
          <w:tcPr>
            <w:tcW w:w="1057" w:type="dxa"/>
            <w:noWrap/>
            <w:vAlign w:val="bottom"/>
            <w:hideMark/>
          </w:tcPr>
          <w:p w14:paraId="4EAE60E5" w14:textId="2E16B347"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59,20</w:t>
            </w:r>
          </w:p>
        </w:tc>
      </w:tr>
      <w:tr w:rsidR="008957A3" w:rsidRPr="00542A27" w14:paraId="2452B0ED" w14:textId="77777777" w:rsidTr="008957A3">
        <w:trPr>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EFA47FA" w14:textId="480B9C13" w:rsidR="008957A3" w:rsidRPr="00542A27" w:rsidRDefault="008957A3" w:rsidP="008957A3">
            <w:pPr>
              <w:keepLines w:val="0"/>
              <w:spacing w:after="0"/>
              <w:rPr>
                <w:color w:val="FF0000"/>
                <w:sz w:val="18"/>
                <w:szCs w:val="18"/>
                <w:lang w:val="en-US"/>
              </w:rPr>
            </w:pPr>
            <w:r w:rsidRPr="00542A27">
              <w:rPr>
                <w:color w:val="000000"/>
                <w:sz w:val="18"/>
                <w:szCs w:val="18"/>
                <w:lang w:val="en-US"/>
              </w:rPr>
              <w:t>OLEDB</w:t>
            </w:r>
            <w:r w:rsidR="004413FE" w:rsidRPr="00542A27">
              <w:rPr>
                <w:rStyle w:val="Funotenzeichen"/>
                <w:color w:val="000000"/>
                <w:sz w:val="18"/>
                <w:szCs w:val="18"/>
                <w:lang w:val="en-US"/>
              </w:rPr>
              <w:footnoteReference w:id="12"/>
            </w:r>
          </w:p>
        </w:tc>
        <w:tc>
          <w:tcPr>
            <w:tcW w:w="1701" w:type="dxa"/>
            <w:noWrap/>
            <w:vAlign w:val="bottom"/>
            <w:hideMark/>
          </w:tcPr>
          <w:p w14:paraId="02A80DE0" w14:textId="0E2F1DB5"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133336,8</w:t>
            </w:r>
          </w:p>
        </w:tc>
        <w:tc>
          <w:tcPr>
            <w:tcW w:w="1559" w:type="dxa"/>
            <w:noWrap/>
            <w:vAlign w:val="bottom"/>
            <w:hideMark/>
          </w:tcPr>
          <w:p w14:paraId="04290BDE" w14:textId="707F9284"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133336,8</w:t>
            </w:r>
          </w:p>
        </w:tc>
        <w:tc>
          <w:tcPr>
            <w:tcW w:w="1111" w:type="dxa"/>
            <w:noWrap/>
            <w:vAlign w:val="bottom"/>
            <w:hideMark/>
          </w:tcPr>
          <w:p w14:paraId="35B8EDB0" w14:textId="6142F718"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0</w:t>
            </w:r>
            <w:r w:rsidR="004413FE" w:rsidRPr="00542A27">
              <w:rPr>
                <w:color w:val="000000"/>
                <w:sz w:val="18"/>
                <w:szCs w:val="18"/>
                <w:lang w:val="en-US"/>
              </w:rPr>
              <w:t>,00</w:t>
            </w:r>
          </w:p>
        </w:tc>
        <w:tc>
          <w:tcPr>
            <w:tcW w:w="1234" w:type="dxa"/>
            <w:noWrap/>
            <w:vAlign w:val="bottom"/>
            <w:hideMark/>
          </w:tcPr>
          <w:p w14:paraId="12833F97" w14:textId="1EE14FA6"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457884592</w:t>
            </w:r>
          </w:p>
        </w:tc>
        <w:tc>
          <w:tcPr>
            <w:tcW w:w="1057" w:type="dxa"/>
            <w:noWrap/>
            <w:vAlign w:val="bottom"/>
            <w:hideMark/>
          </w:tcPr>
          <w:p w14:paraId="502B330F" w14:textId="13D74D14"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31,12</w:t>
            </w:r>
          </w:p>
        </w:tc>
      </w:tr>
      <w:tr w:rsidR="008957A3" w:rsidRPr="00542A27" w14:paraId="6AC61E67" w14:textId="77777777" w:rsidTr="00895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35A2BD9" w14:textId="3435AC60" w:rsidR="008957A3" w:rsidRPr="00542A27" w:rsidRDefault="008957A3" w:rsidP="008957A3">
            <w:pPr>
              <w:keepLines w:val="0"/>
              <w:spacing w:after="0"/>
              <w:rPr>
                <w:color w:val="FF0000"/>
                <w:sz w:val="18"/>
                <w:szCs w:val="18"/>
                <w:lang w:val="en-US"/>
              </w:rPr>
            </w:pPr>
            <w:r w:rsidRPr="00542A27">
              <w:rPr>
                <w:color w:val="000000"/>
                <w:sz w:val="18"/>
                <w:szCs w:val="18"/>
                <w:lang w:val="en-US"/>
              </w:rPr>
              <w:t>LATCH_EX</w:t>
            </w:r>
            <w:r w:rsidR="004413FE" w:rsidRPr="00542A27">
              <w:rPr>
                <w:rStyle w:val="Funotenzeichen"/>
                <w:color w:val="000000"/>
                <w:sz w:val="18"/>
                <w:szCs w:val="18"/>
                <w:lang w:val="en-US"/>
              </w:rPr>
              <w:footnoteReference w:id="13"/>
            </w:r>
          </w:p>
        </w:tc>
        <w:tc>
          <w:tcPr>
            <w:tcW w:w="1701" w:type="dxa"/>
            <w:noWrap/>
            <w:vAlign w:val="bottom"/>
            <w:hideMark/>
          </w:tcPr>
          <w:p w14:paraId="0550DCB5" w14:textId="0B8E1906"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14644,38</w:t>
            </w:r>
          </w:p>
        </w:tc>
        <w:tc>
          <w:tcPr>
            <w:tcW w:w="1559" w:type="dxa"/>
            <w:noWrap/>
            <w:vAlign w:val="bottom"/>
            <w:hideMark/>
          </w:tcPr>
          <w:p w14:paraId="0A2FBA10" w14:textId="184E7820"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13650,18</w:t>
            </w:r>
          </w:p>
        </w:tc>
        <w:tc>
          <w:tcPr>
            <w:tcW w:w="1111" w:type="dxa"/>
            <w:noWrap/>
            <w:vAlign w:val="bottom"/>
            <w:hideMark/>
          </w:tcPr>
          <w:p w14:paraId="6401B507" w14:textId="610E2EAE"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994,2</w:t>
            </w:r>
            <w:r w:rsidR="004413FE" w:rsidRPr="00542A27">
              <w:rPr>
                <w:color w:val="000000"/>
                <w:sz w:val="18"/>
                <w:szCs w:val="18"/>
                <w:lang w:val="en-US"/>
              </w:rPr>
              <w:t>0</w:t>
            </w:r>
          </w:p>
        </w:tc>
        <w:tc>
          <w:tcPr>
            <w:tcW w:w="1234" w:type="dxa"/>
            <w:noWrap/>
            <w:vAlign w:val="bottom"/>
            <w:hideMark/>
          </w:tcPr>
          <w:p w14:paraId="308AB6BE" w14:textId="1072C8DD"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30604267</w:t>
            </w:r>
          </w:p>
        </w:tc>
        <w:tc>
          <w:tcPr>
            <w:tcW w:w="1057" w:type="dxa"/>
            <w:noWrap/>
            <w:vAlign w:val="bottom"/>
            <w:hideMark/>
          </w:tcPr>
          <w:p w14:paraId="549171C3" w14:textId="2776A132"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3,42</w:t>
            </w:r>
          </w:p>
        </w:tc>
      </w:tr>
      <w:tr w:rsidR="008957A3" w:rsidRPr="00542A27" w14:paraId="41533FE5" w14:textId="77777777" w:rsidTr="008957A3">
        <w:trPr>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4D894A15" w14:textId="57516260" w:rsidR="008957A3" w:rsidRPr="00542A27" w:rsidRDefault="008957A3" w:rsidP="008957A3">
            <w:pPr>
              <w:keepLines w:val="0"/>
              <w:spacing w:after="0"/>
              <w:rPr>
                <w:color w:val="FF0000"/>
                <w:sz w:val="18"/>
                <w:szCs w:val="18"/>
                <w:lang w:val="en-US"/>
              </w:rPr>
            </w:pPr>
            <w:r w:rsidRPr="00542A27">
              <w:rPr>
                <w:color w:val="000000"/>
                <w:sz w:val="18"/>
                <w:szCs w:val="18"/>
                <w:lang w:val="en-US"/>
              </w:rPr>
              <w:t>BACKUPBUFFER</w:t>
            </w:r>
            <w:r w:rsidR="004413FE" w:rsidRPr="00542A27">
              <w:rPr>
                <w:rStyle w:val="Funotenzeichen"/>
                <w:color w:val="000000"/>
                <w:sz w:val="18"/>
                <w:szCs w:val="18"/>
                <w:lang w:val="en-US"/>
              </w:rPr>
              <w:footnoteReference w:id="14"/>
            </w:r>
          </w:p>
        </w:tc>
        <w:tc>
          <w:tcPr>
            <w:tcW w:w="1701" w:type="dxa"/>
            <w:noWrap/>
            <w:vAlign w:val="bottom"/>
            <w:hideMark/>
          </w:tcPr>
          <w:p w14:paraId="26EBDA6D" w14:textId="5AE07CBF"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6375,05</w:t>
            </w:r>
          </w:p>
        </w:tc>
        <w:tc>
          <w:tcPr>
            <w:tcW w:w="1559" w:type="dxa"/>
            <w:noWrap/>
            <w:vAlign w:val="bottom"/>
            <w:hideMark/>
          </w:tcPr>
          <w:p w14:paraId="4127566C" w14:textId="3E118F67"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6139,86</w:t>
            </w:r>
          </w:p>
        </w:tc>
        <w:tc>
          <w:tcPr>
            <w:tcW w:w="1111" w:type="dxa"/>
            <w:noWrap/>
            <w:vAlign w:val="bottom"/>
            <w:hideMark/>
          </w:tcPr>
          <w:p w14:paraId="1D2B4A5F" w14:textId="09700E96"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235,19</w:t>
            </w:r>
          </w:p>
        </w:tc>
        <w:tc>
          <w:tcPr>
            <w:tcW w:w="1234" w:type="dxa"/>
            <w:noWrap/>
            <w:vAlign w:val="bottom"/>
            <w:hideMark/>
          </w:tcPr>
          <w:p w14:paraId="20D0EFE3" w14:textId="436BA49D"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886630</w:t>
            </w:r>
          </w:p>
        </w:tc>
        <w:tc>
          <w:tcPr>
            <w:tcW w:w="1057" w:type="dxa"/>
            <w:noWrap/>
            <w:vAlign w:val="bottom"/>
            <w:hideMark/>
          </w:tcPr>
          <w:p w14:paraId="0A8F94FC" w14:textId="20291377" w:rsidR="008957A3" w:rsidRPr="00542A27" w:rsidRDefault="008957A3" w:rsidP="008957A3">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1,49</w:t>
            </w:r>
          </w:p>
        </w:tc>
      </w:tr>
      <w:tr w:rsidR="004413FE" w:rsidRPr="00542A27" w14:paraId="6CF5C70C" w14:textId="77777777" w:rsidTr="00895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31C6FE72" w14:textId="038E8A55" w:rsidR="008957A3" w:rsidRPr="00542A27" w:rsidRDefault="008957A3" w:rsidP="004413FE">
            <w:pPr>
              <w:keepLines w:val="0"/>
              <w:spacing w:after="0"/>
              <w:rPr>
                <w:b w:val="0"/>
                <w:color w:val="FF0000"/>
                <w:sz w:val="18"/>
                <w:szCs w:val="18"/>
                <w:lang w:val="en-US"/>
              </w:rPr>
            </w:pPr>
            <w:r w:rsidRPr="00542A27">
              <w:rPr>
                <w:b w:val="0"/>
                <w:color w:val="FF0000"/>
                <w:sz w:val="18"/>
                <w:szCs w:val="18"/>
                <w:lang w:val="en-US"/>
              </w:rPr>
              <w:t>CMEMTHREAD</w:t>
            </w:r>
          </w:p>
        </w:tc>
        <w:tc>
          <w:tcPr>
            <w:tcW w:w="1701" w:type="dxa"/>
            <w:noWrap/>
            <w:vAlign w:val="bottom"/>
            <w:hideMark/>
          </w:tcPr>
          <w:p w14:paraId="3A1C357B" w14:textId="05D8115D"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FF0000"/>
                <w:sz w:val="18"/>
                <w:szCs w:val="18"/>
                <w:lang w:val="en-US"/>
              </w:rPr>
              <w:t>5627,29</w:t>
            </w:r>
          </w:p>
        </w:tc>
        <w:tc>
          <w:tcPr>
            <w:tcW w:w="1559" w:type="dxa"/>
            <w:noWrap/>
            <w:vAlign w:val="bottom"/>
            <w:hideMark/>
          </w:tcPr>
          <w:p w14:paraId="673C6FE5" w14:textId="35084AE8"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FF0000"/>
                <w:sz w:val="18"/>
                <w:szCs w:val="18"/>
                <w:lang w:val="en-US"/>
              </w:rPr>
              <w:t>631,69</w:t>
            </w:r>
          </w:p>
        </w:tc>
        <w:tc>
          <w:tcPr>
            <w:tcW w:w="1111" w:type="dxa"/>
            <w:noWrap/>
            <w:vAlign w:val="bottom"/>
            <w:hideMark/>
          </w:tcPr>
          <w:p w14:paraId="149D9795" w14:textId="7821B6AE"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FF0000"/>
                <w:sz w:val="18"/>
                <w:szCs w:val="18"/>
                <w:lang w:val="en-US"/>
              </w:rPr>
              <w:t>4995,6</w:t>
            </w:r>
            <w:r w:rsidR="004413FE" w:rsidRPr="00542A27">
              <w:rPr>
                <w:color w:val="FF0000"/>
                <w:sz w:val="18"/>
                <w:szCs w:val="18"/>
                <w:lang w:val="en-US"/>
              </w:rPr>
              <w:t>0</w:t>
            </w:r>
          </w:p>
        </w:tc>
        <w:tc>
          <w:tcPr>
            <w:tcW w:w="1234" w:type="dxa"/>
            <w:noWrap/>
            <w:vAlign w:val="bottom"/>
            <w:hideMark/>
          </w:tcPr>
          <w:p w14:paraId="7CCCFE79" w14:textId="5AA0DF15"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FF0000"/>
                <w:sz w:val="18"/>
                <w:szCs w:val="18"/>
                <w:lang w:val="en-US"/>
              </w:rPr>
              <w:t>183634695</w:t>
            </w:r>
          </w:p>
        </w:tc>
        <w:tc>
          <w:tcPr>
            <w:tcW w:w="1057" w:type="dxa"/>
            <w:noWrap/>
            <w:vAlign w:val="bottom"/>
            <w:hideMark/>
          </w:tcPr>
          <w:p w14:paraId="5F4B75DF" w14:textId="1F5B5484" w:rsidR="008957A3" w:rsidRPr="00542A27" w:rsidRDefault="008957A3" w:rsidP="008957A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FF0000"/>
                <w:sz w:val="18"/>
                <w:szCs w:val="18"/>
                <w:lang w:val="en-US"/>
              </w:rPr>
              <w:t>1,31</w:t>
            </w:r>
          </w:p>
        </w:tc>
      </w:tr>
    </w:tbl>
    <w:p w14:paraId="401196A9" w14:textId="77777777" w:rsidR="00D8691B" w:rsidRPr="00542A27" w:rsidRDefault="00D8691B" w:rsidP="001512A8">
      <w:pPr>
        <w:rPr>
          <w:lang w:val="en-US"/>
        </w:rPr>
      </w:pPr>
    </w:p>
    <w:p w14:paraId="46EEF083" w14:textId="44942CFC" w:rsidR="00662989" w:rsidRPr="00542A27" w:rsidRDefault="004413FE" w:rsidP="00A62F72">
      <w:pPr>
        <w:rPr>
          <w:lang w:val="en-US"/>
        </w:rPr>
      </w:pPr>
      <w:r w:rsidRPr="00542A27">
        <w:rPr>
          <w:lang w:val="en-US"/>
        </w:rPr>
        <w:t>The result demonstrates a heavy use of parallel running queries</w:t>
      </w:r>
      <w:r w:rsidR="005C29CE" w:rsidRPr="00542A27">
        <w:rPr>
          <w:lang w:val="en-US"/>
        </w:rPr>
        <w:t xml:space="preserve"> </w:t>
      </w:r>
      <w:r w:rsidRPr="00542A27">
        <w:rPr>
          <w:lang w:val="en-US"/>
        </w:rPr>
        <w:t xml:space="preserve">(CXPACKET und LATCH_EX). </w:t>
      </w:r>
    </w:p>
    <w:tbl>
      <w:tblPr>
        <w:tblStyle w:val="EinfacheTabelle4"/>
        <w:tblW w:w="8697" w:type="dxa"/>
        <w:tblLook w:val="04A0" w:firstRow="1" w:lastRow="0" w:firstColumn="1" w:lastColumn="0" w:noHBand="0" w:noVBand="1"/>
      </w:tblPr>
      <w:tblGrid>
        <w:gridCol w:w="3302"/>
        <w:gridCol w:w="1851"/>
        <w:gridCol w:w="1811"/>
        <w:gridCol w:w="1733"/>
      </w:tblGrid>
      <w:tr w:rsidR="00C666B6" w:rsidRPr="00542A27" w14:paraId="0EF8DDD6" w14:textId="77777777" w:rsidTr="001E206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3302" w:type="dxa"/>
            <w:noWrap/>
            <w:hideMark/>
          </w:tcPr>
          <w:p w14:paraId="15052530" w14:textId="28824C20" w:rsidR="00C666B6" w:rsidRPr="00542A27" w:rsidRDefault="00C666B6" w:rsidP="00C666B6">
            <w:pPr>
              <w:keepLines w:val="0"/>
              <w:spacing w:after="0"/>
              <w:rPr>
                <w:sz w:val="18"/>
                <w:szCs w:val="18"/>
                <w:lang w:val="en-US"/>
              </w:rPr>
            </w:pPr>
            <w:r w:rsidRPr="00542A27">
              <w:rPr>
                <w:sz w:val="18"/>
                <w:szCs w:val="18"/>
                <w:lang w:val="en-US"/>
              </w:rPr>
              <w:t>Wait</w:t>
            </w:r>
            <w:r w:rsidR="001E206F" w:rsidRPr="00542A27">
              <w:rPr>
                <w:sz w:val="18"/>
                <w:szCs w:val="18"/>
                <w:lang w:val="en-US"/>
              </w:rPr>
              <w:t xml:space="preserve"> </w:t>
            </w:r>
            <w:r w:rsidRPr="00542A27">
              <w:rPr>
                <w:sz w:val="18"/>
                <w:szCs w:val="18"/>
                <w:lang w:val="en-US"/>
              </w:rPr>
              <w:t>Type</w:t>
            </w:r>
          </w:p>
        </w:tc>
        <w:tc>
          <w:tcPr>
            <w:tcW w:w="1851" w:type="dxa"/>
            <w:noWrap/>
            <w:hideMark/>
          </w:tcPr>
          <w:p w14:paraId="017070F7" w14:textId="774DB595" w:rsidR="00C666B6" w:rsidRPr="00542A27" w:rsidRDefault="00C666B6" w:rsidP="00C666B6">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542A27">
              <w:rPr>
                <w:sz w:val="18"/>
                <w:szCs w:val="18"/>
                <w:lang w:val="en-US"/>
              </w:rPr>
              <w:t>Avg</w:t>
            </w:r>
            <w:proofErr w:type="spellEnd"/>
            <w:r w:rsidR="006C4F8D" w:rsidRPr="00542A27">
              <w:rPr>
                <w:sz w:val="18"/>
                <w:szCs w:val="18"/>
                <w:lang w:val="en-US"/>
              </w:rPr>
              <w:t xml:space="preserve"> </w:t>
            </w:r>
            <w:proofErr w:type="spellStart"/>
            <w:r w:rsidRPr="00542A27">
              <w:rPr>
                <w:sz w:val="18"/>
                <w:szCs w:val="18"/>
                <w:lang w:val="en-US"/>
              </w:rPr>
              <w:t>Wait_S</w:t>
            </w:r>
            <w:proofErr w:type="spellEnd"/>
          </w:p>
        </w:tc>
        <w:tc>
          <w:tcPr>
            <w:tcW w:w="1811" w:type="dxa"/>
            <w:noWrap/>
            <w:hideMark/>
          </w:tcPr>
          <w:p w14:paraId="51AA74FE" w14:textId="5E23840D" w:rsidR="00C666B6" w:rsidRPr="00542A27" w:rsidRDefault="006C4F8D" w:rsidP="006C4F8D">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Suspended (s)</w:t>
            </w:r>
          </w:p>
        </w:tc>
        <w:tc>
          <w:tcPr>
            <w:tcW w:w="1733" w:type="dxa"/>
            <w:noWrap/>
            <w:hideMark/>
          </w:tcPr>
          <w:p w14:paraId="13571622" w14:textId="7299BDC2" w:rsidR="00C666B6" w:rsidRPr="00542A27" w:rsidRDefault="006C4F8D" w:rsidP="006C4F8D">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Runnable (s)</w:t>
            </w:r>
          </w:p>
        </w:tc>
      </w:tr>
      <w:tr w:rsidR="004413FE" w:rsidRPr="00542A27" w14:paraId="72A651C0" w14:textId="77777777" w:rsidTr="00482C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2" w:type="dxa"/>
            <w:noWrap/>
            <w:vAlign w:val="bottom"/>
          </w:tcPr>
          <w:p w14:paraId="7C631927" w14:textId="700221FC" w:rsidR="004413FE" w:rsidRPr="00542A27" w:rsidRDefault="004413FE" w:rsidP="004413FE">
            <w:pPr>
              <w:keepLines w:val="0"/>
              <w:spacing w:after="0"/>
              <w:rPr>
                <w:color w:val="FF0000"/>
                <w:sz w:val="18"/>
                <w:szCs w:val="18"/>
                <w:lang w:val="en-US"/>
              </w:rPr>
            </w:pPr>
            <w:r w:rsidRPr="00542A27">
              <w:rPr>
                <w:color w:val="000000"/>
                <w:sz w:val="18"/>
                <w:szCs w:val="18"/>
                <w:lang w:val="en-US"/>
              </w:rPr>
              <w:t>CXPACKET</w:t>
            </w:r>
          </w:p>
        </w:tc>
        <w:tc>
          <w:tcPr>
            <w:tcW w:w="1851" w:type="dxa"/>
            <w:noWrap/>
            <w:vAlign w:val="bottom"/>
          </w:tcPr>
          <w:p w14:paraId="00C8F923" w14:textId="25BE2F39"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0,0013</w:t>
            </w:r>
          </w:p>
        </w:tc>
        <w:tc>
          <w:tcPr>
            <w:tcW w:w="1811" w:type="dxa"/>
            <w:noWrap/>
            <w:vAlign w:val="bottom"/>
          </w:tcPr>
          <w:p w14:paraId="390A72E1" w14:textId="35A92260"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0,0012</w:t>
            </w:r>
          </w:p>
        </w:tc>
        <w:tc>
          <w:tcPr>
            <w:tcW w:w="1733" w:type="dxa"/>
            <w:noWrap/>
            <w:vAlign w:val="bottom"/>
          </w:tcPr>
          <w:p w14:paraId="60E6004C" w14:textId="5C146513"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0,0001</w:t>
            </w:r>
          </w:p>
        </w:tc>
      </w:tr>
      <w:tr w:rsidR="004413FE" w:rsidRPr="00542A27" w14:paraId="2360DA36" w14:textId="77777777" w:rsidTr="00482C85">
        <w:trPr>
          <w:trHeight w:val="300"/>
        </w:trPr>
        <w:tc>
          <w:tcPr>
            <w:cnfStyle w:val="001000000000" w:firstRow="0" w:lastRow="0" w:firstColumn="1" w:lastColumn="0" w:oddVBand="0" w:evenVBand="0" w:oddHBand="0" w:evenHBand="0" w:firstRowFirstColumn="0" w:firstRowLastColumn="0" w:lastRowFirstColumn="0" w:lastRowLastColumn="0"/>
            <w:tcW w:w="3302" w:type="dxa"/>
            <w:noWrap/>
            <w:vAlign w:val="bottom"/>
          </w:tcPr>
          <w:p w14:paraId="719B3366" w14:textId="7C2A872E" w:rsidR="004413FE" w:rsidRPr="00542A27" w:rsidRDefault="004413FE" w:rsidP="004413FE">
            <w:pPr>
              <w:keepLines w:val="0"/>
              <w:spacing w:after="0"/>
              <w:rPr>
                <w:color w:val="FF0000"/>
                <w:sz w:val="18"/>
                <w:szCs w:val="18"/>
                <w:lang w:val="en-US"/>
              </w:rPr>
            </w:pPr>
            <w:r w:rsidRPr="00542A27">
              <w:rPr>
                <w:color w:val="000000"/>
                <w:sz w:val="18"/>
                <w:szCs w:val="18"/>
                <w:lang w:val="en-US"/>
              </w:rPr>
              <w:t>OLEDB</w:t>
            </w:r>
          </w:p>
        </w:tc>
        <w:tc>
          <w:tcPr>
            <w:tcW w:w="1851" w:type="dxa"/>
            <w:noWrap/>
            <w:vAlign w:val="bottom"/>
          </w:tcPr>
          <w:p w14:paraId="6A0FCB9C" w14:textId="011FD808"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0,0003</w:t>
            </w:r>
          </w:p>
        </w:tc>
        <w:tc>
          <w:tcPr>
            <w:tcW w:w="1811" w:type="dxa"/>
            <w:noWrap/>
            <w:vAlign w:val="bottom"/>
          </w:tcPr>
          <w:p w14:paraId="7B030DBD" w14:textId="0CCA3B82"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0,0003</w:t>
            </w:r>
          </w:p>
        </w:tc>
        <w:tc>
          <w:tcPr>
            <w:tcW w:w="1733" w:type="dxa"/>
            <w:noWrap/>
            <w:vAlign w:val="bottom"/>
          </w:tcPr>
          <w:p w14:paraId="3F330558" w14:textId="3BACC8C3"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lang w:val="en-US"/>
              </w:rPr>
            </w:pPr>
            <w:r w:rsidRPr="00542A27">
              <w:rPr>
                <w:color w:val="000000"/>
                <w:sz w:val="18"/>
                <w:szCs w:val="18"/>
                <w:lang w:val="en-US"/>
              </w:rPr>
              <w:t>0,0000</w:t>
            </w:r>
          </w:p>
        </w:tc>
      </w:tr>
      <w:tr w:rsidR="004413FE" w:rsidRPr="00542A27" w14:paraId="43367364" w14:textId="77777777" w:rsidTr="00482C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2" w:type="dxa"/>
            <w:noWrap/>
            <w:vAlign w:val="bottom"/>
          </w:tcPr>
          <w:p w14:paraId="55A009E8" w14:textId="7F98053D" w:rsidR="004413FE" w:rsidRPr="00542A27" w:rsidRDefault="004413FE" w:rsidP="004413FE">
            <w:pPr>
              <w:keepLines w:val="0"/>
              <w:spacing w:after="0"/>
              <w:rPr>
                <w:color w:val="FF0000"/>
                <w:sz w:val="18"/>
                <w:szCs w:val="18"/>
                <w:lang w:val="en-US"/>
              </w:rPr>
            </w:pPr>
            <w:r w:rsidRPr="00542A27">
              <w:rPr>
                <w:color w:val="000000"/>
                <w:sz w:val="18"/>
                <w:szCs w:val="18"/>
                <w:lang w:val="en-US"/>
              </w:rPr>
              <w:t>LATCH_EX</w:t>
            </w:r>
          </w:p>
        </w:tc>
        <w:tc>
          <w:tcPr>
            <w:tcW w:w="1851" w:type="dxa"/>
            <w:noWrap/>
            <w:vAlign w:val="bottom"/>
          </w:tcPr>
          <w:p w14:paraId="77A8DD46" w14:textId="5E295DF3"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0,0005</w:t>
            </w:r>
          </w:p>
        </w:tc>
        <w:tc>
          <w:tcPr>
            <w:tcW w:w="1811" w:type="dxa"/>
            <w:noWrap/>
            <w:vAlign w:val="bottom"/>
          </w:tcPr>
          <w:p w14:paraId="243DB806" w14:textId="26DEAD53"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0,0004</w:t>
            </w:r>
          </w:p>
        </w:tc>
        <w:tc>
          <w:tcPr>
            <w:tcW w:w="1733" w:type="dxa"/>
            <w:noWrap/>
            <w:vAlign w:val="bottom"/>
          </w:tcPr>
          <w:p w14:paraId="6EC97FBD" w14:textId="57AF1670"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lang w:val="en-US"/>
              </w:rPr>
            </w:pPr>
            <w:r w:rsidRPr="00542A27">
              <w:rPr>
                <w:color w:val="000000"/>
                <w:sz w:val="18"/>
                <w:szCs w:val="18"/>
                <w:lang w:val="en-US"/>
              </w:rPr>
              <w:t>0,0000</w:t>
            </w:r>
          </w:p>
        </w:tc>
      </w:tr>
      <w:tr w:rsidR="004413FE" w:rsidRPr="00542A27" w14:paraId="069E6D6E" w14:textId="77777777" w:rsidTr="00482C85">
        <w:trPr>
          <w:trHeight w:val="300"/>
        </w:trPr>
        <w:tc>
          <w:tcPr>
            <w:cnfStyle w:val="001000000000" w:firstRow="0" w:lastRow="0" w:firstColumn="1" w:lastColumn="0" w:oddVBand="0" w:evenVBand="0" w:oddHBand="0" w:evenHBand="0" w:firstRowFirstColumn="0" w:firstRowLastColumn="0" w:lastRowFirstColumn="0" w:lastRowLastColumn="0"/>
            <w:tcW w:w="3302" w:type="dxa"/>
            <w:noWrap/>
            <w:vAlign w:val="bottom"/>
          </w:tcPr>
          <w:p w14:paraId="1AF59561" w14:textId="10B2DDB3" w:rsidR="004413FE" w:rsidRPr="00542A27" w:rsidRDefault="004413FE" w:rsidP="004413FE">
            <w:pPr>
              <w:keepLines w:val="0"/>
              <w:spacing w:after="0"/>
              <w:rPr>
                <w:strike/>
                <w:color w:val="FF0000"/>
                <w:sz w:val="18"/>
                <w:szCs w:val="18"/>
                <w:lang w:val="en-US"/>
              </w:rPr>
            </w:pPr>
            <w:r w:rsidRPr="00542A27">
              <w:rPr>
                <w:color w:val="000000"/>
                <w:sz w:val="18"/>
                <w:szCs w:val="18"/>
                <w:lang w:val="en-US"/>
              </w:rPr>
              <w:t>BACKUPBUFFER</w:t>
            </w:r>
          </w:p>
        </w:tc>
        <w:tc>
          <w:tcPr>
            <w:tcW w:w="1851" w:type="dxa"/>
            <w:noWrap/>
            <w:vAlign w:val="bottom"/>
          </w:tcPr>
          <w:p w14:paraId="5A7059BE" w14:textId="6120EEBE"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strike/>
                <w:color w:val="FF0000"/>
                <w:sz w:val="18"/>
                <w:szCs w:val="18"/>
                <w:lang w:val="en-US"/>
              </w:rPr>
            </w:pPr>
            <w:r w:rsidRPr="00542A27">
              <w:rPr>
                <w:color w:val="000000"/>
                <w:sz w:val="18"/>
                <w:szCs w:val="18"/>
                <w:lang w:val="en-US"/>
              </w:rPr>
              <w:t>0,0072</w:t>
            </w:r>
          </w:p>
        </w:tc>
        <w:tc>
          <w:tcPr>
            <w:tcW w:w="1811" w:type="dxa"/>
            <w:noWrap/>
            <w:vAlign w:val="bottom"/>
          </w:tcPr>
          <w:p w14:paraId="232FAE02" w14:textId="4368AFDE"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strike/>
                <w:color w:val="FF0000"/>
                <w:sz w:val="18"/>
                <w:szCs w:val="18"/>
                <w:lang w:val="en-US"/>
              </w:rPr>
            </w:pPr>
            <w:r w:rsidRPr="00542A27">
              <w:rPr>
                <w:color w:val="000000"/>
                <w:sz w:val="18"/>
                <w:szCs w:val="18"/>
                <w:lang w:val="en-US"/>
              </w:rPr>
              <w:t>0,0069</w:t>
            </w:r>
          </w:p>
        </w:tc>
        <w:tc>
          <w:tcPr>
            <w:tcW w:w="1733" w:type="dxa"/>
            <w:noWrap/>
            <w:vAlign w:val="bottom"/>
          </w:tcPr>
          <w:p w14:paraId="77335059" w14:textId="18ECEEC7" w:rsidR="004413FE" w:rsidRPr="00542A27" w:rsidRDefault="004413FE" w:rsidP="004413FE">
            <w:pPr>
              <w:keepLines w:val="0"/>
              <w:spacing w:after="0"/>
              <w:jc w:val="right"/>
              <w:cnfStyle w:val="000000000000" w:firstRow="0" w:lastRow="0" w:firstColumn="0" w:lastColumn="0" w:oddVBand="0" w:evenVBand="0" w:oddHBand="0" w:evenHBand="0" w:firstRowFirstColumn="0" w:firstRowLastColumn="0" w:lastRowFirstColumn="0" w:lastRowLastColumn="0"/>
              <w:rPr>
                <w:strike/>
                <w:color w:val="FF0000"/>
                <w:sz w:val="18"/>
                <w:szCs w:val="18"/>
                <w:lang w:val="en-US"/>
              </w:rPr>
            </w:pPr>
            <w:r w:rsidRPr="00542A27">
              <w:rPr>
                <w:color w:val="000000"/>
                <w:sz w:val="18"/>
                <w:szCs w:val="18"/>
                <w:lang w:val="en-US"/>
              </w:rPr>
              <w:t>0,0003</w:t>
            </w:r>
          </w:p>
        </w:tc>
      </w:tr>
      <w:tr w:rsidR="004413FE" w:rsidRPr="00542A27" w14:paraId="56CC6099" w14:textId="77777777" w:rsidTr="00482C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2" w:type="dxa"/>
            <w:noWrap/>
            <w:vAlign w:val="bottom"/>
          </w:tcPr>
          <w:p w14:paraId="06D8DB9F" w14:textId="5A1A3A99" w:rsidR="004413FE" w:rsidRPr="00542A27" w:rsidRDefault="004413FE" w:rsidP="004413FE">
            <w:pPr>
              <w:keepLines w:val="0"/>
              <w:spacing w:after="0"/>
              <w:rPr>
                <w:strike/>
                <w:sz w:val="18"/>
                <w:szCs w:val="18"/>
                <w:lang w:val="en-US"/>
              </w:rPr>
            </w:pPr>
            <w:r w:rsidRPr="00542A27">
              <w:rPr>
                <w:color w:val="000000"/>
                <w:sz w:val="18"/>
                <w:szCs w:val="18"/>
                <w:lang w:val="en-US"/>
              </w:rPr>
              <w:t>CMEMTHREAD</w:t>
            </w:r>
          </w:p>
        </w:tc>
        <w:tc>
          <w:tcPr>
            <w:tcW w:w="1851" w:type="dxa"/>
            <w:noWrap/>
            <w:vAlign w:val="bottom"/>
          </w:tcPr>
          <w:p w14:paraId="486E2140" w14:textId="18C9AC21"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strike/>
                <w:sz w:val="18"/>
                <w:szCs w:val="18"/>
                <w:lang w:val="en-US"/>
              </w:rPr>
            </w:pPr>
            <w:r w:rsidRPr="00542A27">
              <w:rPr>
                <w:color w:val="000000"/>
                <w:sz w:val="18"/>
                <w:szCs w:val="18"/>
                <w:lang w:val="en-US"/>
              </w:rPr>
              <w:t>0,0000</w:t>
            </w:r>
          </w:p>
        </w:tc>
        <w:tc>
          <w:tcPr>
            <w:tcW w:w="1811" w:type="dxa"/>
            <w:noWrap/>
            <w:vAlign w:val="bottom"/>
          </w:tcPr>
          <w:p w14:paraId="43FE80D2" w14:textId="3E36F9F2"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strike/>
                <w:sz w:val="18"/>
                <w:szCs w:val="18"/>
                <w:lang w:val="en-US"/>
              </w:rPr>
            </w:pPr>
            <w:r w:rsidRPr="00542A27">
              <w:rPr>
                <w:color w:val="000000"/>
                <w:sz w:val="18"/>
                <w:szCs w:val="18"/>
                <w:lang w:val="en-US"/>
              </w:rPr>
              <w:t>0,0000</w:t>
            </w:r>
          </w:p>
        </w:tc>
        <w:tc>
          <w:tcPr>
            <w:tcW w:w="1733" w:type="dxa"/>
            <w:noWrap/>
            <w:vAlign w:val="bottom"/>
          </w:tcPr>
          <w:p w14:paraId="15A0D9B3" w14:textId="7AACFA89" w:rsidR="004413FE" w:rsidRPr="00542A27" w:rsidRDefault="004413FE" w:rsidP="004413FE">
            <w:pPr>
              <w:keepLines w:val="0"/>
              <w:spacing w:after="0"/>
              <w:jc w:val="right"/>
              <w:cnfStyle w:val="000000100000" w:firstRow="0" w:lastRow="0" w:firstColumn="0" w:lastColumn="0" w:oddVBand="0" w:evenVBand="0" w:oddHBand="1" w:evenHBand="0" w:firstRowFirstColumn="0" w:firstRowLastColumn="0" w:lastRowFirstColumn="0" w:lastRowLastColumn="0"/>
              <w:rPr>
                <w:strike/>
                <w:sz w:val="18"/>
                <w:szCs w:val="18"/>
                <w:lang w:val="en-US"/>
              </w:rPr>
            </w:pPr>
            <w:r w:rsidRPr="00542A27">
              <w:rPr>
                <w:color w:val="000000"/>
                <w:sz w:val="18"/>
                <w:szCs w:val="18"/>
                <w:lang w:val="en-US"/>
              </w:rPr>
              <w:t>0,0000</w:t>
            </w:r>
          </w:p>
        </w:tc>
      </w:tr>
    </w:tbl>
    <w:p w14:paraId="7869E37B" w14:textId="1C609DB4" w:rsidR="001E0572" w:rsidRPr="00542A27" w:rsidRDefault="002825F8" w:rsidP="002825F8">
      <w:pPr>
        <w:pStyle w:val="berschrift4"/>
        <w:rPr>
          <w:lang w:val="en-US"/>
        </w:rPr>
      </w:pPr>
      <w:bookmarkStart w:id="31" w:name="_Toc440956412"/>
      <w:r w:rsidRPr="00542A27">
        <w:rPr>
          <w:lang w:val="en-US"/>
        </w:rPr>
        <w:t>CXPACKET</w:t>
      </w:r>
    </w:p>
    <w:p w14:paraId="53EA1447" w14:textId="77777777" w:rsidR="002825F8" w:rsidRPr="00542A27" w:rsidRDefault="002825F8" w:rsidP="002825F8">
      <w:pPr>
        <w:rPr>
          <w:lang w:val="en-US"/>
        </w:rPr>
      </w:pPr>
      <w:r w:rsidRPr="00542A27">
        <w:rPr>
          <w:lang w:val="en-US"/>
        </w:rPr>
        <w:t xml:space="preserve">This is a common wait that occurs when a parallel query is executing. During parallel processing, SQL Server breaks down queries into separate parts that can be processed simultaneously using multiple threads. Each thread </w:t>
      </w:r>
      <w:r w:rsidRPr="00542A27">
        <w:rPr>
          <w:b/>
          <w:lang w:val="en-US"/>
        </w:rPr>
        <w:t>works on a separate piece of data</w:t>
      </w:r>
      <w:r w:rsidRPr="00542A27">
        <w:rPr>
          <w:lang w:val="en-US"/>
        </w:rPr>
        <w:t xml:space="preserve"> so that queries can be processed more quickly and efficiently. If work is not split equally between threads, those with fewer rows to process must wait until long-running threads complete.</w:t>
      </w:r>
    </w:p>
    <w:p w14:paraId="43439A13" w14:textId="48447D06" w:rsidR="002825F8" w:rsidRPr="00542A27" w:rsidRDefault="002825F8" w:rsidP="002825F8">
      <w:pPr>
        <w:rPr>
          <w:lang w:val="en-US"/>
        </w:rPr>
      </w:pPr>
      <w:r w:rsidRPr="00542A27">
        <w:rPr>
          <w:lang w:val="en-US"/>
        </w:rPr>
        <w:lastRenderedPageBreak/>
        <w:t xml:space="preserve">CXPACKET waits can occur for different reasons in various environments, and you’ll need to find the root cause before deciding </w:t>
      </w:r>
      <w:proofErr w:type="gramStart"/>
      <w:r w:rsidRPr="00542A27">
        <w:rPr>
          <w:lang w:val="en-US"/>
        </w:rPr>
        <w:t>whether or not</w:t>
      </w:r>
      <w:proofErr w:type="gramEnd"/>
      <w:r w:rsidRPr="00542A27">
        <w:rPr>
          <w:lang w:val="en-US"/>
        </w:rPr>
        <w:t xml:space="preserve"> a problem exists. In an OLTP (Online Transaction Processing) with small transactions and short queries, excessive CXPACKET waits may affect throughput of other OLTP traffic.</w:t>
      </w:r>
    </w:p>
    <w:p w14:paraId="067D2B45" w14:textId="755DDB84" w:rsidR="002825F8" w:rsidRPr="00542A27" w:rsidRDefault="002825F8" w:rsidP="002825F8">
      <w:pPr>
        <w:pStyle w:val="berschrift4"/>
        <w:rPr>
          <w:lang w:val="en-US"/>
        </w:rPr>
      </w:pPr>
      <w:r w:rsidRPr="00542A27">
        <w:rPr>
          <w:lang w:val="en-US"/>
        </w:rPr>
        <w:t>LATCH_EX</w:t>
      </w:r>
    </w:p>
    <w:p w14:paraId="3AC7A1B0" w14:textId="77777777" w:rsidR="002825F8" w:rsidRPr="00542A27" w:rsidRDefault="002825F8" w:rsidP="002825F8">
      <w:pPr>
        <w:rPr>
          <w:lang w:val="en-US"/>
        </w:rPr>
      </w:pPr>
      <w:r w:rsidRPr="00542A27">
        <w:rPr>
          <w:lang w:val="en-US"/>
        </w:rPr>
        <w:t>When an operation is waiting for exclusive write access to modify a structure in memory it records a LATCH_EX wait. The structure is not related to buffers or transactions, but to some other process within SQL Server.</w:t>
      </w:r>
    </w:p>
    <w:p w14:paraId="0AF1B29D" w14:textId="1792A625" w:rsidR="002825F8" w:rsidRPr="00542A27" w:rsidRDefault="002825F8" w:rsidP="002825F8">
      <w:pPr>
        <w:rPr>
          <w:lang w:val="en-US"/>
        </w:rPr>
      </w:pPr>
      <w:r w:rsidRPr="00542A27">
        <w:rPr>
          <w:lang w:val="en-US"/>
        </w:rPr>
        <w:t xml:space="preserve">Latches are lightweight, performance-optimized mechanisms for data consistency within SQL Server. LATCH_* waits protect access to internal memory structures outside the buffer pool pages (non-buffer latches), and their use is determined by the SQL Server engine. The engine uses latch compatibility modes to manage concurrent attempts by </w:t>
      </w:r>
      <w:r w:rsidRPr="00542A27">
        <w:rPr>
          <w:b/>
          <w:lang w:val="en-US"/>
        </w:rPr>
        <w:t>multiple threads</w:t>
      </w:r>
      <w:r w:rsidRPr="00542A27">
        <w:rPr>
          <w:lang w:val="en-US"/>
        </w:rPr>
        <w:t xml:space="preserve"> to acquire latches on the same structures.</w:t>
      </w:r>
    </w:p>
    <w:p w14:paraId="61BACBCF" w14:textId="0B8DB41F" w:rsidR="006C6DF7" w:rsidRPr="00542A27" w:rsidRDefault="006C6DF7" w:rsidP="006C6DF7">
      <w:pPr>
        <w:rPr>
          <w:lang w:val="en-US"/>
        </w:rPr>
      </w:pPr>
    </w:p>
    <w:tbl>
      <w:tblPr>
        <w:tblStyle w:val="Gitternetztabelle6farbigAkzent1"/>
        <w:tblW w:w="0" w:type="auto"/>
        <w:tblLook w:val="04A0" w:firstRow="1" w:lastRow="0" w:firstColumn="1" w:lastColumn="0" w:noHBand="0" w:noVBand="1"/>
      </w:tblPr>
      <w:tblGrid>
        <w:gridCol w:w="1129"/>
        <w:gridCol w:w="3401"/>
        <w:gridCol w:w="2266"/>
        <w:gridCol w:w="2266"/>
      </w:tblGrid>
      <w:tr w:rsidR="006C6DF7" w:rsidRPr="00542A27" w14:paraId="18031650" w14:textId="77777777" w:rsidTr="006C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BAA6A1" w14:textId="14097072" w:rsidR="006C6DF7" w:rsidRPr="00542A27" w:rsidRDefault="006C6DF7" w:rsidP="006C6DF7">
            <w:pPr>
              <w:rPr>
                <w:sz w:val="18"/>
                <w:szCs w:val="18"/>
                <w:lang w:val="en-US"/>
              </w:rPr>
            </w:pPr>
            <w:r w:rsidRPr="00542A27">
              <w:rPr>
                <w:sz w:val="18"/>
                <w:szCs w:val="18"/>
                <w:lang w:val="en-US"/>
              </w:rPr>
              <w:t>CPU Rank</w:t>
            </w:r>
          </w:p>
        </w:tc>
        <w:tc>
          <w:tcPr>
            <w:tcW w:w="3401" w:type="dxa"/>
          </w:tcPr>
          <w:p w14:paraId="47975A76" w14:textId="492B888D" w:rsidR="006C6DF7" w:rsidRPr="00542A27" w:rsidRDefault="006C6DF7" w:rsidP="006C6DF7">
            <w:pPr>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Database Name</w:t>
            </w:r>
          </w:p>
        </w:tc>
        <w:tc>
          <w:tcPr>
            <w:tcW w:w="2266" w:type="dxa"/>
          </w:tcPr>
          <w:p w14:paraId="147630E5" w14:textId="26225979" w:rsidR="006C6DF7" w:rsidRPr="00542A27" w:rsidRDefault="006C6DF7" w:rsidP="006C6DF7">
            <w:pPr>
              <w:jc w:val="right"/>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542A27">
              <w:rPr>
                <w:sz w:val="18"/>
                <w:szCs w:val="18"/>
                <w:lang w:val="en-US"/>
              </w:rPr>
              <w:t>CPU_Time_Ms</w:t>
            </w:r>
            <w:proofErr w:type="spellEnd"/>
          </w:p>
        </w:tc>
        <w:tc>
          <w:tcPr>
            <w:tcW w:w="2266" w:type="dxa"/>
          </w:tcPr>
          <w:p w14:paraId="153E745F" w14:textId="07B39FA0" w:rsidR="006C6DF7" w:rsidRPr="00542A27" w:rsidRDefault="006C6DF7" w:rsidP="006C6DF7">
            <w:pPr>
              <w:jc w:val="right"/>
              <w:cnfStyle w:val="100000000000" w:firstRow="1"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CPU (%)</w:t>
            </w:r>
          </w:p>
        </w:tc>
      </w:tr>
      <w:tr w:rsidR="005F08AD" w:rsidRPr="00542A27" w14:paraId="723B5C79" w14:textId="77777777" w:rsidTr="006C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7BBE93" w14:textId="38FAF47E" w:rsidR="005F08AD" w:rsidRPr="00542A27" w:rsidRDefault="005F08AD" w:rsidP="005F08AD">
            <w:pPr>
              <w:rPr>
                <w:sz w:val="18"/>
                <w:szCs w:val="18"/>
                <w:lang w:val="en-US"/>
              </w:rPr>
            </w:pPr>
            <w:r w:rsidRPr="00542A27">
              <w:rPr>
                <w:sz w:val="18"/>
                <w:szCs w:val="18"/>
                <w:lang w:val="en-US"/>
              </w:rPr>
              <w:t>1</w:t>
            </w:r>
          </w:p>
        </w:tc>
        <w:tc>
          <w:tcPr>
            <w:tcW w:w="3401" w:type="dxa"/>
          </w:tcPr>
          <w:p w14:paraId="2B4ADA21" w14:textId="77080667" w:rsidR="005F08AD" w:rsidRPr="00542A27" w:rsidRDefault="00B0436F" w:rsidP="005F08AD">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&lt;DB_1&gt;</w:t>
            </w:r>
          </w:p>
        </w:tc>
        <w:tc>
          <w:tcPr>
            <w:tcW w:w="2266" w:type="dxa"/>
          </w:tcPr>
          <w:p w14:paraId="719EFDD3" w14:textId="0EC870A3"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1409,51</w:t>
            </w:r>
          </w:p>
        </w:tc>
        <w:tc>
          <w:tcPr>
            <w:tcW w:w="2266" w:type="dxa"/>
          </w:tcPr>
          <w:p w14:paraId="7B7C7FAF" w14:textId="226DD137"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41,83</w:t>
            </w:r>
          </w:p>
        </w:tc>
      </w:tr>
      <w:tr w:rsidR="005F08AD" w:rsidRPr="00542A27" w14:paraId="3509192F" w14:textId="77777777" w:rsidTr="006C6DF7">
        <w:tc>
          <w:tcPr>
            <w:cnfStyle w:val="001000000000" w:firstRow="0" w:lastRow="0" w:firstColumn="1" w:lastColumn="0" w:oddVBand="0" w:evenVBand="0" w:oddHBand="0" w:evenHBand="0" w:firstRowFirstColumn="0" w:firstRowLastColumn="0" w:lastRowFirstColumn="0" w:lastRowLastColumn="0"/>
            <w:tcW w:w="1129" w:type="dxa"/>
          </w:tcPr>
          <w:p w14:paraId="6A57908E" w14:textId="187EBABF" w:rsidR="005F08AD" w:rsidRPr="00542A27" w:rsidRDefault="005F08AD" w:rsidP="005F08AD">
            <w:pPr>
              <w:rPr>
                <w:sz w:val="18"/>
                <w:szCs w:val="18"/>
                <w:lang w:val="en-US"/>
              </w:rPr>
            </w:pPr>
            <w:r w:rsidRPr="00542A27">
              <w:rPr>
                <w:sz w:val="18"/>
                <w:szCs w:val="18"/>
                <w:lang w:val="en-US"/>
              </w:rPr>
              <w:t>2</w:t>
            </w:r>
          </w:p>
        </w:tc>
        <w:tc>
          <w:tcPr>
            <w:tcW w:w="3401" w:type="dxa"/>
          </w:tcPr>
          <w:p w14:paraId="3C518881" w14:textId="5DDAA9ED" w:rsidR="005F08AD" w:rsidRPr="00542A27" w:rsidRDefault="00B0436F" w:rsidP="005F08AD">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&lt;DB_2&gt;</w:t>
            </w:r>
          </w:p>
        </w:tc>
        <w:tc>
          <w:tcPr>
            <w:tcW w:w="2266" w:type="dxa"/>
          </w:tcPr>
          <w:p w14:paraId="1EEE8C71" w14:textId="2FE7CD65" w:rsidR="005F08AD" w:rsidRPr="00542A27" w:rsidRDefault="005F08AD" w:rsidP="005F08A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839,79</w:t>
            </w:r>
          </w:p>
        </w:tc>
        <w:tc>
          <w:tcPr>
            <w:tcW w:w="2266" w:type="dxa"/>
          </w:tcPr>
          <w:p w14:paraId="408E7AC8" w14:textId="49A5E6C6" w:rsidR="005F08AD" w:rsidRPr="00542A27" w:rsidRDefault="005F08AD" w:rsidP="005F08A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24,92</w:t>
            </w:r>
          </w:p>
        </w:tc>
      </w:tr>
      <w:tr w:rsidR="005F08AD" w:rsidRPr="00542A27" w14:paraId="06A08BB6" w14:textId="77777777" w:rsidTr="006C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17E156" w14:textId="31F9F7C6" w:rsidR="005F08AD" w:rsidRPr="00542A27" w:rsidRDefault="005F08AD" w:rsidP="005F08AD">
            <w:pPr>
              <w:rPr>
                <w:sz w:val="18"/>
                <w:szCs w:val="18"/>
                <w:lang w:val="en-US"/>
              </w:rPr>
            </w:pPr>
            <w:r w:rsidRPr="00542A27">
              <w:rPr>
                <w:sz w:val="18"/>
                <w:szCs w:val="18"/>
                <w:lang w:val="en-US"/>
              </w:rPr>
              <w:t>3</w:t>
            </w:r>
          </w:p>
        </w:tc>
        <w:tc>
          <w:tcPr>
            <w:tcW w:w="3401" w:type="dxa"/>
          </w:tcPr>
          <w:p w14:paraId="642C8219" w14:textId="190609B4" w:rsidR="005F08AD" w:rsidRPr="00542A27" w:rsidRDefault="00B0436F" w:rsidP="005F08AD">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&lt;DB_3&gt;</w:t>
            </w:r>
          </w:p>
        </w:tc>
        <w:tc>
          <w:tcPr>
            <w:tcW w:w="2266" w:type="dxa"/>
          </w:tcPr>
          <w:p w14:paraId="1A87DB77" w14:textId="4CE8FFB5"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570,95</w:t>
            </w:r>
          </w:p>
        </w:tc>
        <w:tc>
          <w:tcPr>
            <w:tcW w:w="2266" w:type="dxa"/>
          </w:tcPr>
          <w:p w14:paraId="68FB2AA9" w14:textId="0DAA5DB9"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16,94</w:t>
            </w:r>
          </w:p>
        </w:tc>
      </w:tr>
      <w:tr w:rsidR="005F08AD" w:rsidRPr="00542A27" w14:paraId="20265000" w14:textId="77777777" w:rsidTr="006C6DF7">
        <w:tc>
          <w:tcPr>
            <w:cnfStyle w:val="001000000000" w:firstRow="0" w:lastRow="0" w:firstColumn="1" w:lastColumn="0" w:oddVBand="0" w:evenVBand="0" w:oddHBand="0" w:evenHBand="0" w:firstRowFirstColumn="0" w:firstRowLastColumn="0" w:lastRowFirstColumn="0" w:lastRowLastColumn="0"/>
            <w:tcW w:w="1129" w:type="dxa"/>
          </w:tcPr>
          <w:p w14:paraId="581C7153" w14:textId="60D0E3A3" w:rsidR="005F08AD" w:rsidRPr="00542A27" w:rsidRDefault="005F08AD" w:rsidP="005F08AD">
            <w:pPr>
              <w:rPr>
                <w:sz w:val="18"/>
                <w:szCs w:val="18"/>
                <w:lang w:val="en-US"/>
              </w:rPr>
            </w:pPr>
            <w:r w:rsidRPr="00542A27">
              <w:rPr>
                <w:sz w:val="18"/>
                <w:szCs w:val="18"/>
                <w:lang w:val="en-US"/>
              </w:rPr>
              <w:t>4</w:t>
            </w:r>
          </w:p>
        </w:tc>
        <w:tc>
          <w:tcPr>
            <w:tcW w:w="3401" w:type="dxa"/>
          </w:tcPr>
          <w:p w14:paraId="56345D6F" w14:textId="27F2F201" w:rsidR="005F08AD" w:rsidRPr="00542A27" w:rsidRDefault="00B0436F" w:rsidP="005F08AD">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&lt;DB_4&gt;</w:t>
            </w:r>
          </w:p>
        </w:tc>
        <w:tc>
          <w:tcPr>
            <w:tcW w:w="2266" w:type="dxa"/>
          </w:tcPr>
          <w:p w14:paraId="31F154D3" w14:textId="5F2C3CA3" w:rsidR="005F08AD" w:rsidRPr="00542A27" w:rsidRDefault="005F08AD" w:rsidP="005F08A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541,66</w:t>
            </w:r>
          </w:p>
        </w:tc>
        <w:tc>
          <w:tcPr>
            <w:tcW w:w="2266" w:type="dxa"/>
          </w:tcPr>
          <w:p w14:paraId="124FF2E7" w14:textId="2921AF9E" w:rsidR="005F08AD" w:rsidRPr="00542A27" w:rsidRDefault="005F08AD" w:rsidP="005F08AD">
            <w:pPr>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542A27">
              <w:rPr>
                <w:sz w:val="18"/>
                <w:szCs w:val="18"/>
                <w:lang w:val="en-US"/>
              </w:rPr>
              <w:t>16,07</w:t>
            </w:r>
          </w:p>
        </w:tc>
      </w:tr>
      <w:tr w:rsidR="005F08AD" w:rsidRPr="00542A27" w14:paraId="7DDEFCC7" w14:textId="77777777" w:rsidTr="006C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7DFCC" w14:textId="1BE84068" w:rsidR="005F08AD" w:rsidRPr="00542A27" w:rsidRDefault="005F08AD" w:rsidP="005F08AD">
            <w:pPr>
              <w:rPr>
                <w:sz w:val="18"/>
                <w:szCs w:val="18"/>
                <w:lang w:val="en-US"/>
              </w:rPr>
            </w:pPr>
            <w:r w:rsidRPr="00542A27">
              <w:rPr>
                <w:sz w:val="18"/>
                <w:szCs w:val="18"/>
                <w:lang w:val="en-US"/>
              </w:rPr>
              <w:t>5</w:t>
            </w:r>
          </w:p>
        </w:tc>
        <w:tc>
          <w:tcPr>
            <w:tcW w:w="3401" w:type="dxa"/>
          </w:tcPr>
          <w:p w14:paraId="0CB1801C" w14:textId="2B692F3E" w:rsidR="005F08AD" w:rsidRPr="00542A27" w:rsidRDefault="00B0436F" w:rsidP="005F08AD">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&lt;DB_5&gt;</w:t>
            </w:r>
          </w:p>
        </w:tc>
        <w:tc>
          <w:tcPr>
            <w:tcW w:w="2266" w:type="dxa"/>
          </w:tcPr>
          <w:p w14:paraId="108C7456" w14:textId="4B886341"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3,38</w:t>
            </w:r>
          </w:p>
        </w:tc>
        <w:tc>
          <w:tcPr>
            <w:tcW w:w="2266" w:type="dxa"/>
          </w:tcPr>
          <w:p w14:paraId="7757C9A0" w14:textId="285FD006" w:rsidR="005F08AD" w:rsidRPr="00542A27" w:rsidRDefault="005F08AD" w:rsidP="005F08AD">
            <w:pPr>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542A27">
              <w:rPr>
                <w:sz w:val="18"/>
                <w:szCs w:val="18"/>
                <w:lang w:val="en-US"/>
              </w:rPr>
              <w:t>0,10</w:t>
            </w:r>
          </w:p>
        </w:tc>
      </w:tr>
    </w:tbl>
    <w:p w14:paraId="43633243" w14:textId="62E2D8BC" w:rsidR="0041604E" w:rsidRPr="00542A27" w:rsidRDefault="005F08AD" w:rsidP="0041604E">
      <w:pPr>
        <w:pStyle w:val="berschrift2"/>
        <w:rPr>
          <w:lang w:val="en-US"/>
        </w:rPr>
      </w:pPr>
      <w:bookmarkStart w:id="32" w:name="_Toc497821329"/>
      <w:r w:rsidRPr="00542A27">
        <w:rPr>
          <w:lang w:val="en-US"/>
        </w:rPr>
        <w:t>Databases</w:t>
      </w:r>
      <w:bookmarkEnd w:id="32"/>
    </w:p>
    <w:p w14:paraId="2DDCE230" w14:textId="0DDE238E" w:rsidR="000A199C" w:rsidRPr="00542A27" w:rsidRDefault="000A199C" w:rsidP="000A199C">
      <w:pPr>
        <w:pStyle w:val="berschrift3"/>
        <w:rPr>
          <w:lang w:val="en-US"/>
        </w:rPr>
      </w:pPr>
      <w:bookmarkStart w:id="33" w:name="_Ref477619083"/>
      <w:bookmarkStart w:id="34" w:name="_Toc497821330"/>
      <w:r w:rsidRPr="00542A27">
        <w:rPr>
          <w:lang w:val="en-US"/>
        </w:rPr>
        <w:t>TEMPDB</w:t>
      </w:r>
      <w:bookmarkEnd w:id="33"/>
      <w:bookmarkEnd w:id="34"/>
    </w:p>
    <w:p w14:paraId="1DBB18AE" w14:textId="5B8EDA01" w:rsidR="00BC1C7F" w:rsidRPr="00542A27" w:rsidRDefault="00EE64D8" w:rsidP="004D3C46">
      <w:pPr>
        <w:rPr>
          <w:lang w:val="en-US"/>
        </w:rPr>
      </w:pPr>
      <w:r w:rsidRPr="00542A27">
        <w:rPr>
          <w:lang w:val="en-US"/>
        </w:rPr>
        <w:t xml:space="preserve">The size and physical placement of the tempdb database can affect the performance of a system. For example, if the size that is defined for tempdb is too small, part of the system-processing load may be taken up with </w:t>
      </w:r>
      <w:r w:rsidR="002B7F2A" w:rsidRPr="00542A27">
        <w:rPr>
          <w:lang w:val="en-US"/>
        </w:rPr>
        <w:t>auto growing</w:t>
      </w:r>
      <w:r w:rsidRPr="00542A27">
        <w:rPr>
          <w:lang w:val="en-US"/>
        </w:rPr>
        <w:t xml:space="preserve"> tempdb to the size required to support the workload every time you restart the instance of SQL Server. To avoid this overhead the size of database files should be increased to an appropriate value for data and log file.</w:t>
      </w:r>
    </w:p>
    <w:p w14:paraId="6B493CAF" w14:textId="10343AB3" w:rsidR="00EE64D8" w:rsidRPr="00542A27" w:rsidRDefault="00EE64D8" w:rsidP="00EE64D8">
      <w:pPr>
        <w:pStyle w:val="Aufzhlungszeichen"/>
        <w:rPr>
          <w:lang w:val="en-US"/>
        </w:rPr>
      </w:pPr>
      <w:r w:rsidRPr="00542A27">
        <w:rPr>
          <w:lang w:val="en-US"/>
        </w:rPr>
        <w:t xml:space="preserve">If the production environment cannot tolerate the potential for application time-outs that may occur during </w:t>
      </w:r>
      <w:r w:rsidR="00846AD0" w:rsidRPr="00542A27">
        <w:rPr>
          <w:lang w:val="en-US"/>
        </w:rPr>
        <w:t>auto grow</w:t>
      </w:r>
      <w:r w:rsidRPr="00542A27">
        <w:rPr>
          <w:lang w:val="en-US"/>
        </w:rPr>
        <w:t xml:space="preserve"> operations, space </w:t>
      </w:r>
      <w:r w:rsidR="00846AD0" w:rsidRPr="00542A27">
        <w:rPr>
          <w:lang w:val="en-US"/>
        </w:rPr>
        <w:t xml:space="preserve">need to be </w:t>
      </w:r>
      <w:proofErr w:type="spellStart"/>
      <w:r w:rsidR="00846AD0" w:rsidRPr="00542A27">
        <w:rPr>
          <w:lang w:val="en-US"/>
        </w:rPr>
        <w:t>preallocate</w:t>
      </w:r>
      <w:proofErr w:type="spellEnd"/>
      <w:r w:rsidR="00846AD0" w:rsidRPr="00542A27">
        <w:rPr>
          <w:lang w:val="en-US"/>
        </w:rPr>
        <w:t xml:space="preserve"> </w:t>
      </w:r>
      <w:r w:rsidRPr="00542A27">
        <w:rPr>
          <w:lang w:val="en-US"/>
        </w:rPr>
        <w:t>to allow for the expected workload.</w:t>
      </w:r>
    </w:p>
    <w:p w14:paraId="2744FA26" w14:textId="338AAF7E" w:rsidR="00EE64D8" w:rsidRPr="00542A27" w:rsidRDefault="00EE64D8" w:rsidP="00EE64D8">
      <w:pPr>
        <w:pStyle w:val="Aufzhlungszeichen"/>
        <w:rPr>
          <w:lang w:val="en-US"/>
        </w:rPr>
      </w:pPr>
      <w:r w:rsidRPr="00542A27">
        <w:rPr>
          <w:lang w:val="en-US"/>
        </w:rPr>
        <w:t>The file growth increment need to be set to a reasonable size to avoid the tempdb database files from growing by too small a value. If the file growth is too small, compared to the amount of data that is being written to tempdb, tempdb may have to constantly expand. This will affect performance.</w:t>
      </w:r>
    </w:p>
    <w:p w14:paraId="1435F3AE" w14:textId="77777777" w:rsidR="00EE64D8" w:rsidRPr="00542A27" w:rsidRDefault="00EE64D8" w:rsidP="00EE64D8">
      <w:pPr>
        <w:pStyle w:val="Aufzhlungszeichen"/>
        <w:rPr>
          <w:lang w:val="en-US"/>
        </w:rPr>
      </w:pPr>
      <w:r w:rsidRPr="00542A27">
        <w:rPr>
          <w:lang w:val="en-US"/>
        </w:rPr>
        <w:t>Space for all tempdb files should be set to a value large enough to accommodate the typical workload in the environment. This prevents tempdb from expanding too frequently, which can affect performance.</w:t>
      </w:r>
    </w:p>
    <w:p w14:paraId="7BE5FF6F" w14:textId="01DAE8DC" w:rsidR="00EE64D8" w:rsidRPr="00542A27" w:rsidRDefault="00EE64D8" w:rsidP="00EE64D8">
      <w:pPr>
        <w:pStyle w:val="Aufzhlungszeichen"/>
        <w:rPr>
          <w:lang w:val="en-US"/>
        </w:rPr>
      </w:pPr>
      <w:r w:rsidRPr="00542A27">
        <w:rPr>
          <w:lang w:val="en-US"/>
        </w:rPr>
        <w:t xml:space="preserve">The tempdb database should be set to </w:t>
      </w:r>
      <w:r w:rsidR="00846AD0" w:rsidRPr="00542A27">
        <w:rPr>
          <w:lang w:val="en-US"/>
        </w:rPr>
        <w:t>auto grow</w:t>
      </w:r>
      <w:r w:rsidRPr="00542A27">
        <w:rPr>
          <w:lang w:val="en-US"/>
        </w:rPr>
        <w:t xml:space="preserve">, but this should be used to increase disk space for </w:t>
      </w:r>
      <w:r w:rsidRPr="00542A27">
        <w:rPr>
          <w:b/>
          <w:lang w:val="en-US"/>
        </w:rPr>
        <w:t>unplanned</w:t>
      </w:r>
      <w:r w:rsidRPr="00542A27">
        <w:rPr>
          <w:lang w:val="en-US"/>
        </w:rPr>
        <w:t xml:space="preserve"> exceptions. </w:t>
      </w:r>
    </w:p>
    <w:p w14:paraId="2467C905" w14:textId="19E0F306" w:rsidR="00EE64D8" w:rsidRPr="00542A27" w:rsidRDefault="00EE64D8" w:rsidP="00EE64D8">
      <w:pPr>
        <w:pStyle w:val="Aufzhlungszeichen"/>
        <w:rPr>
          <w:lang w:val="en-US"/>
        </w:rPr>
      </w:pPr>
      <w:r w:rsidRPr="00542A27">
        <w:rPr>
          <w:lang w:val="en-US"/>
        </w:rPr>
        <w:t>As many files as needed need to be created to maximize disk bandwidth. Using multiple files reduces tempdb storage contention and yields significantly better scalability. The maximum files should be 8 for a system with more than 8 Cores. If the system has less or equal to 8 cores there should be one data file for each core!</w:t>
      </w:r>
    </w:p>
    <w:p w14:paraId="6F7A5C6B" w14:textId="0A50D6FE" w:rsidR="00EE64D8" w:rsidRPr="00542A27" w:rsidRDefault="00EE64D8" w:rsidP="00EE64D8">
      <w:pPr>
        <w:pStyle w:val="Aufzhlungszeichen"/>
        <w:rPr>
          <w:b/>
          <w:lang w:val="en-US"/>
        </w:rPr>
      </w:pPr>
      <w:r w:rsidRPr="00542A27">
        <w:rPr>
          <w:b/>
          <w:lang w:val="en-US"/>
        </w:rPr>
        <w:t>Make each data file the same size; this allows for optimal proportional-fill performance</w:t>
      </w:r>
    </w:p>
    <w:p w14:paraId="67184EC0" w14:textId="4ADC8A9A" w:rsidR="00EE64D8" w:rsidRPr="00542A27" w:rsidRDefault="00834638" w:rsidP="00EE64D8">
      <w:pPr>
        <w:pStyle w:val="Aufzhlungszeichen"/>
        <w:rPr>
          <w:lang w:val="en-US"/>
        </w:rPr>
      </w:pPr>
      <w:r w:rsidRPr="00542A27">
        <w:rPr>
          <w:lang w:val="en-US"/>
        </w:rPr>
        <w:t>T</w:t>
      </w:r>
      <w:r w:rsidR="00EE64D8" w:rsidRPr="00542A27">
        <w:rPr>
          <w:lang w:val="en-US"/>
        </w:rPr>
        <w:t xml:space="preserve">empdb database </w:t>
      </w:r>
      <w:r w:rsidRPr="00542A27">
        <w:rPr>
          <w:lang w:val="en-US"/>
        </w:rPr>
        <w:t>should be on a fast I/O subsystem.</w:t>
      </w:r>
    </w:p>
    <w:p w14:paraId="6A7B4073" w14:textId="376B5B11" w:rsidR="00EE64D8" w:rsidRPr="00542A27" w:rsidRDefault="00834638" w:rsidP="00EE64D8">
      <w:pPr>
        <w:pStyle w:val="Aufzhlungszeichen"/>
        <w:rPr>
          <w:lang w:val="en-US"/>
        </w:rPr>
      </w:pPr>
      <w:r w:rsidRPr="00542A27">
        <w:rPr>
          <w:lang w:val="en-US"/>
        </w:rPr>
        <w:t>T</w:t>
      </w:r>
      <w:r w:rsidR="00EE64D8" w:rsidRPr="00542A27">
        <w:rPr>
          <w:lang w:val="en-US"/>
        </w:rPr>
        <w:t xml:space="preserve">empdb database </w:t>
      </w:r>
      <w:r w:rsidRPr="00542A27">
        <w:rPr>
          <w:lang w:val="en-US"/>
        </w:rPr>
        <w:t xml:space="preserve">should be </w:t>
      </w:r>
      <w:r w:rsidR="00EE64D8" w:rsidRPr="00542A27">
        <w:rPr>
          <w:lang w:val="en-US"/>
        </w:rPr>
        <w:t xml:space="preserve">on disks that differ from those </w:t>
      </w:r>
      <w:r w:rsidRPr="00542A27">
        <w:rPr>
          <w:lang w:val="en-US"/>
        </w:rPr>
        <w:t>that are used by user databases.</w:t>
      </w:r>
    </w:p>
    <w:p w14:paraId="37B2F133" w14:textId="478A138C" w:rsidR="004D3C46" w:rsidRPr="00542A27" w:rsidRDefault="002B7F2A" w:rsidP="004D3C46">
      <w:pPr>
        <w:rPr>
          <w:lang w:val="en-US"/>
        </w:rPr>
      </w:pPr>
      <w:r>
        <w:rPr>
          <w:lang w:val="en-US"/>
        </w:rPr>
        <w:t>TEMPDB is configured as follows:</w:t>
      </w:r>
    </w:p>
    <w:tbl>
      <w:tblPr>
        <w:tblStyle w:val="Listentabelle2Akzent1"/>
        <w:tblW w:w="0" w:type="auto"/>
        <w:tblLook w:val="04A0" w:firstRow="1" w:lastRow="0" w:firstColumn="1" w:lastColumn="0" w:noHBand="0" w:noVBand="1"/>
      </w:tblPr>
      <w:tblGrid>
        <w:gridCol w:w="1255"/>
        <w:gridCol w:w="4156"/>
        <w:gridCol w:w="1222"/>
        <w:gridCol w:w="1144"/>
        <w:gridCol w:w="1295"/>
      </w:tblGrid>
      <w:tr w:rsidR="004D3C46" w:rsidRPr="00542A27" w14:paraId="2C001CAB" w14:textId="77777777" w:rsidTr="003E3F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0E24FF9F" w14:textId="29EF2C28" w:rsidR="004D3C46" w:rsidRPr="00542A27" w:rsidRDefault="00113A03" w:rsidP="008B62A4">
            <w:pPr>
              <w:rPr>
                <w:rFonts w:asciiTheme="minorHAnsi" w:hAnsiTheme="minorHAnsi" w:cstheme="minorHAnsi"/>
                <w:sz w:val="18"/>
                <w:szCs w:val="18"/>
                <w:lang w:val="en-US"/>
              </w:rPr>
            </w:pPr>
            <w:r w:rsidRPr="00542A27">
              <w:rPr>
                <w:rFonts w:asciiTheme="minorHAnsi" w:hAnsiTheme="minorHAnsi" w:cstheme="minorHAnsi"/>
                <w:sz w:val="18"/>
                <w:szCs w:val="18"/>
                <w:lang w:val="en-US"/>
              </w:rPr>
              <w:t>Name</w:t>
            </w:r>
          </w:p>
        </w:tc>
        <w:tc>
          <w:tcPr>
            <w:tcW w:w="4156" w:type="dxa"/>
          </w:tcPr>
          <w:p w14:paraId="3C6F2B49" w14:textId="77777777" w:rsidR="004D3C46" w:rsidRPr="00542A27" w:rsidRDefault="004D3C46" w:rsidP="008B62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spellStart"/>
            <w:r w:rsidRPr="00542A27">
              <w:rPr>
                <w:rFonts w:asciiTheme="minorHAnsi" w:hAnsiTheme="minorHAnsi" w:cstheme="minorHAnsi"/>
                <w:sz w:val="18"/>
                <w:szCs w:val="18"/>
                <w:lang w:val="en-US"/>
              </w:rPr>
              <w:t>physical_name</w:t>
            </w:r>
            <w:proofErr w:type="spellEnd"/>
          </w:p>
        </w:tc>
        <w:tc>
          <w:tcPr>
            <w:tcW w:w="1222" w:type="dxa"/>
          </w:tcPr>
          <w:p w14:paraId="0FDC7606" w14:textId="77777777" w:rsidR="004D3C46" w:rsidRPr="00542A27" w:rsidRDefault="004D3C46" w:rsidP="008B62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spellStart"/>
            <w:r w:rsidRPr="00542A27">
              <w:rPr>
                <w:rFonts w:asciiTheme="minorHAnsi" w:hAnsiTheme="minorHAnsi" w:cstheme="minorHAnsi"/>
                <w:sz w:val="18"/>
                <w:szCs w:val="18"/>
                <w:lang w:val="en-US"/>
              </w:rPr>
              <w:t>type_desc</w:t>
            </w:r>
            <w:proofErr w:type="spellEnd"/>
          </w:p>
        </w:tc>
        <w:tc>
          <w:tcPr>
            <w:tcW w:w="1144" w:type="dxa"/>
          </w:tcPr>
          <w:p w14:paraId="17A88A3E" w14:textId="77777777" w:rsidR="004D3C46" w:rsidRPr="00542A27" w:rsidRDefault="004D3C46" w:rsidP="00B26C25">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spellStart"/>
            <w:r w:rsidRPr="00542A27">
              <w:rPr>
                <w:rFonts w:asciiTheme="minorHAnsi" w:hAnsiTheme="minorHAnsi" w:cstheme="minorHAnsi"/>
                <w:sz w:val="18"/>
                <w:szCs w:val="18"/>
                <w:lang w:val="en-US"/>
              </w:rPr>
              <w:t>size_mb</w:t>
            </w:r>
            <w:proofErr w:type="spellEnd"/>
          </w:p>
        </w:tc>
        <w:tc>
          <w:tcPr>
            <w:tcW w:w="1295" w:type="dxa"/>
          </w:tcPr>
          <w:p w14:paraId="37CC19A2" w14:textId="05F157DF" w:rsidR="004D3C46" w:rsidRPr="00542A27" w:rsidRDefault="00AD3B8E" w:rsidP="00B26C25">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spellStart"/>
            <w:r w:rsidRPr="00542A27">
              <w:rPr>
                <w:rFonts w:asciiTheme="minorHAnsi" w:hAnsiTheme="minorHAnsi" w:cstheme="minorHAnsi"/>
                <w:sz w:val="18"/>
                <w:szCs w:val="18"/>
                <w:lang w:val="en-US"/>
              </w:rPr>
              <w:t>growth</w:t>
            </w:r>
            <w:r w:rsidR="004D3C46" w:rsidRPr="00542A27">
              <w:rPr>
                <w:rFonts w:asciiTheme="minorHAnsi" w:hAnsiTheme="minorHAnsi" w:cstheme="minorHAnsi"/>
                <w:sz w:val="18"/>
                <w:szCs w:val="18"/>
                <w:lang w:val="en-US"/>
              </w:rPr>
              <w:t>_mb</w:t>
            </w:r>
            <w:proofErr w:type="spellEnd"/>
          </w:p>
        </w:tc>
      </w:tr>
      <w:tr w:rsidR="003E3F7E" w:rsidRPr="00542A27" w14:paraId="7F5A62F0" w14:textId="77777777" w:rsidTr="003E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842C" w14:textId="644C5C20" w:rsidR="003E3F7E" w:rsidRPr="00542A27" w:rsidRDefault="003E3F7E" w:rsidP="003E3F7E">
            <w:pPr>
              <w:rPr>
                <w:rFonts w:asciiTheme="minorHAnsi" w:hAnsiTheme="minorHAnsi" w:cstheme="minorHAnsi"/>
                <w:color w:val="FF0000"/>
                <w:sz w:val="18"/>
                <w:szCs w:val="18"/>
                <w:lang w:val="en-US"/>
              </w:rPr>
            </w:pPr>
            <w:r w:rsidRPr="00542A27">
              <w:rPr>
                <w:rFonts w:asciiTheme="minorHAnsi" w:hAnsiTheme="minorHAnsi" w:cstheme="minorHAnsi"/>
                <w:color w:val="000000"/>
                <w:sz w:val="18"/>
                <w:szCs w:val="18"/>
                <w:lang w:val="en-US"/>
              </w:rPr>
              <w:t>tempdev1</w:t>
            </w:r>
          </w:p>
        </w:tc>
        <w:tc>
          <w:tcPr>
            <w:tcW w:w="4156" w:type="dxa"/>
          </w:tcPr>
          <w:p w14:paraId="2DD33A5E" w14:textId="399E84D6" w:rsidR="003E3F7E" w:rsidRPr="00542A27" w:rsidRDefault="003E3F7E" w:rsidP="00B904A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000000"/>
                <w:sz w:val="18"/>
                <w:szCs w:val="18"/>
                <w:lang w:val="en-US"/>
              </w:rPr>
              <w:t>G:\...\tempdb</w:t>
            </w:r>
            <w:r w:rsidR="00B904AD" w:rsidRPr="00542A27">
              <w:rPr>
                <w:rFonts w:asciiTheme="minorHAnsi" w:hAnsiTheme="minorHAnsi" w:cstheme="minorHAnsi"/>
                <w:color w:val="000000"/>
                <w:sz w:val="18"/>
                <w:szCs w:val="18"/>
                <w:lang w:val="en-US"/>
              </w:rPr>
              <w:t>.</w:t>
            </w:r>
            <w:r w:rsidRPr="00542A27">
              <w:rPr>
                <w:rFonts w:asciiTheme="minorHAnsi" w:hAnsiTheme="minorHAnsi" w:cstheme="minorHAnsi"/>
                <w:color w:val="000000"/>
                <w:sz w:val="18"/>
                <w:szCs w:val="18"/>
                <w:lang w:val="en-US"/>
              </w:rPr>
              <w:t>mdf</w:t>
            </w:r>
          </w:p>
        </w:tc>
        <w:tc>
          <w:tcPr>
            <w:tcW w:w="1222" w:type="dxa"/>
          </w:tcPr>
          <w:p w14:paraId="1B72EC56" w14:textId="6F95A4F3" w:rsidR="003E3F7E" w:rsidRPr="00542A27" w:rsidRDefault="003E3F7E" w:rsidP="003E3F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000000"/>
                <w:sz w:val="18"/>
                <w:szCs w:val="18"/>
                <w:lang w:val="en-US"/>
              </w:rPr>
              <w:t>ROWS</w:t>
            </w:r>
          </w:p>
        </w:tc>
        <w:tc>
          <w:tcPr>
            <w:tcW w:w="1144" w:type="dxa"/>
          </w:tcPr>
          <w:p w14:paraId="22E15DF6" w14:textId="43A88EB5"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FF0000"/>
                <w:sz w:val="18"/>
                <w:szCs w:val="18"/>
                <w:lang w:val="en-US"/>
              </w:rPr>
              <w:t>583,88</w:t>
            </w:r>
          </w:p>
        </w:tc>
        <w:tc>
          <w:tcPr>
            <w:tcW w:w="1295" w:type="dxa"/>
          </w:tcPr>
          <w:p w14:paraId="3ADE5B1E" w14:textId="6A0EA8EA"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000000"/>
                <w:sz w:val="18"/>
                <w:szCs w:val="18"/>
                <w:lang w:val="en-US"/>
              </w:rPr>
              <w:t>100,00</w:t>
            </w:r>
          </w:p>
        </w:tc>
      </w:tr>
      <w:tr w:rsidR="003E3F7E" w:rsidRPr="00542A27" w14:paraId="59363E6D" w14:textId="77777777" w:rsidTr="003E3F7E">
        <w:tc>
          <w:tcPr>
            <w:cnfStyle w:val="001000000000" w:firstRow="0" w:lastRow="0" w:firstColumn="1" w:lastColumn="0" w:oddVBand="0" w:evenVBand="0" w:oddHBand="0" w:evenHBand="0" w:firstRowFirstColumn="0" w:firstRowLastColumn="0" w:lastRowFirstColumn="0" w:lastRowLastColumn="0"/>
            <w:tcW w:w="1255" w:type="dxa"/>
          </w:tcPr>
          <w:p w14:paraId="4992979C" w14:textId="0AD4FE3C"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tempdev2</w:t>
            </w:r>
          </w:p>
        </w:tc>
        <w:tc>
          <w:tcPr>
            <w:tcW w:w="4156" w:type="dxa"/>
          </w:tcPr>
          <w:p w14:paraId="17CF106B" w14:textId="647A05D0" w:rsidR="003E3F7E" w:rsidRPr="00542A27" w:rsidRDefault="003E3F7E" w:rsidP="003E3F7E">
            <w:pPr>
              <w:keepLines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G:\...\tempdb2</w:t>
            </w:r>
            <w:r w:rsidR="00B904AD" w:rsidRPr="00542A27">
              <w:rPr>
                <w:rFonts w:asciiTheme="minorHAnsi" w:hAnsiTheme="minorHAnsi" w:cstheme="minorHAnsi"/>
                <w:color w:val="000000"/>
                <w:sz w:val="18"/>
                <w:szCs w:val="18"/>
                <w:lang w:val="en-US"/>
              </w:rPr>
              <w:t>.mbf</w:t>
            </w:r>
          </w:p>
        </w:tc>
        <w:tc>
          <w:tcPr>
            <w:tcW w:w="1222" w:type="dxa"/>
          </w:tcPr>
          <w:p w14:paraId="7DB59D0D" w14:textId="6F77661A" w:rsidR="003E3F7E" w:rsidRPr="00542A27" w:rsidRDefault="003E3F7E" w:rsidP="003E3F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3B57072A" w14:textId="380910FB"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FF0000"/>
                <w:sz w:val="18"/>
                <w:szCs w:val="18"/>
                <w:lang w:val="en-US"/>
              </w:rPr>
              <w:t>479,81</w:t>
            </w:r>
          </w:p>
        </w:tc>
        <w:tc>
          <w:tcPr>
            <w:tcW w:w="1295" w:type="dxa"/>
          </w:tcPr>
          <w:p w14:paraId="14BAB173" w14:textId="17963E67"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123E55B9" w14:textId="77777777" w:rsidTr="003E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FAD288" w14:textId="536F9387"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tempdev3</w:t>
            </w:r>
          </w:p>
        </w:tc>
        <w:tc>
          <w:tcPr>
            <w:tcW w:w="4156" w:type="dxa"/>
          </w:tcPr>
          <w:p w14:paraId="4B6BA4DD" w14:textId="4D717BBE" w:rsidR="003E3F7E" w:rsidRPr="00542A27" w:rsidRDefault="003E3F7E" w:rsidP="003E3F7E">
            <w:pPr>
              <w:keepLines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G:\...\tempdb3</w:t>
            </w:r>
            <w:r w:rsidR="00B904AD" w:rsidRPr="00542A27">
              <w:rPr>
                <w:rFonts w:asciiTheme="minorHAnsi" w:hAnsiTheme="minorHAnsi" w:cstheme="minorHAnsi"/>
                <w:color w:val="000000"/>
                <w:sz w:val="18"/>
                <w:szCs w:val="18"/>
                <w:lang w:val="en-US"/>
              </w:rPr>
              <w:t>.mbf</w:t>
            </w:r>
          </w:p>
        </w:tc>
        <w:tc>
          <w:tcPr>
            <w:tcW w:w="1222" w:type="dxa"/>
          </w:tcPr>
          <w:p w14:paraId="7BA09CFB" w14:textId="23490A4C" w:rsidR="003E3F7E" w:rsidRPr="00542A27" w:rsidRDefault="003E3F7E" w:rsidP="003E3F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5BB33C32" w14:textId="217BBE8C"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FF0000"/>
                <w:sz w:val="18"/>
                <w:szCs w:val="18"/>
                <w:lang w:val="en-US"/>
              </w:rPr>
              <w:t>695,63</w:t>
            </w:r>
          </w:p>
        </w:tc>
        <w:tc>
          <w:tcPr>
            <w:tcW w:w="1295" w:type="dxa"/>
          </w:tcPr>
          <w:p w14:paraId="0619437A" w14:textId="619A4ABE"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72A8BB3A" w14:textId="77777777" w:rsidTr="003E3F7E">
        <w:tc>
          <w:tcPr>
            <w:cnfStyle w:val="001000000000" w:firstRow="0" w:lastRow="0" w:firstColumn="1" w:lastColumn="0" w:oddVBand="0" w:evenVBand="0" w:oddHBand="0" w:evenHBand="0" w:firstRowFirstColumn="0" w:firstRowLastColumn="0" w:lastRowFirstColumn="0" w:lastRowLastColumn="0"/>
            <w:tcW w:w="1255" w:type="dxa"/>
          </w:tcPr>
          <w:p w14:paraId="65677976" w14:textId="5FCEC9AA"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tempdev4</w:t>
            </w:r>
          </w:p>
        </w:tc>
        <w:tc>
          <w:tcPr>
            <w:tcW w:w="4156" w:type="dxa"/>
          </w:tcPr>
          <w:p w14:paraId="4DAB8EB7" w14:textId="783C5652" w:rsidR="003E3F7E" w:rsidRPr="00542A27" w:rsidRDefault="003E3F7E" w:rsidP="003E3F7E">
            <w:pPr>
              <w:keepLines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G:\...\tempdb4</w:t>
            </w:r>
            <w:r w:rsidR="00B904AD" w:rsidRPr="00542A27">
              <w:rPr>
                <w:rFonts w:asciiTheme="minorHAnsi" w:hAnsiTheme="minorHAnsi" w:cstheme="minorHAnsi"/>
                <w:color w:val="000000"/>
                <w:sz w:val="18"/>
                <w:szCs w:val="18"/>
                <w:lang w:val="en-US"/>
              </w:rPr>
              <w:t>.mbf</w:t>
            </w:r>
          </w:p>
        </w:tc>
        <w:tc>
          <w:tcPr>
            <w:tcW w:w="1222" w:type="dxa"/>
          </w:tcPr>
          <w:p w14:paraId="498EDD12" w14:textId="1ECAF837" w:rsidR="003E3F7E" w:rsidRPr="00542A27" w:rsidRDefault="003E3F7E" w:rsidP="003E3F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08C3C62C" w14:textId="1C4ADB4C"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c>
          <w:tcPr>
            <w:tcW w:w="1295" w:type="dxa"/>
          </w:tcPr>
          <w:p w14:paraId="59963629" w14:textId="6A1638F7"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4BC21EC7" w14:textId="77777777" w:rsidTr="003E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6491CE7" w14:textId="62EB3941"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tempdev5</w:t>
            </w:r>
          </w:p>
        </w:tc>
        <w:tc>
          <w:tcPr>
            <w:tcW w:w="4156" w:type="dxa"/>
          </w:tcPr>
          <w:p w14:paraId="1DE6AC3A" w14:textId="522CC066" w:rsidR="003E3F7E" w:rsidRPr="00542A27" w:rsidRDefault="003E3F7E" w:rsidP="003E3F7E">
            <w:pPr>
              <w:keepLines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G:\...\tempdb5</w:t>
            </w:r>
            <w:r w:rsidR="00B904AD" w:rsidRPr="00542A27">
              <w:rPr>
                <w:rFonts w:asciiTheme="minorHAnsi" w:hAnsiTheme="minorHAnsi" w:cstheme="minorHAnsi"/>
                <w:color w:val="000000"/>
                <w:sz w:val="18"/>
                <w:szCs w:val="18"/>
                <w:lang w:val="en-US"/>
              </w:rPr>
              <w:t>.mbf</w:t>
            </w:r>
          </w:p>
        </w:tc>
        <w:tc>
          <w:tcPr>
            <w:tcW w:w="1222" w:type="dxa"/>
          </w:tcPr>
          <w:p w14:paraId="3569EC89" w14:textId="31514707" w:rsidR="003E3F7E" w:rsidRPr="00542A27" w:rsidRDefault="003E3F7E" w:rsidP="003E3F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3BA417D7" w14:textId="31B317D8"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c>
          <w:tcPr>
            <w:tcW w:w="1295" w:type="dxa"/>
          </w:tcPr>
          <w:p w14:paraId="2133654E" w14:textId="17121383"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43F85ADD" w14:textId="77777777" w:rsidTr="003E3F7E">
        <w:tc>
          <w:tcPr>
            <w:cnfStyle w:val="001000000000" w:firstRow="0" w:lastRow="0" w:firstColumn="1" w:lastColumn="0" w:oddVBand="0" w:evenVBand="0" w:oddHBand="0" w:evenHBand="0" w:firstRowFirstColumn="0" w:firstRowLastColumn="0" w:lastRowFirstColumn="0" w:lastRowLastColumn="0"/>
            <w:tcW w:w="1255" w:type="dxa"/>
          </w:tcPr>
          <w:p w14:paraId="7BC8D127" w14:textId="23B32424"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tempdev6</w:t>
            </w:r>
          </w:p>
        </w:tc>
        <w:tc>
          <w:tcPr>
            <w:tcW w:w="4156" w:type="dxa"/>
          </w:tcPr>
          <w:p w14:paraId="620CC465" w14:textId="739AB73A" w:rsidR="003E3F7E" w:rsidRPr="00542A27" w:rsidRDefault="003E3F7E" w:rsidP="003E3F7E">
            <w:pPr>
              <w:keepLines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G:\...\tempdb6</w:t>
            </w:r>
            <w:r w:rsidR="00B904AD" w:rsidRPr="00542A27">
              <w:rPr>
                <w:rFonts w:asciiTheme="minorHAnsi" w:hAnsiTheme="minorHAnsi" w:cstheme="minorHAnsi"/>
                <w:color w:val="000000"/>
                <w:sz w:val="18"/>
                <w:szCs w:val="18"/>
                <w:lang w:val="en-US"/>
              </w:rPr>
              <w:t>.mbf</w:t>
            </w:r>
          </w:p>
        </w:tc>
        <w:tc>
          <w:tcPr>
            <w:tcW w:w="1222" w:type="dxa"/>
          </w:tcPr>
          <w:p w14:paraId="1ED74104" w14:textId="53A9FC22" w:rsidR="003E3F7E" w:rsidRPr="00542A27" w:rsidRDefault="003E3F7E" w:rsidP="003E3F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42E606A0" w14:textId="3B3A962B"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c>
          <w:tcPr>
            <w:tcW w:w="1295" w:type="dxa"/>
          </w:tcPr>
          <w:p w14:paraId="0D990F9B" w14:textId="6A3C3B12"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380A1411" w14:textId="77777777" w:rsidTr="003E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0FFE04B" w14:textId="771E8E0B"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lastRenderedPageBreak/>
              <w:t>tempdev7</w:t>
            </w:r>
          </w:p>
        </w:tc>
        <w:tc>
          <w:tcPr>
            <w:tcW w:w="4156" w:type="dxa"/>
          </w:tcPr>
          <w:p w14:paraId="234C8420" w14:textId="2F43BD14" w:rsidR="003E3F7E" w:rsidRPr="00542A27" w:rsidRDefault="003E3F7E" w:rsidP="003E3F7E">
            <w:pPr>
              <w:keepLines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G:\...\tempdb7</w:t>
            </w:r>
            <w:r w:rsidR="00B904AD" w:rsidRPr="00542A27">
              <w:rPr>
                <w:rFonts w:asciiTheme="minorHAnsi" w:hAnsiTheme="minorHAnsi" w:cstheme="minorHAnsi"/>
                <w:color w:val="000000"/>
                <w:sz w:val="18"/>
                <w:szCs w:val="18"/>
                <w:lang w:val="en-US"/>
              </w:rPr>
              <w:t>.mbf</w:t>
            </w:r>
          </w:p>
        </w:tc>
        <w:tc>
          <w:tcPr>
            <w:tcW w:w="1222" w:type="dxa"/>
          </w:tcPr>
          <w:p w14:paraId="4975823C" w14:textId="70765C74" w:rsidR="003E3F7E" w:rsidRPr="00542A27" w:rsidRDefault="003E3F7E" w:rsidP="003E3F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3C1223FE" w14:textId="07C5CDD2"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c>
          <w:tcPr>
            <w:tcW w:w="1295" w:type="dxa"/>
          </w:tcPr>
          <w:p w14:paraId="1EFBAC34" w14:textId="607EAF79"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62420328" w14:textId="77777777" w:rsidTr="003E3F7E">
        <w:tc>
          <w:tcPr>
            <w:cnfStyle w:val="001000000000" w:firstRow="0" w:lastRow="0" w:firstColumn="1" w:lastColumn="0" w:oddVBand="0" w:evenVBand="0" w:oddHBand="0" w:evenHBand="0" w:firstRowFirstColumn="0" w:firstRowLastColumn="0" w:lastRowFirstColumn="0" w:lastRowLastColumn="0"/>
            <w:tcW w:w="1255" w:type="dxa"/>
          </w:tcPr>
          <w:p w14:paraId="06FFBBA5" w14:textId="7ACE8985" w:rsidR="003E3F7E" w:rsidRPr="00542A27" w:rsidRDefault="003E3F7E" w:rsidP="003E3F7E">
            <w:pPr>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tempdev8</w:t>
            </w:r>
          </w:p>
        </w:tc>
        <w:tc>
          <w:tcPr>
            <w:tcW w:w="4156" w:type="dxa"/>
          </w:tcPr>
          <w:p w14:paraId="1BCE4EA2" w14:textId="6B4B3CC8" w:rsidR="003E3F7E" w:rsidRPr="00542A27" w:rsidRDefault="003E3F7E" w:rsidP="003E3F7E">
            <w:pPr>
              <w:keepLines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G:\...\tempdb8</w:t>
            </w:r>
            <w:r w:rsidR="00B904AD" w:rsidRPr="00542A27">
              <w:rPr>
                <w:rFonts w:asciiTheme="minorHAnsi" w:hAnsiTheme="minorHAnsi" w:cstheme="minorHAnsi"/>
                <w:color w:val="000000"/>
                <w:sz w:val="18"/>
                <w:szCs w:val="18"/>
                <w:lang w:val="en-US"/>
              </w:rPr>
              <w:t>.mbf</w:t>
            </w:r>
          </w:p>
        </w:tc>
        <w:tc>
          <w:tcPr>
            <w:tcW w:w="1222" w:type="dxa"/>
          </w:tcPr>
          <w:p w14:paraId="54AB5E57" w14:textId="1BF26DC3" w:rsidR="003E3F7E" w:rsidRPr="00542A27" w:rsidRDefault="003E3F7E" w:rsidP="003E3F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ROWS</w:t>
            </w:r>
          </w:p>
        </w:tc>
        <w:tc>
          <w:tcPr>
            <w:tcW w:w="1144" w:type="dxa"/>
          </w:tcPr>
          <w:p w14:paraId="4D4F0001" w14:textId="3E698850"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c>
          <w:tcPr>
            <w:tcW w:w="1295" w:type="dxa"/>
          </w:tcPr>
          <w:p w14:paraId="6ABFFC61" w14:textId="0CD8F8D4" w:rsidR="003E3F7E" w:rsidRPr="00542A27" w:rsidRDefault="003E3F7E" w:rsidP="003E3F7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100,00</w:t>
            </w:r>
          </w:p>
        </w:tc>
      </w:tr>
      <w:tr w:rsidR="003E3F7E" w:rsidRPr="00542A27" w14:paraId="39B281CB" w14:textId="77777777" w:rsidTr="003E3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55BC4C" w14:textId="4134421C" w:rsidR="003E3F7E" w:rsidRPr="00542A27" w:rsidRDefault="003E3F7E" w:rsidP="003E3F7E">
            <w:pPr>
              <w:rPr>
                <w:rFonts w:asciiTheme="minorHAnsi" w:hAnsiTheme="minorHAnsi" w:cstheme="minorHAnsi"/>
                <w:sz w:val="18"/>
                <w:szCs w:val="18"/>
                <w:lang w:val="en-US"/>
              </w:rPr>
            </w:pPr>
            <w:proofErr w:type="spellStart"/>
            <w:r w:rsidRPr="00542A27">
              <w:rPr>
                <w:rFonts w:asciiTheme="minorHAnsi" w:hAnsiTheme="minorHAnsi" w:cstheme="minorHAnsi"/>
                <w:color w:val="000000"/>
                <w:sz w:val="18"/>
                <w:szCs w:val="18"/>
                <w:lang w:val="en-US"/>
              </w:rPr>
              <w:t>templog</w:t>
            </w:r>
            <w:proofErr w:type="spellEnd"/>
          </w:p>
        </w:tc>
        <w:tc>
          <w:tcPr>
            <w:tcW w:w="4156" w:type="dxa"/>
          </w:tcPr>
          <w:p w14:paraId="1C259032" w14:textId="0F42BB25" w:rsidR="003E3F7E" w:rsidRPr="00542A27" w:rsidRDefault="003E3F7E" w:rsidP="003E3F7E">
            <w:pPr>
              <w:keepLines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proofErr w:type="gramStart"/>
            <w:r w:rsidRPr="00542A27">
              <w:rPr>
                <w:rFonts w:asciiTheme="minorHAnsi" w:hAnsiTheme="minorHAnsi" w:cstheme="minorHAnsi"/>
                <w:color w:val="000000"/>
                <w:sz w:val="18"/>
                <w:szCs w:val="18"/>
                <w:lang w:val="en-US"/>
              </w:rPr>
              <w:t>H:\...\templog,ldf</w:t>
            </w:r>
            <w:proofErr w:type="gramEnd"/>
          </w:p>
        </w:tc>
        <w:tc>
          <w:tcPr>
            <w:tcW w:w="1222" w:type="dxa"/>
          </w:tcPr>
          <w:p w14:paraId="681986CF" w14:textId="0E12339D" w:rsidR="003E3F7E" w:rsidRPr="00542A27" w:rsidRDefault="003E3F7E" w:rsidP="003E3F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rPr>
            </w:pPr>
            <w:r w:rsidRPr="00542A27">
              <w:rPr>
                <w:rFonts w:asciiTheme="minorHAnsi" w:hAnsiTheme="minorHAnsi" w:cstheme="minorHAnsi"/>
                <w:color w:val="000000"/>
                <w:sz w:val="18"/>
                <w:szCs w:val="18"/>
                <w:lang w:val="en-US"/>
              </w:rPr>
              <w:t>LOG</w:t>
            </w:r>
          </w:p>
        </w:tc>
        <w:tc>
          <w:tcPr>
            <w:tcW w:w="1144" w:type="dxa"/>
          </w:tcPr>
          <w:p w14:paraId="36559954" w14:textId="6B52D836"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FF0000"/>
                <w:sz w:val="18"/>
                <w:szCs w:val="18"/>
                <w:lang w:val="en-US"/>
              </w:rPr>
              <w:t>14,00</w:t>
            </w:r>
          </w:p>
        </w:tc>
        <w:tc>
          <w:tcPr>
            <w:tcW w:w="1295" w:type="dxa"/>
          </w:tcPr>
          <w:p w14:paraId="0CE7F519" w14:textId="58654C7D" w:rsidR="003E3F7E" w:rsidRPr="00542A27" w:rsidRDefault="003E3F7E" w:rsidP="003E3F7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8"/>
                <w:szCs w:val="18"/>
                <w:lang w:val="en-US"/>
              </w:rPr>
            </w:pPr>
            <w:r w:rsidRPr="00542A27">
              <w:rPr>
                <w:rFonts w:asciiTheme="minorHAnsi" w:hAnsiTheme="minorHAnsi" w:cstheme="minorHAnsi"/>
                <w:color w:val="FF0000"/>
                <w:sz w:val="18"/>
                <w:szCs w:val="18"/>
                <w:lang w:val="en-US"/>
              </w:rPr>
              <w:t>10,00</w:t>
            </w:r>
          </w:p>
        </w:tc>
      </w:tr>
    </w:tbl>
    <w:p w14:paraId="4B19F5ED" w14:textId="64E6A20A" w:rsidR="00216777" w:rsidRPr="00542A27" w:rsidRDefault="00216777" w:rsidP="00BC1C7F">
      <w:pPr>
        <w:rPr>
          <w:lang w:val="en-US"/>
        </w:rPr>
      </w:pPr>
    </w:p>
    <w:p w14:paraId="115AE68D" w14:textId="27404238" w:rsidR="00B904AD" w:rsidRPr="00542A27" w:rsidRDefault="001B642F" w:rsidP="003E3F7E">
      <w:pPr>
        <w:rPr>
          <w:lang w:val="en-US"/>
        </w:rPr>
      </w:pPr>
      <w:r w:rsidRPr="00542A27">
        <w:rPr>
          <w:lang w:val="en-US"/>
        </w:rPr>
        <w:t>Tempdb</w:t>
      </w:r>
      <w:r w:rsidR="00B904AD" w:rsidRPr="00542A27">
        <w:rPr>
          <w:lang w:val="en-US"/>
        </w:rPr>
        <w:t xml:space="preserve"> is well configured based on the number of database files but is </w:t>
      </w:r>
      <w:r w:rsidR="001A4E4E" w:rsidRPr="00542A27">
        <w:rPr>
          <w:lang w:val="en-US"/>
        </w:rPr>
        <w:t>misconfigured</w:t>
      </w:r>
      <w:r w:rsidR="00B904AD" w:rsidRPr="00542A27">
        <w:rPr>
          <w:lang w:val="en-US"/>
        </w:rPr>
        <w:t xml:space="preserve"> </w:t>
      </w:r>
      <w:r w:rsidR="001A4E4E" w:rsidRPr="00542A27">
        <w:rPr>
          <w:lang w:val="en-US"/>
        </w:rPr>
        <w:t>in the size. All database Files (tempdev1 – to tempdev3) have different sizes which will lead to file access hotspots!</w:t>
      </w:r>
    </w:p>
    <w:p w14:paraId="23C1E2DA" w14:textId="359D8054" w:rsidR="003E3F7E" w:rsidRPr="00542A27" w:rsidRDefault="001A4E4E" w:rsidP="003E3F7E">
      <w:pPr>
        <w:keepNext/>
        <w:rPr>
          <w:lang w:val="en-US"/>
        </w:rPr>
      </w:pPr>
      <w:r w:rsidRPr="00542A27">
        <w:rPr>
          <w:noProof/>
          <w:lang w:val="en-US"/>
        </w:rPr>
        <w:drawing>
          <wp:inline distT="0" distB="0" distL="0" distR="0" wp14:anchorId="7650F466" wp14:editId="56AED96B">
            <wp:extent cx="5760720" cy="3239770"/>
            <wp:effectExtent l="114300" t="114300" r="144780" b="151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12E90F" w14:textId="43269B9E" w:rsidR="003E3F7E" w:rsidRPr="00542A27" w:rsidRDefault="001B642F" w:rsidP="003E3F7E">
      <w:pPr>
        <w:pStyle w:val="Beschriftung"/>
        <w:rPr>
          <w:lang w:val="en-US"/>
        </w:rPr>
      </w:pPr>
      <w:r w:rsidRPr="00542A27">
        <w:rPr>
          <w:lang w:val="en-US"/>
        </w:rPr>
        <w:t xml:space="preserve">Picture </w:t>
      </w:r>
      <w:r w:rsidR="00B904AD" w:rsidRPr="00542A27">
        <w:rPr>
          <w:lang w:val="en-US"/>
        </w:rPr>
        <w:fldChar w:fldCharType="begin"/>
      </w:r>
      <w:r w:rsidR="00B904AD" w:rsidRPr="00542A27">
        <w:rPr>
          <w:lang w:val="en-US"/>
        </w:rPr>
        <w:instrText xml:space="preserve"> SEQ Abbildung \* ARABIC </w:instrText>
      </w:r>
      <w:r w:rsidR="00B904AD" w:rsidRPr="00542A27">
        <w:rPr>
          <w:lang w:val="en-US"/>
        </w:rPr>
        <w:fldChar w:fldCharType="separate"/>
      </w:r>
      <w:r w:rsidR="003464F8" w:rsidRPr="00542A27">
        <w:rPr>
          <w:noProof/>
          <w:lang w:val="en-US"/>
        </w:rPr>
        <w:t>4</w:t>
      </w:r>
      <w:r w:rsidR="00B904AD" w:rsidRPr="00542A27">
        <w:rPr>
          <w:noProof/>
          <w:lang w:val="en-US"/>
        </w:rPr>
        <w:fldChar w:fldCharType="end"/>
      </w:r>
      <w:r w:rsidR="003E3F7E" w:rsidRPr="00542A27">
        <w:rPr>
          <w:lang w:val="en-US"/>
        </w:rPr>
        <w:t xml:space="preserve">: </w:t>
      </w:r>
      <w:r w:rsidR="00D217B6" w:rsidRPr="00542A27">
        <w:rPr>
          <w:lang w:val="en-US"/>
        </w:rPr>
        <w:t>different size of database files</w:t>
      </w:r>
    </w:p>
    <w:p w14:paraId="3F7D9AB2" w14:textId="58726ADF" w:rsidR="00D217B6" w:rsidRPr="00542A27" w:rsidRDefault="00D217B6" w:rsidP="003E3F7E">
      <w:pPr>
        <w:rPr>
          <w:lang w:val="en-US"/>
        </w:rPr>
      </w:pPr>
      <w:r w:rsidRPr="00542A27">
        <w:rPr>
          <w:lang w:val="en-US"/>
        </w:rPr>
        <w:t>The example above shows a database with different file sizes. Because File 01 can save most of the data the data will be distributed uneven over all database files. File 04 is the smallest file and will not so often been used for storing data. If many writing processes are active in the system than all processes will try to write into File 01 and the database is suffering from write latencies.</w:t>
      </w:r>
    </w:p>
    <w:p w14:paraId="508D5B01" w14:textId="72AAA5A8" w:rsidR="000A199C" w:rsidRPr="00542A27" w:rsidRDefault="009267AF" w:rsidP="000A199C">
      <w:pPr>
        <w:pStyle w:val="berschrift3"/>
        <w:rPr>
          <w:lang w:val="en-US"/>
        </w:rPr>
      </w:pPr>
      <w:bookmarkStart w:id="35" w:name="_Ref477619065"/>
      <w:bookmarkStart w:id="36" w:name="_Ref477619096"/>
      <w:bookmarkStart w:id="37" w:name="_Toc497821331"/>
      <w:r w:rsidRPr="00542A27">
        <w:rPr>
          <w:lang w:val="en-US"/>
        </w:rPr>
        <w:t>User database</w:t>
      </w:r>
      <w:bookmarkEnd w:id="35"/>
      <w:bookmarkEnd w:id="36"/>
      <w:r w:rsidRPr="00542A27">
        <w:rPr>
          <w:lang w:val="en-US"/>
        </w:rPr>
        <w:t>(s)</w:t>
      </w:r>
      <w:bookmarkEnd w:id="37"/>
    </w:p>
    <w:p w14:paraId="38A7E61B" w14:textId="3D07E83D" w:rsidR="002C69DE" w:rsidRPr="00542A27" w:rsidRDefault="009267AF" w:rsidP="002C69DE">
      <w:pPr>
        <w:pStyle w:val="Untertitel"/>
        <w:rPr>
          <w:lang w:val="en-US"/>
        </w:rPr>
      </w:pPr>
      <w:r w:rsidRPr="00542A27">
        <w:rPr>
          <w:lang w:val="en-US"/>
        </w:rPr>
        <w:t>Note</w:t>
      </w:r>
    </w:p>
    <w:p w14:paraId="1CF26632" w14:textId="1D5C7003" w:rsidR="002C69DE" w:rsidRPr="00542A27" w:rsidRDefault="009267AF" w:rsidP="002C69DE">
      <w:pPr>
        <w:rPr>
          <w:lang w:val="en-US"/>
        </w:rPr>
      </w:pPr>
      <w:r w:rsidRPr="00542A27">
        <w:rPr>
          <w:lang w:val="en-US"/>
        </w:rPr>
        <w:t>This document will only cover user databases which are mandatory for the survey!</w:t>
      </w:r>
    </w:p>
    <w:p w14:paraId="5B2BC322" w14:textId="3FA04109" w:rsidR="004D532F" w:rsidRPr="00542A27" w:rsidRDefault="009267AF" w:rsidP="002C69DE">
      <w:pPr>
        <w:rPr>
          <w:lang w:val="en-US"/>
        </w:rPr>
      </w:pPr>
      <w:r w:rsidRPr="00542A27">
        <w:rPr>
          <w:lang w:val="en-US"/>
        </w:rPr>
        <w:t>Configuration values</w:t>
      </w:r>
    </w:p>
    <w:tbl>
      <w:tblPr>
        <w:tblStyle w:val="Listentabelle6farbigAkzent1"/>
        <w:tblW w:w="9072" w:type="dxa"/>
        <w:tblLook w:val="04A0" w:firstRow="1" w:lastRow="0" w:firstColumn="1" w:lastColumn="0" w:noHBand="0" w:noVBand="1"/>
      </w:tblPr>
      <w:tblGrid>
        <w:gridCol w:w="1809"/>
        <w:gridCol w:w="1943"/>
        <w:gridCol w:w="1040"/>
        <w:gridCol w:w="1040"/>
        <w:gridCol w:w="1167"/>
        <w:gridCol w:w="1415"/>
        <w:gridCol w:w="658"/>
      </w:tblGrid>
      <w:tr w:rsidR="005E41A7" w:rsidRPr="00542A27" w14:paraId="5C51A625" w14:textId="77777777" w:rsidTr="00D6797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0D5674B" w14:textId="77777777" w:rsidR="004D532F" w:rsidRPr="00542A27" w:rsidRDefault="004D532F" w:rsidP="004D532F">
            <w:pPr>
              <w:keepLines w:val="0"/>
              <w:spacing w:after="0"/>
              <w:rPr>
                <w:rFonts w:cs="Calibri"/>
                <w:color w:val="000000"/>
                <w:sz w:val="16"/>
                <w:szCs w:val="16"/>
                <w:lang w:val="en-US"/>
              </w:rPr>
            </w:pPr>
            <w:proofErr w:type="spellStart"/>
            <w:r w:rsidRPr="00542A27">
              <w:rPr>
                <w:rFonts w:cs="Calibri"/>
                <w:color w:val="000000"/>
                <w:sz w:val="16"/>
                <w:szCs w:val="16"/>
                <w:lang w:val="en-US"/>
              </w:rPr>
              <w:t>database_name</w:t>
            </w:r>
            <w:proofErr w:type="spellEnd"/>
          </w:p>
        </w:tc>
        <w:tc>
          <w:tcPr>
            <w:tcW w:w="1943" w:type="dxa"/>
            <w:noWrap/>
            <w:hideMark/>
          </w:tcPr>
          <w:p w14:paraId="45E8A5D3" w14:textId="77777777" w:rsidR="004D532F" w:rsidRPr="00542A27" w:rsidRDefault="004D532F" w:rsidP="004D532F">
            <w:pPr>
              <w:keepLines w:val="0"/>
              <w:spacing w:after="0"/>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proofErr w:type="spellStart"/>
            <w:r w:rsidRPr="00542A27">
              <w:rPr>
                <w:rFonts w:cs="Calibri"/>
                <w:color w:val="000000"/>
                <w:sz w:val="16"/>
                <w:szCs w:val="16"/>
                <w:lang w:val="en-US"/>
              </w:rPr>
              <w:t>owner_name</w:t>
            </w:r>
            <w:proofErr w:type="spellEnd"/>
          </w:p>
        </w:tc>
        <w:tc>
          <w:tcPr>
            <w:tcW w:w="1040" w:type="dxa"/>
            <w:noWrap/>
            <w:hideMark/>
          </w:tcPr>
          <w:p w14:paraId="092E79FB" w14:textId="0F37F892" w:rsidR="004D532F" w:rsidRPr="00542A27" w:rsidRDefault="004D532F" w:rsidP="005E41A7">
            <w:pPr>
              <w:keepLines w:val="0"/>
              <w:spacing w:after="0"/>
              <w:jc w:val="center"/>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proofErr w:type="spellStart"/>
            <w:r w:rsidRPr="00542A27">
              <w:rPr>
                <w:rFonts w:cs="Calibri"/>
                <w:color w:val="000000"/>
                <w:sz w:val="16"/>
                <w:szCs w:val="16"/>
                <w:lang w:val="en-US"/>
              </w:rPr>
              <w:t>comp_level</w:t>
            </w:r>
            <w:proofErr w:type="spellEnd"/>
          </w:p>
        </w:tc>
        <w:tc>
          <w:tcPr>
            <w:tcW w:w="1040" w:type="dxa"/>
            <w:noWrap/>
            <w:hideMark/>
          </w:tcPr>
          <w:p w14:paraId="570A3BFE" w14:textId="77777777" w:rsidR="004D532F" w:rsidRPr="00542A27" w:rsidRDefault="004D532F" w:rsidP="005E41A7">
            <w:pPr>
              <w:keepLines w:val="0"/>
              <w:spacing w:after="0"/>
              <w:jc w:val="center"/>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proofErr w:type="spellStart"/>
            <w:r w:rsidRPr="00542A27">
              <w:rPr>
                <w:rFonts w:cs="Calibri"/>
                <w:color w:val="000000"/>
                <w:sz w:val="16"/>
                <w:szCs w:val="16"/>
                <w:lang w:val="en-US"/>
              </w:rPr>
              <w:t>auto_close</w:t>
            </w:r>
            <w:proofErr w:type="spellEnd"/>
          </w:p>
        </w:tc>
        <w:tc>
          <w:tcPr>
            <w:tcW w:w="1167" w:type="dxa"/>
            <w:noWrap/>
            <w:hideMark/>
          </w:tcPr>
          <w:p w14:paraId="3EAC66C0" w14:textId="77777777" w:rsidR="004D532F" w:rsidRPr="00542A27" w:rsidRDefault="004D532F" w:rsidP="005E41A7">
            <w:pPr>
              <w:keepLines w:val="0"/>
              <w:spacing w:after="0"/>
              <w:jc w:val="center"/>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proofErr w:type="spellStart"/>
            <w:r w:rsidRPr="00542A27">
              <w:rPr>
                <w:rFonts w:cs="Calibri"/>
                <w:color w:val="000000"/>
                <w:sz w:val="16"/>
                <w:szCs w:val="16"/>
                <w:lang w:val="en-US"/>
              </w:rPr>
              <w:t>auto_shrink</w:t>
            </w:r>
            <w:proofErr w:type="spellEnd"/>
          </w:p>
        </w:tc>
        <w:tc>
          <w:tcPr>
            <w:tcW w:w="1415" w:type="dxa"/>
            <w:noWrap/>
            <w:hideMark/>
          </w:tcPr>
          <w:p w14:paraId="76EEA7AB" w14:textId="17028165" w:rsidR="004D532F" w:rsidRPr="00542A27" w:rsidRDefault="005E41A7" w:rsidP="005E41A7">
            <w:pPr>
              <w:keepLines w:val="0"/>
              <w:spacing w:after="0"/>
              <w:jc w:val="center"/>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r w:rsidRPr="00542A27">
              <w:rPr>
                <w:rFonts w:cs="Calibri"/>
                <w:color w:val="000000"/>
                <w:sz w:val="16"/>
                <w:szCs w:val="16"/>
                <w:lang w:val="en-US"/>
              </w:rPr>
              <w:t>SI</w:t>
            </w:r>
            <w:r w:rsidRPr="00542A27">
              <w:rPr>
                <w:rStyle w:val="Funotenzeichen"/>
                <w:rFonts w:cs="Calibri"/>
                <w:color w:val="000000"/>
                <w:sz w:val="16"/>
                <w:szCs w:val="16"/>
                <w:lang w:val="en-US"/>
              </w:rPr>
              <w:footnoteReference w:id="15"/>
            </w:r>
          </w:p>
        </w:tc>
        <w:tc>
          <w:tcPr>
            <w:tcW w:w="658" w:type="dxa"/>
            <w:noWrap/>
            <w:hideMark/>
          </w:tcPr>
          <w:p w14:paraId="3CA335BF" w14:textId="12AAA82B" w:rsidR="004D532F" w:rsidRPr="00542A27" w:rsidRDefault="005E41A7" w:rsidP="005E41A7">
            <w:pPr>
              <w:keepLines w:val="0"/>
              <w:spacing w:after="0"/>
              <w:jc w:val="center"/>
              <w:cnfStyle w:val="100000000000" w:firstRow="1" w:lastRow="0" w:firstColumn="0" w:lastColumn="0" w:oddVBand="0" w:evenVBand="0" w:oddHBand="0" w:evenHBand="0" w:firstRowFirstColumn="0" w:firstRowLastColumn="0" w:lastRowFirstColumn="0" w:lastRowLastColumn="0"/>
              <w:rPr>
                <w:rFonts w:cs="Calibri"/>
                <w:color w:val="000000"/>
                <w:sz w:val="16"/>
                <w:szCs w:val="16"/>
                <w:lang w:val="en-US"/>
              </w:rPr>
            </w:pPr>
            <w:r w:rsidRPr="00542A27">
              <w:rPr>
                <w:rFonts w:cs="Calibri"/>
                <w:color w:val="000000"/>
                <w:sz w:val="16"/>
                <w:szCs w:val="16"/>
                <w:lang w:val="en-US"/>
              </w:rPr>
              <w:t>RCSI</w:t>
            </w:r>
            <w:r w:rsidRPr="00542A27">
              <w:rPr>
                <w:rStyle w:val="Funotenzeichen"/>
                <w:rFonts w:cs="Calibri"/>
                <w:color w:val="000000"/>
                <w:sz w:val="16"/>
                <w:szCs w:val="16"/>
                <w:lang w:val="en-US"/>
              </w:rPr>
              <w:footnoteReference w:id="16"/>
            </w:r>
          </w:p>
        </w:tc>
      </w:tr>
      <w:tr w:rsidR="00D67977" w:rsidRPr="00542A27" w14:paraId="357B4115" w14:textId="77777777" w:rsidTr="00D679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435FB767" w14:textId="4163A3E6" w:rsidR="00D67977" w:rsidRPr="00542A27" w:rsidRDefault="001A34BC" w:rsidP="00D67977">
            <w:pPr>
              <w:keepLines w:val="0"/>
              <w:spacing w:after="0"/>
              <w:rPr>
                <w:rFonts w:cs="Calibri"/>
                <w:color w:val="FF0000"/>
                <w:sz w:val="16"/>
                <w:szCs w:val="16"/>
                <w:lang w:val="en-US"/>
              </w:rPr>
            </w:pPr>
            <w:r>
              <w:rPr>
                <w:sz w:val="18"/>
                <w:szCs w:val="18"/>
                <w:lang w:val="en-US"/>
              </w:rPr>
              <w:t>&lt;DB_1&gt;</w:t>
            </w:r>
          </w:p>
        </w:tc>
        <w:tc>
          <w:tcPr>
            <w:tcW w:w="1943" w:type="dxa"/>
            <w:noWrap/>
            <w:vAlign w:val="center"/>
          </w:tcPr>
          <w:p w14:paraId="4A0BBBB7" w14:textId="7E821F2F" w:rsidR="00D67977" w:rsidRPr="00542A27" w:rsidRDefault="00D67977" w:rsidP="00D67977">
            <w:pPr>
              <w:keepLines w:val="0"/>
              <w:spacing w:after="0"/>
              <w:cnfStyle w:val="000000100000" w:firstRow="0" w:lastRow="0" w:firstColumn="0" w:lastColumn="0" w:oddVBand="0" w:evenVBand="0" w:oddHBand="1" w:evenHBand="0" w:firstRowFirstColumn="0" w:firstRowLastColumn="0" w:lastRowFirstColumn="0" w:lastRowLastColumn="0"/>
              <w:rPr>
                <w:rFonts w:cs="Calibri"/>
                <w:b/>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3F2D3864" w14:textId="6DE9EFC0"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90</w:t>
            </w:r>
          </w:p>
        </w:tc>
        <w:tc>
          <w:tcPr>
            <w:tcW w:w="1040" w:type="dxa"/>
            <w:noWrap/>
            <w:vAlign w:val="center"/>
          </w:tcPr>
          <w:p w14:paraId="44D93729" w14:textId="7B68EC40"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5C25E9C6" w14:textId="3AAE0E3C"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35862E84" w14:textId="314BB970"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ON</w:t>
            </w:r>
          </w:p>
        </w:tc>
        <w:tc>
          <w:tcPr>
            <w:tcW w:w="658" w:type="dxa"/>
            <w:noWrap/>
            <w:vAlign w:val="bottom"/>
          </w:tcPr>
          <w:p w14:paraId="77B352C5" w14:textId="7E842181"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Yes</w:t>
            </w:r>
          </w:p>
        </w:tc>
      </w:tr>
      <w:tr w:rsidR="00D67977" w:rsidRPr="00542A27" w14:paraId="64BAF3F1" w14:textId="77777777" w:rsidTr="00D67977">
        <w:trPr>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29312567" w14:textId="14A2CA9E" w:rsidR="00D67977" w:rsidRPr="00542A27" w:rsidRDefault="001A34BC" w:rsidP="00D67977">
            <w:pPr>
              <w:keepLines w:val="0"/>
              <w:spacing w:after="0"/>
              <w:rPr>
                <w:rFonts w:cs="Calibri"/>
                <w:color w:val="FF0000"/>
                <w:sz w:val="16"/>
                <w:szCs w:val="16"/>
                <w:lang w:val="en-US"/>
              </w:rPr>
            </w:pPr>
            <w:r>
              <w:rPr>
                <w:sz w:val="18"/>
                <w:szCs w:val="18"/>
                <w:lang w:val="en-US"/>
              </w:rPr>
              <w:t>&lt;DB_2&gt;</w:t>
            </w:r>
          </w:p>
        </w:tc>
        <w:tc>
          <w:tcPr>
            <w:tcW w:w="1943" w:type="dxa"/>
            <w:noWrap/>
            <w:vAlign w:val="center"/>
          </w:tcPr>
          <w:p w14:paraId="5D749ED5" w14:textId="6F109662" w:rsidR="00D67977" w:rsidRPr="00542A27" w:rsidRDefault="00D67977" w:rsidP="00D67977">
            <w:pPr>
              <w:keepLines w:val="0"/>
              <w:spacing w:after="0"/>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5DFE36FB" w14:textId="6A4EC84E"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90</w:t>
            </w:r>
          </w:p>
        </w:tc>
        <w:tc>
          <w:tcPr>
            <w:tcW w:w="1040" w:type="dxa"/>
            <w:noWrap/>
            <w:vAlign w:val="center"/>
          </w:tcPr>
          <w:p w14:paraId="7C9020B5" w14:textId="75A5A459"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4043C4AD" w14:textId="5E344292"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02DD03AF" w14:textId="6BB084CD"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OFF</w:t>
            </w:r>
          </w:p>
        </w:tc>
        <w:tc>
          <w:tcPr>
            <w:tcW w:w="658" w:type="dxa"/>
            <w:noWrap/>
            <w:vAlign w:val="bottom"/>
          </w:tcPr>
          <w:p w14:paraId="73E2F416" w14:textId="4E1FEBBD"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r>
      <w:tr w:rsidR="00D67977" w:rsidRPr="00542A27" w14:paraId="473981A5" w14:textId="77777777" w:rsidTr="00D679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6865CAF7" w14:textId="0C3985DB" w:rsidR="00D67977" w:rsidRPr="00542A27" w:rsidRDefault="001A34BC" w:rsidP="00D67977">
            <w:pPr>
              <w:keepLines w:val="0"/>
              <w:spacing w:after="0"/>
              <w:rPr>
                <w:rFonts w:cs="Calibri"/>
                <w:color w:val="FF0000"/>
                <w:sz w:val="16"/>
                <w:szCs w:val="16"/>
                <w:lang w:val="en-US"/>
              </w:rPr>
            </w:pPr>
            <w:r>
              <w:rPr>
                <w:sz w:val="18"/>
                <w:szCs w:val="18"/>
                <w:lang w:val="en-US"/>
              </w:rPr>
              <w:t>&lt;DB_3&gt;</w:t>
            </w:r>
          </w:p>
        </w:tc>
        <w:tc>
          <w:tcPr>
            <w:tcW w:w="1943" w:type="dxa"/>
            <w:noWrap/>
            <w:vAlign w:val="center"/>
          </w:tcPr>
          <w:p w14:paraId="2428511B" w14:textId="28A9B44A" w:rsidR="00D67977" w:rsidRPr="00542A27" w:rsidRDefault="00D67977" w:rsidP="00D67977">
            <w:pPr>
              <w:keepLines w:val="0"/>
              <w:spacing w:after="0"/>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39BC3773" w14:textId="039D0EE2"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100</w:t>
            </w:r>
          </w:p>
        </w:tc>
        <w:tc>
          <w:tcPr>
            <w:tcW w:w="1040" w:type="dxa"/>
            <w:noWrap/>
            <w:vAlign w:val="center"/>
          </w:tcPr>
          <w:p w14:paraId="04A80AED" w14:textId="20286B37"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3DB7D8E6" w14:textId="7CDE4045"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5108CF3D" w14:textId="4A4A37A8"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OFF</w:t>
            </w:r>
          </w:p>
        </w:tc>
        <w:tc>
          <w:tcPr>
            <w:tcW w:w="658" w:type="dxa"/>
            <w:noWrap/>
            <w:vAlign w:val="bottom"/>
          </w:tcPr>
          <w:p w14:paraId="5A032F46" w14:textId="452FD4C5"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r>
      <w:tr w:rsidR="00D67977" w:rsidRPr="00542A27" w14:paraId="0974733B" w14:textId="77777777" w:rsidTr="00D67977">
        <w:trPr>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2C57F2C3" w14:textId="694AD18C" w:rsidR="00D67977" w:rsidRPr="00542A27" w:rsidRDefault="001A34BC" w:rsidP="00D67977">
            <w:pPr>
              <w:keepLines w:val="0"/>
              <w:spacing w:after="0"/>
              <w:rPr>
                <w:rFonts w:cs="Calibri"/>
                <w:color w:val="FF0000"/>
                <w:sz w:val="16"/>
                <w:szCs w:val="16"/>
                <w:lang w:val="en-US"/>
              </w:rPr>
            </w:pPr>
            <w:r>
              <w:rPr>
                <w:sz w:val="18"/>
                <w:szCs w:val="18"/>
                <w:lang w:val="en-US"/>
              </w:rPr>
              <w:t>&lt;DB_4&gt;</w:t>
            </w:r>
          </w:p>
        </w:tc>
        <w:tc>
          <w:tcPr>
            <w:tcW w:w="1943" w:type="dxa"/>
            <w:noWrap/>
            <w:vAlign w:val="center"/>
          </w:tcPr>
          <w:p w14:paraId="4508EFB8" w14:textId="174B62E7" w:rsidR="00D67977" w:rsidRPr="00542A27" w:rsidRDefault="00D67977" w:rsidP="00D67977">
            <w:pPr>
              <w:keepLines w:val="0"/>
              <w:spacing w:after="0"/>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02E13E43" w14:textId="1115D0C8"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90</w:t>
            </w:r>
          </w:p>
        </w:tc>
        <w:tc>
          <w:tcPr>
            <w:tcW w:w="1040" w:type="dxa"/>
            <w:noWrap/>
            <w:vAlign w:val="center"/>
          </w:tcPr>
          <w:p w14:paraId="161E50B5" w14:textId="02DF00A2"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240AE45C" w14:textId="579047A3"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50E7552B" w14:textId="4234A273"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ON</w:t>
            </w:r>
          </w:p>
        </w:tc>
        <w:tc>
          <w:tcPr>
            <w:tcW w:w="658" w:type="dxa"/>
            <w:noWrap/>
            <w:vAlign w:val="bottom"/>
          </w:tcPr>
          <w:p w14:paraId="55BB31DB" w14:textId="224564C0"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Yes</w:t>
            </w:r>
          </w:p>
        </w:tc>
      </w:tr>
      <w:tr w:rsidR="00D67977" w:rsidRPr="00542A27" w14:paraId="7BCB9D01" w14:textId="77777777" w:rsidTr="00D679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4A4C9C86" w14:textId="2330B7E8" w:rsidR="00D67977" w:rsidRPr="00542A27" w:rsidRDefault="001A34BC" w:rsidP="00D67977">
            <w:pPr>
              <w:keepLines w:val="0"/>
              <w:spacing w:after="0"/>
              <w:rPr>
                <w:rFonts w:cs="Calibri"/>
                <w:color w:val="FF0000"/>
                <w:sz w:val="16"/>
                <w:szCs w:val="16"/>
                <w:lang w:val="en-US"/>
              </w:rPr>
            </w:pPr>
            <w:r>
              <w:rPr>
                <w:sz w:val="18"/>
                <w:szCs w:val="18"/>
                <w:lang w:val="en-US"/>
              </w:rPr>
              <w:t>&lt;DB_5&gt;</w:t>
            </w:r>
          </w:p>
        </w:tc>
        <w:tc>
          <w:tcPr>
            <w:tcW w:w="1943" w:type="dxa"/>
            <w:noWrap/>
            <w:vAlign w:val="center"/>
          </w:tcPr>
          <w:p w14:paraId="781D91AD" w14:textId="68AF0DD8" w:rsidR="00D67977" w:rsidRPr="00542A27" w:rsidRDefault="00D67977" w:rsidP="00D67977">
            <w:pPr>
              <w:keepLines w:val="0"/>
              <w:spacing w:after="0"/>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216A8140" w14:textId="52926D5A"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90</w:t>
            </w:r>
          </w:p>
        </w:tc>
        <w:tc>
          <w:tcPr>
            <w:tcW w:w="1040" w:type="dxa"/>
            <w:noWrap/>
            <w:vAlign w:val="center"/>
          </w:tcPr>
          <w:p w14:paraId="0DED4134" w14:textId="20CA16B8"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61EB3045" w14:textId="4DB19357"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16A7B2BE" w14:textId="13613B1F"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ON</w:t>
            </w:r>
          </w:p>
        </w:tc>
        <w:tc>
          <w:tcPr>
            <w:tcW w:w="658" w:type="dxa"/>
            <w:noWrap/>
            <w:vAlign w:val="bottom"/>
          </w:tcPr>
          <w:p w14:paraId="3A80D72D" w14:textId="0AA595BB" w:rsidR="00D67977" w:rsidRPr="00542A27" w:rsidRDefault="00D67977" w:rsidP="00D67977">
            <w:pPr>
              <w:keepLines w:val="0"/>
              <w:spacing w:after="0"/>
              <w:jc w:val="center"/>
              <w:cnfStyle w:val="000000100000" w:firstRow="0" w:lastRow="0" w:firstColumn="0" w:lastColumn="0" w:oddVBand="0" w:evenVBand="0" w:oddHBand="1" w:evenHBand="0" w:firstRowFirstColumn="0" w:firstRowLastColumn="0" w:lastRowFirstColumn="0" w:lastRowLastColumn="0"/>
              <w:rPr>
                <w:rFonts w:cs="Calibri"/>
                <w:color w:val="FF0000"/>
                <w:sz w:val="16"/>
                <w:szCs w:val="16"/>
                <w:lang w:val="en-US"/>
              </w:rPr>
            </w:pPr>
            <w:r w:rsidRPr="00542A27">
              <w:rPr>
                <w:color w:val="000000"/>
                <w:sz w:val="16"/>
                <w:szCs w:val="16"/>
                <w:lang w:val="en-US"/>
              </w:rPr>
              <w:t>Yes</w:t>
            </w:r>
          </w:p>
        </w:tc>
      </w:tr>
      <w:tr w:rsidR="00D67977" w:rsidRPr="00542A27" w14:paraId="265DB287" w14:textId="77777777" w:rsidTr="00D67977">
        <w:trPr>
          <w:trHeight w:val="288"/>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0EC6C1C4" w14:textId="31F05CB9" w:rsidR="00D67977" w:rsidRPr="00542A27" w:rsidRDefault="001A34BC" w:rsidP="00D67977">
            <w:pPr>
              <w:keepLines w:val="0"/>
              <w:spacing w:after="0"/>
              <w:rPr>
                <w:rFonts w:cs="Calibri"/>
                <w:color w:val="FF0000"/>
                <w:sz w:val="16"/>
                <w:szCs w:val="16"/>
                <w:lang w:val="en-US"/>
              </w:rPr>
            </w:pPr>
            <w:r>
              <w:rPr>
                <w:sz w:val="18"/>
                <w:szCs w:val="18"/>
                <w:lang w:val="en-US"/>
              </w:rPr>
              <w:t>&lt;DB_6&gt;</w:t>
            </w:r>
          </w:p>
        </w:tc>
        <w:tc>
          <w:tcPr>
            <w:tcW w:w="1943" w:type="dxa"/>
            <w:noWrap/>
            <w:vAlign w:val="center"/>
          </w:tcPr>
          <w:p w14:paraId="7A04404F" w14:textId="01926A75" w:rsidR="00D67977" w:rsidRPr="00542A27" w:rsidRDefault="00D67977" w:rsidP="00D67977">
            <w:pPr>
              <w:keepLines w:val="0"/>
              <w:spacing w:after="0"/>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proofErr w:type="spellStart"/>
            <w:r w:rsidRPr="00542A27">
              <w:rPr>
                <w:color w:val="000000"/>
                <w:sz w:val="16"/>
                <w:szCs w:val="16"/>
                <w:lang w:val="en-US"/>
              </w:rPr>
              <w:t>sa</w:t>
            </w:r>
            <w:proofErr w:type="spellEnd"/>
          </w:p>
        </w:tc>
        <w:tc>
          <w:tcPr>
            <w:tcW w:w="1040" w:type="dxa"/>
            <w:noWrap/>
            <w:vAlign w:val="center"/>
          </w:tcPr>
          <w:p w14:paraId="10241B2D" w14:textId="5B4CA1AF"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100</w:t>
            </w:r>
          </w:p>
        </w:tc>
        <w:tc>
          <w:tcPr>
            <w:tcW w:w="1040" w:type="dxa"/>
            <w:noWrap/>
            <w:vAlign w:val="center"/>
          </w:tcPr>
          <w:p w14:paraId="54334638" w14:textId="28C0064F"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167" w:type="dxa"/>
            <w:noWrap/>
            <w:vAlign w:val="center"/>
          </w:tcPr>
          <w:p w14:paraId="4E19A703" w14:textId="55AC3C82"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c>
          <w:tcPr>
            <w:tcW w:w="1415" w:type="dxa"/>
            <w:noWrap/>
            <w:vAlign w:val="center"/>
          </w:tcPr>
          <w:p w14:paraId="492901AB" w14:textId="7568DE86"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OFF</w:t>
            </w:r>
          </w:p>
        </w:tc>
        <w:tc>
          <w:tcPr>
            <w:tcW w:w="658" w:type="dxa"/>
            <w:noWrap/>
            <w:vAlign w:val="bottom"/>
          </w:tcPr>
          <w:p w14:paraId="4531E652" w14:textId="1950C557" w:rsidR="00D67977" w:rsidRPr="00542A27" w:rsidRDefault="00D67977" w:rsidP="00D67977">
            <w:pPr>
              <w:keepLines w:val="0"/>
              <w:spacing w:after="0"/>
              <w:jc w:val="center"/>
              <w:cnfStyle w:val="000000000000" w:firstRow="0" w:lastRow="0" w:firstColumn="0" w:lastColumn="0" w:oddVBand="0" w:evenVBand="0" w:oddHBand="0" w:evenHBand="0" w:firstRowFirstColumn="0" w:firstRowLastColumn="0" w:lastRowFirstColumn="0" w:lastRowLastColumn="0"/>
              <w:rPr>
                <w:rFonts w:cs="Calibri"/>
                <w:color w:val="FF0000"/>
                <w:sz w:val="16"/>
                <w:szCs w:val="16"/>
                <w:lang w:val="en-US"/>
              </w:rPr>
            </w:pPr>
            <w:r w:rsidRPr="00542A27">
              <w:rPr>
                <w:color w:val="000000"/>
                <w:sz w:val="16"/>
                <w:szCs w:val="16"/>
                <w:lang w:val="en-US"/>
              </w:rPr>
              <w:t>No</w:t>
            </w:r>
          </w:p>
        </w:tc>
      </w:tr>
    </w:tbl>
    <w:p w14:paraId="76E34759" w14:textId="04DE53AC" w:rsidR="005246E7" w:rsidRPr="00542A27" w:rsidRDefault="00661273" w:rsidP="005246E7">
      <w:pPr>
        <w:pStyle w:val="berschrift4"/>
        <w:rPr>
          <w:lang w:val="en-US"/>
        </w:rPr>
      </w:pPr>
      <w:r w:rsidRPr="00542A27">
        <w:rPr>
          <w:lang w:val="en-US"/>
        </w:rPr>
        <w:lastRenderedPageBreak/>
        <w:t>Owner of databases</w:t>
      </w:r>
    </w:p>
    <w:p w14:paraId="5B50A61F" w14:textId="72FE0019" w:rsidR="005E41A7" w:rsidRPr="00542A27" w:rsidRDefault="001039C0" w:rsidP="002C69DE">
      <w:pPr>
        <w:rPr>
          <w:lang w:val="en-US"/>
        </w:rPr>
      </w:pPr>
      <w:r w:rsidRPr="00542A27">
        <w:rPr>
          <w:lang w:val="en-US"/>
        </w:rPr>
        <w:t>All</w:t>
      </w:r>
      <w:r w:rsidR="00661273" w:rsidRPr="00542A27">
        <w:rPr>
          <w:lang w:val="en-US"/>
        </w:rPr>
        <w:t xml:space="preserve"> the </w:t>
      </w:r>
      <w:r w:rsidR="00D67977" w:rsidRPr="00542A27">
        <w:rPr>
          <w:lang w:val="en-US"/>
        </w:rPr>
        <w:t xml:space="preserve">user </w:t>
      </w:r>
      <w:r w:rsidR="00661273" w:rsidRPr="00542A27">
        <w:rPr>
          <w:lang w:val="en-US"/>
        </w:rPr>
        <w:t>databases have the local [</w:t>
      </w:r>
      <w:proofErr w:type="spellStart"/>
      <w:r w:rsidR="00661273" w:rsidRPr="00542A27">
        <w:rPr>
          <w:lang w:val="en-US"/>
        </w:rPr>
        <w:t>sa</w:t>
      </w:r>
      <w:proofErr w:type="spellEnd"/>
      <w:r w:rsidR="00661273" w:rsidRPr="00542A27">
        <w:rPr>
          <w:lang w:val="en-US"/>
        </w:rPr>
        <w:t xml:space="preserve">] account as an owner. </w:t>
      </w:r>
    </w:p>
    <w:p w14:paraId="331A27D6" w14:textId="007B7CD7" w:rsidR="005246E7" w:rsidRPr="00542A27" w:rsidRDefault="00D67977" w:rsidP="005246E7">
      <w:pPr>
        <w:pStyle w:val="berschrift4"/>
        <w:rPr>
          <w:lang w:val="en-US"/>
        </w:rPr>
      </w:pPr>
      <w:r w:rsidRPr="00542A27">
        <w:rPr>
          <w:lang w:val="en-US"/>
        </w:rPr>
        <w:t>Compatibility level</w:t>
      </w:r>
    </w:p>
    <w:p w14:paraId="24604FBE" w14:textId="0FB4188F" w:rsidR="00B643A4" w:rsidRPr="00542A27" w:rsidRDefault="00D67977" w:rsidP="002C69DE">
      <w:pPr>
        <w:rPr>
          <w:lang w:val="en-US"/>
        </w:rPr>
      </w:pPr>
      <w:r w:rsidRPr="00542A27">
        <w:rPr>
          <w:lang w:val="en-US"/>
        </w:rPr>
        <w:t>None of the databases is running with the compatibility level of Microsoft SQL Server 2012. The marked user databases are running with the compatibility level of Microsoft SQL Server 2005!</w:t>
      </w:r>
    </w:p>
    <w:p w14:paraId="6B0A873F" w14:textId="08384A70" w:rsidR="00D67977" w:rsidRPr="00542A27" w:rsidRDefault="00D67977" w:rsidP="00D67977">
      <w:pPr>
        <w:pStyle w:val="berschrift4"/>
        <w:rPr>
          <w:lang w:val="en-US"/>
        </w:rPr>
      </w:pPr>
      <w:r w:rsidRPr="00542A27">
        <w:rPr>
          <w:lang w:val="en-US"/>
        </w:rPr>
        <w:t>ALLOW_SNAPSHOT_ISOLATION</w:t>
      </w:r>
    </w:p>
    <w:p w14:paraId="06ADC7BA" w14:textId="1BDDCF33" w:rsidR="00D67977" w:rsidRPr="00542A27" w:rsidRDefault="00173986" w:rsidP="00D67977">
      <w:pPr>
        <w:rPr>
          <w:lang w:val="en-US"/>
        </w:rPr>
      </w:pPr>
      <w:r w:rsidRPr="00542A27">
        <w:rPr>
          <w:lang w:val="en-US"/>
        </w:rPr>
        <w:t xml:space="preserve">Snapshot isolation uses an optimistic concurrency model. If a snapshot transaction attempts to commit modifications to data that has changed since the transaction began, the transaction will roll back and an error will be raised. </w:t>
      </w:r>
      <w:r w:rsidR="00D67977" w:rsidRPr="00542A27">
        <w:rPr>
          <w:lang w:val="en-US"/>
        </w:rPr>
        <w:t>Snapshot isolation provides transaction-level read consistency. A data snapshot is taken when the snapshot transaction starts, and remains consistent for the duration of the transaction. Use snapshot isolation when:</w:t>
      </w:r>
    </w:p>
    <w:p w14:paraId="46E031FE" w14:textId="77777777" w:rsidR="00D67977" w:rsidRPr="00542A27" w:rsidRDefault="00D67977" w:rsidP="00D67977">
      <w:pPr>
        <w:pStyle w:val="Aufzhlungszeichen"/>
        <w:rPr>
          <w:lang w:val="en-US"/>
        </w:rPr>
      </w:pPr>
      <w:r w:rsidRPr="00542A27">
        <w:rPr>
          <w:lang w:val="en-US"/>
        </w:rPr>
        <w:t>Optimistic concurrency control is desired.</w:t>
      </w:r>
    </w:p>
    <w:p w14:paraId="5CCB12E5" w14:textId="77777777" w:rsidR="00D67977" w:rsidRPr="00542A27" w:rsidRDefault="00D67977" w:rsidP="00D67977">
      <w:pPr>
        <w:pStyle w:val="Aufzhlungszeichen"/>
        <w:rPr>
          <w:lang w:val="en-US"/>
        </w:rPr>
      </w:pPr>
      <w:r w:rsidRPr="00542A27">
        <w:rPr>
          <w:lang w:val="en-US"/>
        </w:rPr>
        <w:t>Probability is low that a transaction would have to be rolled back because of an update conflict.</w:t>
      </w:r>
    </w:p>
    <w:p w14:paraId="02887EAA" w14:textId="75A0B687" w:rsidR="00D67977" w:rsidRPr="00542A27" w:rsidRDefault="00D67977" w:rsidP="00D67977">
      <w:pPr>
        <w:pStyle w:val="Aufzhlungszeichen"/>
        <w:rPr>
          <w:lang w:val="en-US"/>
        </w:rPr>
      </w:pPr>
      <w:r w:rsidRPr="00542A27">
        <w:rPr>
          <w:lang w:val="en-US"/>
        </w:rPr>
        <w:t>An application needs to generate reports based on long-running, multi-statement queries that must have point-in-time consistency. Snapshot isolation provides the benefit of repeatable reads (see Concurrency Effects) without using shared locks. Database snapshot can provide similar functionality but must be implemented manually. Snapshot isolation automatically provides the latest information in the database for each snapshot isolation transaction.</w:t>
      </w:r>
    </w:p>
    <w:p w14:paraId="12A92A47" w14:textId="3B683FA7" w:rsidR="00D67977" w:rsidRPr="00542A27" w:rsidRDefault="00A17D98" w:rsidP="00D67977">
      <w:pPr>
        <w:rPr>
          <w:lang w:val="en-US"/>
        </w:rPr>
      </w:pPr>
      <w:r w:rsidRPr="00542A27">
        <w:rPr>
          <w:lang w:val="en-US"/>
        </w:rPr>
        <w:t xml:space="preserve">The option ALLOW_SNAPSHOT_ISOLATION is a MANUAL row versioning system which requires </w:t>
      </w:r>
      <w:r w:rsidR="00473A4A" w:rsidRPr="00542A27">
        <w:rPr>
          <w:lang w:val="en-US"/>
        </w:rPr>
        <w:t>a dedicated switch by using “SET TRANSACTION LEVEL SNAPSHO”. If the application is not using it, it can be deactivated!</w:t>
      </w:r>
    </w:p>
    <w:p w14:paraId="301556AE" w14:textId="22B7B042" w:rsidR="00473A4A" w:rsidRPr="00542A27" w:rsidRDefault="00473A4A" w:rsidP="00473A4A">
      <w:pPr>
        <w:pStyle w:val="berschrift4"/>
        <w:rPr>
          <w:lang w:val="en-US"/>
        </w:rPr>
      </w:pPr>
      <w:r w:rsidRPr="00542A27">
        <w:rPr>
          <w:lang w:val="en-US"/>
        </w:rPr>
        <w:t>READ_COMMITTED_SNAPSHOT_ISOLATION</w:t>
      </w:r>
    </w:p>
    <w:p w14:paraId="0BF1263A" w14:textId="20F89565" w:rsidR="00173986" w:rsidRPr="00542A27" w:rsidRDefault="00173986" w:rsidP="00173986">
      <w:pPr>
        <w:rPr>
          <w:lang w:val="en-US"/>
        </w:rPr>
      </w:pPr>
      <w:r w:rsidRPr="00542A27">
        <w:rPr>
          <w:lang w:val="en-US"/>
        </w:rPr>
        <w:t xml:space="preserve">The READ_COMMITTED_SNAPSHOT database option determines the behavior of the default READ COMMITTED isolation level when snapshot isolation is enabled in a database. If not explicitly specified, READ COMMITTED is applied to all implicit transactions. When READ_COMMITTED_SNAPSHOT database option is set to ON, the database engine uses row versioning and snapshot isolation </w:t>
      </w:r>
      <w:r w:rsidRPr="00542A27">
        <w:rPr>
          <w:b/>
          <w:lang w:val="en-US"/>
        </w:rPr>
        <w:t>as the default</w:t>
      </w:r>
      <w:r w:rsidRPr="00542A27">
        <w:rPr>
          <w:lang w:val="en-US"/>
        </w:rPr>
        <w:t>, instead of using locks to protect the data.</w:t>
      </w:r>
    </w:p>
    <w:p w14:paraId="64C5113B" w14:textId="77777777" w:rsidR="00173986" w:rsidRPr="00542A27" w:rsidRDefault="00173986" w:rsidP="00173986">
      <w:pPr>
        <w:rPr>
          <w:lang w:val="en-US"/>
        </w:rPr>
      </w:pPr>
      <w:r w:rsidRPr="00542A27">
        <w:rPr>
          <w:lang w:val="en-US"/>
        </w:rPr>
        <w:t xml:space="preserve">Once snapshot isolation is enabled, updated row versions for each transaction are maintained in </w:t>
      </w:r>
      <w:r w:rsidRPr="00542A27">
        <w:rPr>
          <w:b/>
          <w:lang w:val="en-US"/>
        </w:rPr>
        <w:t>tempdb</w:t>
      </w:r>
      <w:r w:rsidRPr="00542A27">
        <w:rPr>
          <w:lang w:val="en-US"/>
        </w:rPr>
        <w:t>. A unique transaction sequence number identifies each transaction, and these unique numbers are recorded for each row version. The transaction works with the most recent row versions having a sequence number before the sequence number of the transaction. Newer row versions created after the transaction has begun are ignored by the transaction.</w:t>
      </w:r>
    </w:p>
    <w:p w14:paraId="13681A7D" w14:textId="40FB3068" w:rsidR="0041604E" w:rsidRPr="00542A27" w:rsidRDefault="002967E1" w:rsidP="0041604E">
      <w:pPr>
        <w:pStyle w:val="berschrift1"/>
        <w:rPr>
          <w:lang w:val="en-US"/>
        </w:rPr>
      </w:pPr>
      <w:bookmarkStart w:id="38" w:name="_Toc497821332"/>
      <w:bookmarkEnd w:id="31"/>
      <w:r w:rsidRPr="00542A27">
        <w:rPr>
          <w:lang w:val="en-US"/>
        </w:rPr>
        <w:t>Recommendation</w:t>
      </w:r>
      <w:bookmarkEnd w:id="38"/>
    </w:p>
    <w:p w14:paraId="43C95ECA" w14:textId="3726B0F3" w:rsidR="00A87328" w:rsidRPr="00542A27" w:rsidRDefault="002967E1" w:rsidP="00A87328">
      <w:pPr>
        <w:pStyle w:val="berschrift2"/>
        <w:rPr>
          <w:lang w:val="en-US"/>
        </w:rPr>
      </w:pPr>
      <w:bookmarkStart w:id="39" w:name="_Toc497821333"/>
      <w:r w:rsidRPr="00542A27">
        <w:rPr>
          <w:lang w:val="en-US"/>
        </w:rPr>
        <w:t xml:space="preserve">Activation of default </w:t>
      </w:r>
      <w:bookmarkEnd w:id="39"/>
      <w:r w:rsidR="001B642F" w:rsidRPr="00542A27">
        <w:rPr>
          <w:lang w:val="en-US"/>
        </w:rPr>
        <w:t>Trace flags</w:t>
      </w:r>
    </w:p>
    <w:p w14:paraId="1F4639C3" w14:textId="34AEDA11" w:rsidR="00A87328" w:rsidRPr="00542A27" w:rsidRDefault="002967E1" w:rsidP="00A87328">
      <w:pPr>
        <w:rPr>
          <w:lang w:val="en-US"/>
        </w:rPr>
      </w:pPr>
      <w:r w:rsidRPr="00542A27">
        <w:rPr>
          <w:lang w:val="en-US"/>
        </w:rPr>
        <w:t>The following trace flags should be implemented as a standard to the UAT and PROD environment:</w:t>
      </w:r>
    </w:p>
    <w:tbl>
      <w:tblPr>
        <w:tblStyle w:val="EinfacheTabelle4"/>
        <w:tblW w:w="0" w:type="auto"/>
        <w:tblLook w:val="04A0" w:firstRow="1" w:lastRow="0" w:firstColumn="1" w:lastColumn="0" w:noHBand="0" w:noVBand="1"/>
      </w:tblPr>
      <w:tblGrid>
        <w:gridCol w:w="1134"/>
        <w:gridCol w:w="7928"/>
      </w:tblGrid>
      <w:tr w:rsidR="00A87328" w:rsidRPr="00542A27" w14:paraId="1A002EB1" w14:textId="77777777" w:rsidTr="007450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4" w:type="dxa"/>
          </w:tcPr>
          <w:p w14:paraId="6422A12A" w14:textId="60566B3D" w:rsidR="00A87328" w:rsidRPr="00542A27" w:rsidRDefault="001B642F" w:rsidP="0074503D">
            <w:pPr>
              <w:rPr>
                <w:lang w:val="en-US"/>
              </w:rPr>
            </w:pPr>
            <w:r w:rsidRPr="00542A27">
              <w:rPr>
                <w:lang w:val="en-US"/>
              </w:rPr>
              <w:t>Trace flag</w:t>
            </w:r>
          </w:p>
        </w:tc>
        <w:tc>
          <w:tcPr>
            <w:tcW w:w="7928" w:type="dxa"/>
          </w:tcPr>
          <w:p w14:paraId="1F8DB25C" w14:textId="7D23C8D2" w:rsidR="00A87328" w:rsidRPr="00542A27" w:rsidRDefault="001B642F" w:rsidP="0074503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87328" w:rsidRPr="005E374F" w14:paraId="7B3218D8" w14:textId="77777777" w:rsidTr="0074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40C09C8" w14:textId="77777777" w:rsidR="00A87328" w:rsidRPr="00542A27" w:rsidRDefault="00A87328" w:rsidP="0074503D">
            <w:pPr>
              <w:rPr>
                <w:lang w:val="en-US"/>
              </w:rPr>
            </w:pPr>
            <w:r w:rsidRPr="00542A27">
              <w:rPr>
                <w:lang w:val="en-US"/>
              </w:rPr>
              <w:t>1117</w:t>
            </w:r>
          </w:p>
        </w:tc>
        <w:tc>
          <w:tcPr>
            <w:tcW w:w="7928" w:type="dxa"/>
          </w:tcPr>
          <w:p w14:paraId="063599C1" w14:textId="77777777" w:rsidR="005B297D" w:rsidRPr="00542A27" w:rsidRDefault="005B297D" w:rsidP="005B297D">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When a file in the file group meets the auto grow threshold, all files in the file group grow.</w:t>
            </w:r>
          </w:p>
          <w:p w14:paraId="2524432F" w14:textId="77777777" w:rsidR="00A87328" w:rsidRPr="00542A27" w:rsidRDefault="0005674D" w:rsidP="0074503D">
            <w:pPr>
              <w:cnfStyle w:val="000000100000" w:firstRow="0" w:lastRow="0" w:firstColumn="0" w:lastColumn="0" w:oddVBand="0" w:evenVBand="0" w:oddHBand="1" w:evenHBand="0" w:firstRowFirstColumn="0" w:firstRowLastColumn="0" w:lastRowFirstColumn="0" w:lastRowLastColumn="0"/>
              <w:rPr>
                <w:lang w:val="en-US"/>
              </w:rPr>
            </w:pPr>
            <w:hyperlink r:id="rId16" w:history="1">
              <w:r w:rsidR="00A87328" w:rsidRPr="00542A27">
                <w:rPr>
                  <w:rStyle w:val="Hyperlink"/>
                  <w:lang w:val="en-US"/>
                </w:rPr>
                <w:t>https://msdn.microsoft.com/en-us/library/ms188396.aspx</w:t>
              </w:r>
            </w:hyperlink>
          </w:p>
        </w:tc>
      </w:tr>
      <w:tr w:rsidR="00A87328" w:rsidRPr="005E374F" w14:paraId="0B3579D5" w14:textId="77777777" w:rsidTr="0074503D">
        <w:tc>
          <w:tcPr>
            <w:cnfStyle w:val="001000000000" w:firstRow="0" w:lastRow="0" w:firstColumn="1" w:lastColumn="0" w:oddVBand="0" w:evenVBand="0" w:oddHBand="0" w:evenHBand="0" w:firstRowFirstColumn="0" w:firstRowLastColumn="0" w:lastRowFirstColumn="0" w:lastRowLastColumn="0"/>
            <w:tcW w:w="1134" w:type="dxa"/>
          </w:tcPr>
          <w:p w14:paraId="4BF00E34" w14:textId="77777777" w:rsidR="00A87328" w:rsidRPr="00542A27" w:rsidRDefault="00A87328" w:rsidP="0074503D">
            <w:pPr>
              <w:rPr>
                <w:lang w:val="en-US"/>
              </w:rPr>
            </w:pPr>
            <w:r w:rsidRPr="00542A27">
              <w:rPr>
                <w:lang w:val="en-US"/>
              </w:rPr>
              <w:t>1118</w:t>
            </w:r>
          </w:p>
        </w:tc>
        <w:tc>
          <w:tcPr>
            <w:tcW w:w="7928" w:type="dxa"/>
          </w:tcPr>
          <w:p w14:paraId="535DC4EB" w14:textId="693D2C11" w:rsidR="00A87328" w:rsidRPr="00542A27" w:rsidRDefault="005B297D" w:rsidP="0074503D">
            <w:pPr>
              <w:cnfStyle w:val="000000000000" w:firstRow="0" w:lastRow="0" w:firstColumn="0" w:lastColumn="0" w:oddVBand="0" w:evenVBand="0" w:oddHBand="0" w:evenHBand="0" w:firstRowFirstColumn="0" w:firstRowLastColumn="0" w:lastRowFirstColumn="0" w:lastRowLastColumn="0"/>
              <w:rPr>
                <w:lang w:val="en-US"/>
              </w:rPr>
            </w:pPr>
            <w:r w:rsidRPr="00542A27">
              <w:rPr>
                <w:lang w:val="en-US"/>
              </w:rPr>
              <w:t>Removes most single page allocations on the server, reducing contention on the SGAM page.</w:t>
            </w:r>
          </w:p>
          <w:p w14:paraId="4F585804" w14:textId="77777777" w:rsidR="00A87328" w:rsidRPr="00542A27" w:rsidRDefault="0005674D" w:rsidP="0074503D">
            <w:pPr>
              <w:cnfStyle w:val="000000000000" w:firstRow="0" w:lastRow="0" w:firstColumn="0" w:lastColumn="0" w:oddVBand="0" w:evenVBand="0" w:oddHBand="0" w:evenHBand="0" w:firstRowFirstColumn="0" w:firstRowLastColumn="0" w:lastRowFirstColumn="0" w:lastRowLastColumn="0"/>
              <w:rPr>
                <w:lang w:val="en-US"/>
              </w:rPr>
            </w:pPr>
            <w:hyperlink r:id="rId17" w:history="1">
              <w:r w:rsidR="00A87328" w:rsidRPr="00542A27">
                <w:rPr>
                  <w:rStyle w:val="Hyperlink"/>
                  <w:lang w:val="en-US"/>
                </w:rPr>
                <w:t>https://msdn.microsoft.com/en-us/library/ms188396.aspx</w:t>
              </w:r>
            </w:hyperlink>
          </w:p>
        </w:tc>
      </w:tr>
      <w:tr w:rsidR="00A87328" w:rsidRPr="005E374F" w14:paraId="61DF4983" w14:textId="77777777" w:rsidTr="0074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D8F94D5" w14:textId="77777777" w:rsidR="00A87328" w:rsidRPr="00542A27" w:rsidRDefault="00A87328" w:rsidP="0074503D">
            <w:pPr>
              <w:rPr>
                <w:lang w:val="en-US"/>
              </w:rPr>
            </w:pPr>
            <w:r w:rsidRPr="00542A27">
              <w:rPr>
                <w:lang w:val="en-US"/>
              </w:rPr>
              <w:t>2371</w:t>
            </w:r>
          </w:p>
        </w:tc>
        <w:tc>
          <w:tcPr>
            <w:tcW w:w="7928" w:type="dxa"/>
          </w:tcPr>
          <w:p w14:paraId="284D688D" w14:textId="302F983A" w:rsidR="00A87328" w:rsidRPr="00542A27" w:rsidRDefault="0077413D" w:rsidP="0074503D">
            <w:pPr>
              <w:cnfStyle w:val="000000100000" w:firstRow="0" w:lastRow="0" w:firstColumn="0" w:lastColumn="0" w:oddVBand="0" w:evenVBand="0" w:oddHBand="1" w:evenHBand="0" w:firstRowFirstColumn="0" w:firstRowLastColumn="0" w:lastRowFirstColumn="0" w:lastRowLastColumn="0"/>
              <w:rPr>
                <w:lang w:val="en-US"/>
              </w:rPr>
            </w:pPr>
            <w:r w:rsidRPr="00542A27">
              <w:rPr>
                <w:lang w:val="en-US"/>
              </w:rPr>
              <w:t>Changes the fixed auto update statistics threshold to dynamic auto update statistics threshold.</w:t>
            </w:r>
          </w:p>
          <w:p w14:paraId="3CB0B367" w14:textId="77777777" w:rsidR="00A87328" w:rsidRPr="00542A27" w:rsidRDefault="0005674D" w:rsidP="0074503D">
            <w:pPr>
              <w:cnfStyle w:val="000000100000" w:firstRow="0" w:lastRow="0" w:firstColumn="0" w:lastColumn="0" w:oddVBand="0" w:evenVBand="0" w:oddHBand="1" w:evenHBand="0" w:firstRowFirstColumn="0" w:firstRowLastColumn="0" w:lastRowFirstColumn="0" w:lastRowLastColumn="0"/>
              <w:rPr>
                <w:lang w:val="en-US"/>
              </w:rPr>
            </w:pPr>
            <w:hyperlink r:id="rId18" w:history="1">
              <w:r w:rsidR="00A87328" w:rsidRPr="00542A27">
                <w:rPr>
                  <w:rStyle w:val="Hyperlink"/>
                  <w:lang w:val="en-US"/>
                </w:rPr>
                <w:t>https://support.microsoft.com/en-us/kb/2754171</w:t>
              </w:r>
            </w:hyperlink>
          </w:p>
        </w:tc>
      </w:tr>
    </w:tbl>
    <w:p w14:paraId="2FAE79BC" w14:textId="267F3532" w:rsidR="00891169" w:rsidRPr="00542A27" w:rsidRDefault="00891169" w:rsidP="00385D03">
      <w:pPr>
        <w:pStyle w:val="berschrift2"/>
        <w:rPr>
          <w:lang w:val="en-US"/>
        </w:rPr>
      </w:pPr>
      <w:bookmarkStart w:id="40" w:name="_Toc497821334"/>
      <w:r w:rsidRPr="00542A27">
        <w:rPr>
          <w:lang w:val="en-US"/>
        </w:rPr>
        <w:t>Configuration of TEMPDB</w:t>
      </w:r>
    </w:p>
    <w:p w14:paraId="3E5A3A66" w14:textId="32947BB8" w:rsidR="00891169" w:rsidRPr="00542A27" w:rsidRDefault="00AF260B" w:rsidP="00891169">
      <w:pPr>
        <w:rPr>
          <w:lang w:val="en-US"/>
        </w:rPr>
      </w:pPr>
      <w:r w:rsidRPr="00542A27">
        <w:rPr>
          <w:lang w:val="en-US"/>
        </w:rPr>
        <w:t xml:space="preserve">All files of the system database TEMPDB should have the same initial size to avoid a „hotspot </w:t>
      </w:r>
      <w:proofErr w:type="gramStart"/>
      <w:r w:rsidRPr="00542A27">
        <w:rPr>
          <w:lang w:val="en-US"/>
        </w:rPr>
        <w:t>contention“</w:t>
      </w:r>
      <w:proofErr w:type="gramEnd"/>
      <w:r w:rsidRPr="00542A27">
        <w:rPr>
          <w:lang w:val="en-US"/>
        </w:rPr>
        <w:t xml:space="preserve">. All database files should be resized to an initial size of 512 MB to avoid </w:t>
      </w:r>
      <w:r w:rsidR="004853ED" w:rsidRPr="00542A27">
        <w:rPr>
          <w:lang w:val="en-US"/>
        </w:rPr>
        <w:t>auto growth</w:t>
      </w:r>
      <w:r w:rsidRPr="00542A27">
        <w:rPr>
          <w:lang w:val="en-US"/>
        </w:rPr>
        <w:t>.</w:t>
      </w:r>
    </w:p>
    <w:p w14:paraId="53AB7FDE" w14:textId="77777777" w:rsidR="00385D03" w:rsidRPr="00542A27" w:rsidRDefault="00385D03" w:rsidP="00385D03">
      <w:pPr>
        <w:pStyle w:val="berschrift2"/>
        <w:rPr>
          <w:lang w:val="en-US"/>
        </w:rPr>
      </w:pPr>
      <w:r w:rsidRPr="00542A27">
        <w:rPr>
          <w:lang w:val="en-US"/>
        </w:rPr>
        <w:lastRenderedPageBreak/>
        <w:t>Cost Threshold for Parallelism</w:t>
      </w:r>
      <w:bookmarkEnd w:id="40"/>
    </w:p>
    <w:p w14:paraId="75553E56" w14:textId="65964F5E" w:rsidR="00385D03" w:rsidRPr="00542A27" w:rsidRDefault="001B3D4E" w:rsidP="00385D03">
      <w:pPr>
        <w:rPr>
          <w:lang w:val="en-US"/>
        </w:rPr>
      </w:pPr>
      <w:r w:rsidRPr="00542A27">
        <w:rPr>
          <w:lang w:val="en-US"/>
        </w:rPr>
        <w:t>The values for the cost threshold for parallelism are outdated and from the early 90th of the last century. It is strongly recommended to change the value for a typical OLTP workload to a value of 25. For a DWH workload it should be set to 50!</w:t>
      </w:r>
    </w:p>
    <w:p w14:paraId="62456F83"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EXEC</w:t>
      </w:r>
      <w:r w:rsidRPr="00542A27">
        <w:rPr>
          <w:rFonts w:ascii="Consolas" w:hAnsi="Consolas" w:cs="Consolas"/>
          <w:color w:val="000000"/>
          <w:sz w:val="19"/>
          <w:szCs w:val="19"/>
          <w:highlight w:val="white"/>
          <w:lang w:val="en-US"/>
        </w:rPr>
        <w:t xml:space="preserve"> </w:t>
      </w:r>
      <w:proofErr w:type="spellStart"/>
      <w:r w:rsidRPr="00542A27">
        <w:rPr>
          <w:rFonts w:ascii="Consolas" w:hAnsi="Consolas" w:cs="Consolas"/>
          <w:color w:val="800000"/>
          <w:sz w:val="19"/>
          <w:szCs w:val="19"/>
          <w:highlight w:val="white"/>
          <w:lang w:val="en-US"/>
        </w:rPr>
        <w:t>sp_configure</w:t>
      </w:r>
      <w:proofErr w:type="spellEnd"/>
      <w:r w:rsidRPr="00542A27">
        <w:rPr>
          <w:rFonts w:ascii="Consolas" w:hAnsi="Consolas" w:cs="Consolas"/>
          <w:color w:val="0000FF"/>
          <w:sz w:val="19"/>
          <w:szCs w:val="19"/>
          <w:highlight w:val="white"/>
          <w:lang w:val="en-US"/>
        </w:rPr>
        <w:t xml:space="preserve"> </w:t>
      </w:r>
      <w:proofErr w:type="spellStart"/>
      <w:r w:rsidRPr="00542A27">
        <w:rPr>
          <w:rFonts w:ascii="Consolas" w:hAnsi="Consolas" w:cs="Consolas"/>
          <w:color w:val="FF0000"/>
          <w:sz w:val="19"/>
          <w:szCs w:val="19"/>
          <w:highlight w:val="white"/>
          <w:lang w:val="en-US"/>
        </w:rPr>
        <w:t>N'show</w:t>
      </w:r>
      <w:proofErr w:type="spellEnd"/>
      <w:r w:rsidRPr="00542A27">
        <w:rPr>
          <w:rFonts w:ascii="Consolas" w:hAnsi="Consolas" w:cs="Consolas"/>
          <w:color w:val="FF0000"/>
          <w:sz w:val="19"/>
          <w:szCs w:val="19"/>
          <w:highlight w:val="white"/>
          <w:lang w:val="en-US"/>
        </w:rPr>
        <w:t xml:space="preserve"> advanced options'</w:t>
      </w:r>
      <w:r w:rsidRPr="00542A27">
        <w:rPr>
          <w:rFonts w:ascii="Consolas" w:hAnsi="Consolas" w:cs="Consolas"/>
          <w:color w:val="808080"/>
          <w:sz w:val="19"/>
          <w:szCs w:val="19"/>
          <w:highlight w:val="white"/>
          <w:lang w:val="en-US"/>
        </w:rPr>
        <w:t>,</w:t>
      </w:r>
      <w:r w:rsidRPr="00542A27">
        <w:rPr>
          <w:rFonts w:ascii="Consolas" w:hAnsi="Consolas" w:cs="Consolas"/>
          <w:color w:val="000000"/>
          <w:sz w:val="19"/>
          <w:szCs w:val="19"/>
          <w:highlight w:val="white"/>
          <w:lang w:val="en-US"/>
        </w:rPr>
        <w:t xml:space="preserve"> 1</w:t>
      </w:r>
      <w:r w:rsidRPr="00542A27">
        <w:rPr>
          <w:rFonts w:ascii="Consolas" w:hAnsi="Consolas" w:cs="Consolas"/>
          <w:color w:val="808080"/>
          <w:sz w:val="19"/>
          <w:szCs w:val="19"/>
          <w:highlight w:val="white"/>
          <w:lang w:val="en-US"/>
        </w:rPr>
        <w:t>;</w:t>
      </w:r>
    </w:p>
    <w:p w14:paraId="1CD3E19D"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RECONFIGURE</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WITH</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OVERRIDE</w:t>
      </w:r>
      <w:r w:rsidRPr="00542A27">
        <w:rPr>
          <w:rFonts w:ascii="Consolas" w:hAnsi="Consolas" w:cs="Consolas"/>
          <w:color w:val="808080"/>
          <w:sz w:val="19"/>
          <w:szCs w:val="19"/>
          <w:highlight w:val="white"/>
          <w:lang w:val="en-US"/>
        </w:rPr>
        <w:t>;</w:t>
      </w:r>
    </w:p>
    <w:p w14:paraId="07830287"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GO</w:t>
      </w:r>
    </w:p>
    <w:p w14:paraId="4804BB40"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p>
    <w:p w14:paraId="789067A7"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EXEC</w:t>
      </w:r>
      <w:r w:rsidRPr="00542A27">
        <w:rPr>
          <w:rFonts w:ascii="Consolas" w:hAnsi="Consolas" w:cs="Consolas"/>
          <w:color w:val="000000"/>
          <w:sz w:val="19"/>
          <w:szCs w:val="19"/>
          <w:highlight w:val="white"/>
          <w:lang w:val="en-US"/>
        </w:rPr>
        <w:t xml:space="preserve"> </w:t>
      </w:r>
      <w:proofErr w:type="spellStart"/>
      <w:r w:rsidRPr="00542A27">
        <w:rPr>
          <w:rFonts w:ascii="Consolas" w:hAnsi="Consolas" w:cs="Consolas"/>
          <w:color w:val="800000"/>
          <w:sz w:val="19"/>
          <w:szCs w:val="19"/>
          <w:highlight w:val="white"/>
          <w:lang w:val="en-US"/>
        </w:rPr>
        <w:t>sp_configure</w:t>
      </w:r>
      <w:proofErr w:type="spellEnd"/>
      <w:r w:rsidRPr="00542A27">
        <w:rPr>
          <w:rFonts w:ascii="Consolas" w:hAnsi="Consolas" w:cs="Consolas"/>
          <w:color w:val="0000FF"/>
          <w:sz w:val="19"/>
          <w:szCs w:val="19"/>
          <w:highlight w:val="white"/>
          <w:lang w:val="en-US"/>
        </w:rPr>
        <w:t xml:space="preserve"> </w:t>
      </w:r>
      <w:proofErr w:type="spellStart"/>
      <w:r w:rsidRPr="00542A27">
        <w:rPr>
          <w:rFonts w:ascii="Consolas" w:hAnsi="Consolas" w:cs="Consolas"/>
          <w:color w:val="FF0000"/>
          <w:sz w:val="19"/>
          <w:szCs w:val="19"/>
          <w:highlight w:val="white"/>
          <w:lang w:val="en-US"/>
        </w:rPr>
        <w:t>N'cost</w:t>
      </w:r>
      <w:proofErr w:type="spellEnd"/>
      <w:r w:rsidRPr="00542A27">
        <w:rPr>
          <w:rFonts w:ascii="Consolas" w:hAnsi="Consolas" w:cs="Consolas"/>
          <w:color w:val="FF0000"/>
          <w:sz w:val="19"/>
          <w:szCs w:val="19"/>
          <w:highlight w:val="white"/>
          <w:lang w:val="en-US"/>
        </w:rPr>
        <w:t xml:space="preserve"> threshold for parallelism'</w:t>
      </w:r>
      <w:r w:rsidRPr="00542A27">
        <w:rPr>
          <w:rFonts w:ascii="Consolas" w:hAnsi="Consolas" w:cs="Consolas"/>
          <w:color w:val="808080"/>
          <w:sz w:val="19"/>
          <w:szCs w:val="19"/>
          <w:highlight w:val="white"/>
          <w:lang w:val="en-US"/>
        </w:rPr>
        <w:t>,</w:t>
      </w:r>
      <w:r w:rsidRPr="00542A27">
        <w:rPr>
          <w:rFonts w:ascii="Consolas" w:hAnsi="Consolas" w:cs="Consolas"/>
          <w:color w:val="000000"/>
          <w:sz w:val="19"/>
          <w:szCs w:val="19"/>
          <w:highlight w:val="white"/>
          <w:lang w:val="en-US"/>
        </w:rPr>
        <w:t xml:space="preserve"> 25</w:t>
      </w:r>
      <w:r w:rsidRPr="00542A27">
        <w:rPr>
          <w:rFonts w:ascii="Consolas" w:hAnsi="Consolas" w:cs="Consolas"/>
          <w:color w:val="808080"/>
          <w:sz w:val="19"/>
          <w:szCs w:val="19"/>
          <w:highlight w:val="white"/>
          <w:lang w:val="en-US"/>
        </w:rPr>
        <w:t>;</w:t>
      </w:r>
    </w:p>
    <w:p w14:paraId="56E576F7"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RECONFIGURE</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WITH</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OVERRIDE</w:t>
      </w:r>
      <w:r w:rsidRPr="00542A27">
        <w:rPr>
          <w:rFonts w:ascii="Consolas" w:hAnsi="Consolas" w:cs="Consolas"/>
          <w:color w:val="808080"/>
          <w:sz w:val="19"/>
          <w:szCs w:val="19"/>
          <w:highlight w:val="white"/>
          <w:lang w:val="en-US"/>
        </w:rPr>
        <w:t>;</w:t>
      </w:r>
    </w:p>
    <w:p w14:paraId="3C11C0F7" w14:textId="77777777" w:rsidR="00385D03" w:rsidRPr="00542A27" w:rsidRDefault="00385D03" w:rsidP="00385D03">
      <w:pPr>
        <w:rPr>
          <w:lang w:val="en-US"/>
        </w:rPr>
      </w:pPr>
      <w:r w:rsidRPr="00542A27">
        <w:rPr>
          <w:rFonts w:ascii="Consolas" w:hAnsi="Consolas" w:cs="Consolas"/>
          <w:color w:val="0000FF"/>
          <w:sz w:val="19"/>
          <w:szCs w:val="19"/>
          <w:highlight w:val="white"/>
          <w:lang w:val="en-US"/>
        </w:rPr>
        <w:t>GO</w:t>
      </w:r>
    </w:p>
    <w:p w14:paraId="526FC8FA" w14:textId="6C070515" w:rsidR="001B3D4E" w:rsidRPr="00542A27" w:rsidRDefault="001B3D4E" w:rsidP="00385D03">
      <w:pPr>
        <w:pStyle w:val="berschrift2"/>
        <w:rPr>
          <w:lang w:val="en-US"/>
        </w:rPr>
      </w:pPr>
      <w:bookmarkStart w:id="41" w:name="_Toc497821335"/>
      <w:r w:rsidRPr="00542A27">
        <w:rPr>
          <w:lang w:val="en-US"/>
        </w:rPr>
        <w:t>NUMA Nodes</w:t>
      </w:r>
    </w:p>
    <w:p w14:paraId="257DF404" w14:textId="17BA5A27" w:rsidR="001B3D4E" w:rsidRPr="00542A27" w:rsidRDefault="001B3D4E" w:rsidP="001B3D4E">
      <w:pPr>
        <w:rPr>
          <w:lang w:val="en-US"/>
        </w:rPr>
      </w:pPr>
      <w:r w:rsidRPr="00542A27">
        <w:rPr>
          <w:lang w:val="en-US"/>
        </w:rPr>
        <w:t xml:space="preserve">The system is wrong configured with the given setup of NUMA nodes. Microsoft SQL Server is working with 8 (!) NUMA nodes and 64 GB of RAM. The NUMA should be configured to 2 NUMA with 8 </w:t>
      </w:r>
      <w:proofErr w:type="spellStart"/>
      <w:r w:rsidRPr="00542A27">
        <w:rPr>
          <w:lang w:val="en-US"/>
        </w:rPr>
        <w:t>vCores</w:t>
      </w:r>
      <w:proofErr w:type="spellEnd"/>
      <w:r w:rsidRPr="00542A27">
        <w:rPr>
          <w:lang w:val="en-US"/>
        </w:rPr>
        <w:t xml:space="preserve"> for each NUMA node</w:t>
      </w:r>
    </w:p>
    <w:p w14:paraId="0A43C78F" w14:textId="55D6D2CD" w:rsidR="00385D03" w:rsidRPr="00542A27" w:rsidRDefault="00385D03" w:rsidP="00385D03">
      <w:pPr>
        <w:pStyle w:val="berschrift2"/>
        <w:rPr>
          <w:lang w:val="en-US"/>
        </w:rPr>
      </w:pPr>
      <w:r w:rsidRPr="00542A27">
        <w:rPr>
          <w:lang w:val="en-US"/>
        </w:rPr>
        <w:t>Max Degree of Parallelism</w:t>
      </w:r>
      <w:bookmarkEnd w:id="41"/>
    </w:p>
    <w:p w14:paraId="1C9A18AF" w14:textId="6B1B5FBA" w:rsidR="00385D03" w:rsidRPr="00542A27" w:rsidRDefault="001B3D4E" w:rsidP="00385D03">
      <w:pPr>
        <w:rPr>
          <w:lang w:val="en-US"/>
        </w:rPr>
      </w:pPr>
      <w:r w:rsidRPr="00542A27">
        <w:rPr>
          <w:lang w:val="en-US"/>
        </w:rPr>
        <w:t xml:space="preserve">The MAXDOP (max degree of parallelism) slows down the system because every query which runs in parallel consumes all 16 </w:t>
      </w:r>
      <w:proofErr w:type="spellStart"/>
      <w:r w:rsidRPr="00542A27">
        <w:rPr>
          <w:lang w:val="en-US"/>
        </w:rPr>
        <w:t>vCores</w:t>
      </w:r>
      <w:proofErr w:type="spellEnd"/>
      <w:r w:rsidRPr="00542A27">
        <w:rPr>
          <w:lang w:val="en-US"/>
        </w:rPr>
        <w:t xml:space="preserve">. When NUMA is configured correct the MAXDOP should be set to 4 </w:t>
      </w:r>
      <w:proofErr w:type="spellStart"/>
      <w:r w:rsidRPr="00542A27">
        <w:rPr>
          <w:lang w:val="en-US"/>
        </w:rPr>
        <w:t>vCores</w:t>
      </w:r>
      <w:proofErr w:type="spellEnd"/>
      <w:r w:rsidRPr="00542A27">
        <w:rPr>
          <w:lang w:val="en-US"/>
        </w:rPr>
        <w:t xml:space="preserve"> for each parallel query. </w:t>
      </w:r>
      <w:r w:rsidR="0039783A" w:rsidRPr="00542A27">
        <w:rPr>
          <w:lang w:val="en-US"/>
        </w:rPr>
        <w:t>With this setting Microsoft SQL Server can handle 4 queries at the same time when they all run in parallel!</w:t>
      </w:r>
    </w:p>
    <w:p w14:paraId="7E826490"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EXEC</w:t>
      </w:r>
      <w:r w:rsidRPr="00542A27">
        <w:rPr>
          <w:rFonts w:ascii="Consolas" w:hAnsi="Consolas" w:cs="Consolas"/>
          <w:color w:val="000000"/>
          <w:sz w:val="19"/>
          <w:szCs w:val="19"/>
          <w:highlight w:val="white"/>
          <w:lang w:val="en-US"/>
        </w:rPr>
        <w:t xml:space="preserve"> </w:t>
      </w:r>
      <w:proofErr w:type="spellStart"/>
      <w:r w:rsidRPr="00542A27">
        <w:rPr>
          <w:rFonts w:ascii="Consolas" w:hAnsi="Consolas" w:cs="Consolas"/>
          <w:color w:val="800000"/>
          <w:sz w:val="19"/>
          <w:szCs w:val="19"/>
          <w:highlight w:val="white"/>
          <w:lang w:val="en-US"/>
        </w:rPr>
        <w:t>sp_configure</w:t>
      </w:r>
      <w:proofErr w:type="spellEnd"/>
      <w:r w:rsidRPr="00542A27">
        <w:rPr>
          <w:rFonts w:ascii="Consolas" w:hAnsi="Consolas" w:cs="Consolas"/>
          <w:color w:val="0000FF"/>
          <w:sz w:val="19"/>
          <w:szCs w:val="19"/>
          <w:highlight w:val="white"/>
          <w:lang w:val="en-US"/>
        </w:rPr>
        <w:t xml:space="preserve"> </w:t>
      </w:r>
      <w:proofErr w:type="spellStart"/>
      <w:r w:rsidRPr="00542A27">
        <w:rPr>
          <w:rFonts w:ascii="Consolas" w:hAnsi="Consolas" w:cs="Consolas"/>
          <w:color w:val="FF0000"/>
          <w:sz w:val="19"/>
          <w:szCs w:val="19"/>
          <w:highlight w:val="white"/>
          <w:lang w:val="en-US"/>
        </w:rPr>
        <w:t>N'show</w:t>
      </w:r>
      <w:proofErr w:type="spellEnd"/>
      <w:r w:rsidRPr="00542A27">
        <w:rPr>
          <w:rFonts w:ascii="Consolas" w:hAnsi="Consolas" w:cs="Consolas"/>
          <w:color w:val="FF0000"/>
          <w:sz w:val="19"/>
          <w:szCs w:val="19"/>
          <w:highlight w:val="white"/>
          <w:lang w:val="en-US"/>
        </w:rPr>
        <w:t xml:space="preserve"> advanced options'</w:t>
      </w:r>
      <w:r w:rsidRPr="00542A27">
        <w:rPr>
          <w:rFonts w:ascii="Consolas" w:hAnsi="Consolas" w:cs="Consolas"/>
          <w:color w:val="808080"/>
          <w:sz w:val="19"/>
          <w:szCs w:val="19"/>
          <w:highlight w:val="white"/>
          <w:lang w:val="en-US"/>
        </w:rPr>
        <w:t>,</w:t>
      </w:r>
      <w:r w:rsidRPr="00542A27">
        <w:rPr>
          <w:rFonts w:ascii="Consolas" w:hAnsi="Consolas" w:cs="Consolas"/>
          <w:color w:val="000000"/>
          <w:sz w:val="19"/>
          <w:szCs w:val="19"/>
          <w:highlight w:val="white"/>
          <w:lang w:val="en-US"/>
        </w:rPr>
        <w:t xml:space="preserve"> 1</w:t>
      </w:r>
      <w:r w:rsidRPr="00542A27">
        <w:rPr>
          <w:rFonts w:ascii="Consolas" w:hAnsi="Consolas" w:cs="Consolas"/>
          <w:color w:val="808080"/>
          <w:sz w:val="19"/>
          <w:szCs w:val="19"/>
          <w:highlight w:val="white"/>
          <w:lang w:val="en-US"/>
        </w:rPr>
        <w:t>;</w:t>
      </w:r>
    </w:p>
    <w:p w14:paraId="6B58E225"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RECONFIGURE</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WITH</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OVERRIDE</w:t>
      </w:r>
      <w:r w:rsidRPr="00542A27">
        <w:rPr>
          <w:rFonts w:ascii="Consolas" w:hAnsi="Consolas" w:cs="Consolas"/>
          <w:color w:val="808080"/>
          <w:sz w:val="19"/>
          <w:szCs w:val="19"/>
          <w:highlight w:val="white"/>
          <w:lang w:val="en-US"/>
        </w:rPr>
        <w:t>;</w:t>
      </w:r>
    </w:p>
    <w:p w14:paraId="4BE88CC4" w14:textId="23FA419F"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GO</w:t>
      </w:r>
    </w:p>
    <w:p w14:paraId="336D27A0"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p>
    <w:p w14:paraId="7D95F897" w14:textId="5D971AD0"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EXEC</w:t>
      </w:r>
      <w:r w:rsidRPr="00542A27">
        <w:rPr>
          <w:rFonts w:ascii="Consolas" w:hAnsi="Consolas" w:cs="Consolas"/>
          <w:color w:val="000000"/>
          <w:sz w:val="19"/>
          <w:szCs w:val="19"/>
          <w:highlight w:val="white"/>
          <w:lang w:val="en-US"/>
        </w:rPr>
        <w:t xml:space="preserve"> </w:t>
      </w:r>
      <w:proofErr w:type="spellStart"/>
      <w:r w:rsidRPr="00542A27">
        <w:rPr>
          <w:rFonts w:ascii="Consolas" w:hAnsi="Consolas" w:cs="Consolas"/>
          <w:color w:val="800000"/>
          <w:sz w:val="19"/>
          <w:szCs w:val="19"/>
          <w:highlight w:val="white"/>
          <w:lang w:val="en-US"/>
        </w:rPr>
        <w:t>sp_configure</w:t>
      </w:r>
      <w:proofErr w:type="spellEnd"/>
      <w:r w:rsidRPr="00542A27">
        <w:rPr>
          <w:rFonts w:ascii="Consolas" w:hAnsi="Consolas" w:cs="Consolas"/>
          <w:color w:val="0000FF"/>
          <w:sz w:val="19"/>
          <w:szCs w:val="19"/>
          <w:highlight w:val="white"/>
          <w:lang w:val="en-US"/>
        </w:rPr>
        <w:t xml:space="preserve"> </w:t>
      </w:r>
      <w:proofErr w:type="spellStart"/>
      <w:r w:rsidRPr="00542A27">
        <w:rPr>
          <w:rFonts w:ascii="Consolas" w:hAnsi="Consolas" w:cs="Consolas"/>
          <w:color w:val="FF0000"/>
          <w:sz w:val="19"/>
          <w:szCs w:val="19"/>
          <w:highlight w:val="white"/>
          <w:lang w:val="en-US"/>
        </w:rPr>
        <w:t>N'max</w:t>
      </w:r>
      <w:proofErr w:type="spellEnd"/>
      <w:r w:rsidRPr="00542A27">
        <w:rPr>
          <w:rFonts w:ascii="Consolas" w:hAnsi="Consolas" w:cs="Consolas"/>
          <w:color w:val="FF0000"/>
          <w:sz w:val="19"/>
          <w:szCs w:val="19"/>
          <w:highlight w:val="white"/>
          <w:lang w:val="en-US"/>
        </w:rPr>
        <w:t xml:space="preserve"> degree of parallelism'</w:t>
      </w:r>
      <w:r w:rsidRPr="00542A27">
        <w:rPr>
          <w:rFonts w:ascii="Consolas" w:hAnsi="Consolas" w:cs="Consolas"/>
          <w:color w:val="808080"/>
          <w:sz w:val="19"/>
          <w:szCs w:val="19"/>
          <w:highlight w:val="white"/>
          <w:lang w:val="en-US"/>
        </w:rPr>
        <w:t>,</w:t>
      </w:r>
      <w:r w:rsidRPr="00542A27">
        <w:rPr>
          <w:rFonts w:ascii="Consolas" w:hAnsi="Consolas" w:cs="Consolas"/>
          <w:color w:val="000000"/>
          <w:sz w:val="19"/>
          <w:szCs w:val="19"/>
          <w:highlight w:val="white"/>
          <w:lang w:val="en-US"/>
        </w:rPr>
        <w:t xml:space="preserve"> </w:t>
      </w:r>
      <w:r w:rsidR="00B21BD3" w:rsidRPr="00542A27">
        <w:rPr>
          <w:rFonts w:ascii="Consolas" w:hAnsi="Consolas" w:cs="Consolas"/>
          <w:color w:val="000000"/>
          <w:sz w:val="19"/>
          <w:szCs w:val="19"/>
          <w:highlight w:val="white"/>
          <w:lang w:val="en-US"/>
        </w:rPr>
        <w:t>4</w:t>
      </w:r>
      <w:r w:rsidRPr="00542A27">
        <w:rPr>
          <w:rFonts w:ascii="Consolas" w:hAnsi="Consolas" w:cs="Consolas"/>
          <w:color w:val="808080"/>
          <w:sz w:val="19"/>
          <w:szCs w:val="19"/>
          <w:highlight w:val="white"/>
          <w:lang w:val="en-US"/>
        </w:rPr>
        <w:t>;</w:t>
      </w:r>
    </w:p>
    <w:p w14:paraId="7D6EC664" w14:textId="77777777" w:rsidR="00385D03" w:rsidRPr="00542A27" w:rsidRDefault="00385D03" w:rsidP="00385D03">
      <w:pPr>
        <w:keepLines w:val="0"/>
        <w:autoSpaceDE w:val="0"/>
        <w:autoSpaceDN w:val="0"/>
        <w:adjustRightInd w:val="0"/>
        <w:spacing w:after="0"/>
        <w:rPr>
          <w:rFonts w:ascii="Consolas" w:hAnsi="Consolas" w:cs="Consolas"/>
          <w:color w:val="000000"/>
          <w:sz w:val="19"/>
          <w:szCs w:val="19"/>
          <w:highlight w:val="white"/>
          <w:lang w:val="en-US"/>
        </w:rPr>
      </w:pPr>
      <w:r w:rsidRPr="00542A27">
        <w:rPr>
          <w:rFonts w:ascii="Consolas" w:hAnsi="Consolas" w:cs="Consolas"/>
          <w:color w:val="0000FF"/>
          <w:sz w:val="19"/>
          <w:szCs w:val="19"/>
          <w:highlight w:val="white"/>
          <w:lang w:val="en-US"/>
        </w:rPr>
        <w:t>RECONFIGURE</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WITH</w:t>
      </w:r>
      <w:r w:rsidRPr="00542A27">
        <w:rPr>
          <w:rFonts w:ascii="Consolas" w:hAnsi="Consolas" w:cs="Consolas"/>
          <w:color w:val="000000"/>
          <w:sz w:val="19"/>
          <w:szCs w:val="19"/>
          <w:highlight w:val="white"/>
          <w:lang w:val="en-US"/>
        </w:rPr>
        <w:t xml:space="preserve"> </w:t>
      </w:r>
      <w:r w:rsidRPr="00542A27">
        <w:rPr>
          <w:rFonts w:ascii="Consolas" w:hAnsi="Consolas" w:cs="Consolas"/>
          <w:color w:val="0000FF"/>
          <w:sz w:val="19"/>
          <w:szCs w:val="19"/>
          <w:highlight w:val="white"/>
          <w:lang w:val="en-US"/>
        </w:rPr>
        <w:t>OVERRIDE</w:t>
      </w:r>
      <w:r w:rsidRPr="00542A27">
        <w:rPr>
          <w:rFonts w:ascii="Consolas" w:hAnsi="Consolas" w:cs="Consolas"/>
          <w:color w:val="808080"/>
          <w:sz w:val="19"/>
          <w:szCs w:val="19"/>
          <w:highlight w:val="white"/>
          <w:lang w:val="en-US"/>
        </w:rPr>
        <w:t>;</w:t>
      </w:r>
    </w:p>
    <w:p w14:paraId="1DBDEF2E" w14:textId="77777777" w:rsidR="00385D03" w:rsidRPr="00542A27" w:rsidRDefault="00385D03" w:rsidP="00385D03">
      <w:pPr>
        <w:rPr>
          <w:lang w:val="en-US"/>
        </w:rPr>
      </w:pPr>
      <w:r w:rsidRPr="00542A27">
        <w:rPr>
          <w:rFonts w:ascii="Consolas" w:hAnsi="Consolas" w:cs="Consolas"/>
          <w:color w:val="0000FF"/>
          <w:sz w:val="19"/>
          <w:szCs w:val="19"/>
          <w:highlight w:val="white"/>
          <w:lang w:val="en-US"/>
        </w:rPr>
        <w:t>GO</w:t>
      </w:r>
    </w:p>
    <w:p w14:paraId="53CC1A5F" w14:textId="33E3938F" w:rsidR="003A01F2" w:rsidRPr="00542A27" w:rsidRDefault="00E12625" w:rsidP="003A01F2">
      <w:pPr>
        <w:pStyle w:val="berschrift1"/>
        <w:rPr>
          <w:lang w:val="en-US"/>
        </w:rPr>
      </w:pPr>
      <w:r w:rsidRPr="00542A27">
        <w:rPr>
          <w:lang w:val="en-US"/>
        </w:rPr>
        <w:t>Conclusion</w:t>
      </w:r>
    </w:p>
    <w:p w14:paraId="5E9B0F25" w14:textId="5DF9DD88" w:rsidR="0073666F" w:rsidRPr="00542A27" w:rsidRDefault="00E12625" w:rsidP="003A01F2">
      <w:pPr>
        <w:rPr>
          <w:lang w:val="en-US"/>
        </w:rPr>
      </w:pPr>
      <w:r w:rsidRPr="00542A27">
        <w:rPr>
          <w:lang w:val="en-US"/>
        </w:rPr>
        <w:t xml:space="preserve">The system is suffering from wrong configuration which is not best practice. Before running more surveys against the </w:t>
      </w:r>
      <w:r w:rsidR="0005674D" w:rsidRPr="00542A27">
        <w:rPr>
          <w:lang w:val="en-US"/>
        </w:rPr>
        <w:t>application,</w:t>
      </w:r>
      <w:bookmarkStart w:id="42" w:name="_GoBack"/>
      <w:bookmarkEnd w:id="42"/>
      <w:r w:rsidRPr="00542A27">
        <w:rPr>
          <w:lang w:val="en-US"/>
        </w:rPr>
        <w:t xml:space="preserve"> it is recommended to setup Microsoft SQL Server </w:t>
      </w:r>
      <w:r w:rsidR="00071805" w:rsidRPr="00542A27">
        <w:rPr>
          <w:lang w:val="en-US"/>
        </w:rPr>
        <w:t>under “Best Practice”. When the UAT environment is correctly configured than we can run more surveys against the application itself.</w:t>
      </w:r>
    </w:p>
    <w:p w14:paraId="34C45563" w14:textId="181C3837" w:rsidR="0067240A" w:rsidRPr="00542A27" w:rsidRDefault="0067240A" w:rsidP="004A4108">
      <w:pPr>
        <w:rPr>
          <w:lang w:val="en-US"/>
        </w:rPr>
      </w:pPr>
    </w:p>
    <w:p w14:paraId="4820FAC2" w14:textId="514B654B" w:rsidR="00AC10C5" w:rsidRPr="00542A27" w:rsidRDefault="00071805" w:rsidP="00AC10C5">
      <w:pPr>
        <w:ind w:right="5670"/>
        <w:jc w:val="center"/>
        <w:rPr>
          <w:lang w:val="en-US"/>
        </w:rPr>
      </w:pPr>
      <w:r w:rsidRPr="00542A27">
        <w:rPr>
          <w:lang w:val="en-US"/>
        </w:rPr>
        <w:t>65936 Frankfurt am Main, Germany – 11/07/2017</w:t>
      </w:r>
    </w:p>
    <w:p w14:paraId="3440C343" w14:textId="77777777" w:rsidR="00AC10C5" w:rsidRPr="00542A27" w:rsidRDefault="00AC10C5" w:rsidP="00AC10C5">
      <w:pPr>
        <w:ind w:right="5670"/>
        <w:jc w:val="center"/>
        <w:rPr>
          <w:lang w:val="en-US"/>
        </w:rPr>
      </w:pPr>
    </w:p>
    <w:p w14:paraId="338FB290" w14:textId="72ECCF49" w:rsidR="00AC10C5" w:rsidRPr="00542A27" w:rsidRDefault="00AC10C5" w:rsidP="00AC10C5">
      <w:pPr>
        <w:ind w:right="5670"/>
        <w:jc w:val="center"/>
        <w:rPr>
          <w:lang w:val="en-US"/>
        </w:rPr>
      </w:pPr>
    </w:p>
    <w:p w14:paraId="2AC21442" w14:textId="626C8DA1" w:rsidR="005C0134" w:rsidRPr="00542A27" w:rsidRDefault="00627CDB" w:rsidP="00AC10C5">
      <w:pPr>
        <w:pBdr>
          <w:top w:val="single" w:sz="4" w:space="1" w:color="auto"/>
        </w:pBdr>
        <w:ind w:right="5670"/>
        <w:jc w:val="center"/>
        <w:rPr>
          <w:lang w:val="en-US"/>
        </w:rPr>
      </w:pPr>
      <w:r>
        <w:rPr>
          <w:lang w:val="en-US"/>
        </w:rPr>
        <w:t>&lt;AUTHOR&gt;</w:t>
      </w:r>
    </w:p>
    <w:sectPr w:rsidR="005C0134" w:rsidRPr="00542A27" w:rsidSect="00522E2E">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D324" w14:textId="77777777" w:rsidR="008C6C87" w:rsidRDefault="008C6C87" w:rsidP="0088637C">
      <w:pPr>
        <w:spacing w:after="0"/>
      </w:pPr>
      <w:r>
        <w:separator/>
      </w:r>
    </w:p>
  </w:endnote>
  <w:endnote w:type="continuationSeparator" w:id="0">
    <w:p w14:paraId="1709D365" w14:textId="77777777" w:rsidR="008C6C87" w:rsidRDefault="008C6C87" w:rsidP="008863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BDA5" w14:textId="4E7973AA" w:rsidR="008C6C87" w:rsidRPr="00CB0933" w:rsidRDefault="008C6C87" w:rsidP="000211FB">
    <w:pPr>
      <w:pStyle w:val="Fuzeile"/>
      <w:pBdr>
        <w:top w:val="single" w:sz="4" w:space="1" w:color="auto"/>
      </w:pBdr>
      <w:tabs>
        <w:tab w:val="clear" w:pos="4536"/>
        <w:tab w:val="left" w:pos="900"/>
      </w:tabs>
      <w:rPr>
        <w:b/>
        <w:sz w:val="18"/>
        <w:szCs w:val="18"/>
      </w:rPr>
    </w:pPr>
    <w:r>
      <w:rPr>
        <w:b/>
        <w:sz w:val="18"/>
        <w:szCs w:val="18"/>
      </w:rPr>
      <w:t>Version:</w:t>
    </w:r>
    <w:r>
      <w:rPr>
        <w:b/>
        <w:sz w:val="18"/>
        <w:szCs w:val="18"/>
      </w:rPr>
      <w:tab/>
      <w:t>1.00</w:t>
    </w:r>
    <w:r w:rsidRPr="00290FA0">
      <w:rPr>
        <w:b/>
        <w:sz w:val="18"/>
        <w:szCs w:val="18"/>
      </w:rPr>
      <w:tab/>
      <w:t xml:space="preserve">Page </w:t>
    </w:r>
    <w:r w:rsidRPr="00290FA0">
      <w:rPr>
        <w:rStyle w:val="Seitenzahl"/>
        <w:b/>
        <w:sz w:val="18"/>
        <w:szCs w:val="18"/>
      </w:rPr>
      <w:fldChar w:fldCharType="begin"/>
    </w:r>
    <w:r w:rsidRPr="00290FA0">
      <w:rPr>
        <w:rStyle w:val="Seitenzahl"/>
        <w:b/>
        <w:sz w:val="18"/>
        <w:szCs w:val="18"/>
      </w:rPr>
      <w:instrText xml:space="preserve"> PAGE </w:instrText>
    </w:r>
    <w:r w:rsidRPr="00290FA0">
      <w:rPr>
        <w:rStyle w:val="Seitenzahl"/>
        <w:b/>
        <w:sz w:val="18"/>
        <w:szCs w:val="18"/>
      </w:rPr>
      <w:fldChar w:fldCharType="separate"/>
    </w:r>
    <w:r w:rsidR="0005674D">
      <w:rPr>
        <w:rStyle w:val="Seitenzahl"/>
        <w:b/>
        <w:noProof/>
        <w:sz w:val="18"/>
        <w:szCs w:val="18"/>
      </w:rPr>
      <w:t>17</w:t>
    </w:r>
    <w:r w:rsidRPr="00290FA0">
      <w:rPr>
        <w:rStyle w:val="Seitenzahl"/>
        <w:b/>
        <w:sz w:val="18"/>
        <w:szCs w:val="18"/>
      </w:rPr>
      <w:fldChar w:fldCharType="end"/>
    </w:r>
    <w:r w:rsidRPr="00290FA0">
      <w:rPr>
        <w:rStyle w:val="Seitenzahl"/>
        <w:b/>
        <w:sz w:val="18"/>
        <w:szCs w:val="18"/>
      </w:rPr>
      <w:t xml:space="preserve"> of </w:t>
    </w:r>
    <w:r w:rsidRPr="00290FA0">
      <w:rPr>
        <w:rStyle w:val="Seitenzahl"/>
        <w:b/>
        <w:sz w:val="18"/>
        <w:szCs w:val="18"/>
      </w:rPr>
      <w:fldChar w:fldCharType="begin"/>
    </w:r>
    <w:r w:rsidRPr="00290FA0">
      <w:rPr>
        <w:rStyle w:val="Seitenzahl"/>
        <w:b/>
        <w:sz w:val="18"/>
        <w:szCs w:val="18"/>
      </w:rPr>
      <w:instrText xml:space="preserve"> NUMPAGES </w:instrText>
    </w:r>
    <w:r w:rsidRPr="00290FA0">
      <w:rPr>
        <w:rStyle w:val="Seitenzahl"/>
        <w:b/>
        <w:sz w:val="18"/>
        <w:szCs w:val="18"/>
      </w:rPr>
      <w:fldChar w:fldCharType="separate"/>
    </w:r>
    <w:r w:rsidR="0005674D">
      <w:rPr>
        <w:rStyle w:val="Seitenzahl"/>
        <w:b/>
        <w:noProof/>
        <w:sz w:val="18"/>
        <w:szCs w:val="18"/>
      </w:rPr>
      <w:t>17</w:t>
    </w:r>
    <w:r w:rsidRPr="00290FA0">
      <w:rPr>
        <w:rStyle w:val="Seitenzahl"/>
        <w:b/>
        <w:sz w:val="18"/>
        <w:szCs w:val="18"/>
      </w:rPr>
      <w:fldChar w:fldCharType="end"/>
    </w:r>
    <w:r>
      <w:rPr>
        <w:rStyle w:val="Seitenzahl"/>
        <w:b/>
        <w:sz w:val="18"/>
        <w:szCs w:val="18"/>
      </w:rPr>
      <w:br/>
    </w:r>
    <w:r>
      <w:rPr>
        <w:rStyle w:val="Seitenzahl"/>
        <w:rFonts w:cs="Arial"/>
        <w:b/>
        <w:sz w:val="18"/>
        <w:szCs w:val="18"/>
      </w:rPr>
      <w:t>©</w:t>
    </w:r>
    <w:r>
      <w:rPr>
        <w:rStyle w:val="Seitenzahl"/>
        <w:b/>
        <w:sz w:val="18"/>
        <w:szCs w:val="18"/>
      </w:rPr>
      <w:t xml:space="preserve"> db-Berater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8862" w14:textId="77777777" w:rsidR="008C6C87" w:rsidRDefault="008C6C87" w:rsidP="0088637C">
      <w:pPr>
        <w:spacing w:after="0"/>
      </w:pPr>
      <w:r>
        <w:separator/>
      </w:r>
    </w:p>
  </w:footnote>
  <w:footnote w:type="continuationSeparator" w:id="0">
    <w:p w14:paraId="22B63E35" w14:textId="77777777" w:rsidR="008C6C87" w:rsidRDefault="008C6C87" w:rsidP="0088637C">
      <w:pPr>
        <w:spacing w:after="0"/>
      </w:pPr>
      <w:r>
        <w:continuationSeparator/>
      </w:r>
    </w:p>
  </w:footnote>
  <w:footnote w:id="1">
    <w:p w14:paraId="7220D8C1" w14:textId="2E7C5F0A" w:rsidR="008C6C87" w:rsidRDefault="008C6C87">
      <w:pPr>
        <w:pStyle w:val="Funotentext"/>
      </w:pPr>
      <w:r>
        <w:rPr>
          <w:rStyle w:val="Funotenzeichen"/>
        </w:rPr>
        <w:footnoteRef/>
      </w:r>
      <w:r>
        <w:t xml:space="preserve"> </w:t>
      </w:r>
      <w:hyperlink r:id="rId1" w:history="1">
        <w:r w:rsidRPr="00F77D4F">
          <w:rPr>
            <w:rStyle w:val="Hyperlink"/>
          </w:rPr>
          <w:t>http://www.db-berater.de</w:t>
        </w:r>
      </w:hyperlink>
    </w:p>
  </w:footnote>
  <w:footnote w:id="2">
    <w:p w14:paraId="72E603FE" w14:textId="79F57F39" w:rsidR="008C6C87" w:rsidRPr="00E71B79" w:rsidRDefault="008C6C87">
      <w:pPr>
        <w:pStyle w:val="Funotentext"/>
      </w:pPr>
      <w:r>
        <w:rPr>
          <w:rStyle w:val="Funotenzeichen"/>
        </w:rPr>
        <w:footnoteRef/>
      </w:r>
      <w:r w:rsidRPr="00E71B79">
        <w:t xml:space="preserve"> </w:t>
      </w:r>
      <w:hyperlink r:id="rId2" w:history="1">
        <w:r w:rsidRPr="00E71B79">
          <w:rPr>
            <w:rStyle w:val="Hyperlink"/>
          </w:rPr>
          <w:t>https://www.microsoft.com/en-us/download/details.aspx?id=56040</w:t>
        </w:r>
      </w:hyperlink>
    </w:p>
  </w:footnote>
  <w:footnote w:id="3">
    <w:p w14:paraId="5219CE97" w14:textId="33D26E28" w:rsidR="008C6C87" w:rsidRPr="005E374F" w:rsidRDefault="008C6C87">
      <w:pPr>
        <w:pStyle w:val="Funotentext"/>
      </w:pPr>
      <w:r>
        <w:rPr>
          <w:rStyle w:val="Funotenzeichen"/>
        </w:rPr>
        <w:footnoteRef/>
      </w:r>
      <w:r w:rsidRPr="005E374F">
        <w:t xml:space="preserve"> </w:t>
      </w:r>
      <w:hyperlink r:id="rId3" w:history="1">
        <w:r w:rsidRPr="005E374F">
          <w:rPr>
            <w:rStyle w:val="Hyperlink"/>
          </w:rPr>
          <w:t>https://docs.microsoft.com/en-us/sql/t-sql/database-console-commands/dbcc-traceon-trace-flags-transact-sql</w:t>
        </w:r>
      </w:hyperlink>
    </w:p>
  </w:footnote>
  <w:footnote w:id="4">
    <w:p w14:paraId="78351AEE" w14:textId="7CCF39B4" w:rsidR="008C6C87" w:rsidRPr="005E374F" w:rsidRDefault="008C6C87">
      <w:pPr>
        <w:pStyle w:val="Funotentext"/>
      </w:pPr>
      <w:r>
        <w:rPr>
          <w:rStyle w:val="Funotenzeichen"/>
        </w:rPr>
        <w:footnoteRef/>
      </w:r>
      <w:r w:rsidRPr="005E374F">
        <w:t xml:space="preserve"> </w:t>
      </w:r>
      <w:hyperlink r:id="rId4" w:history="1">
        <w:r w:rsidRPr="005E374F">
          <w:rPr>
            <w:rStyle w:val="Hyperlink"/>
          </w:rPr>
          <w:t>https://technet.microsoft.com/en-us/library/ms190969.aspx</w:t>
        </w:r>
      </w:hyperlink>
    </w:p>
  </w:footnote>
  <w:footnote w:id="5">
    <w:p w14:paraId="771C4F43" w14:textId="56DBFD07" w:rsidR="008C6C87" w:rsidRPr="005E374F" w:rsidRDefault="008C6C87">
      <w:pPr>
        <w:pStyle w:val="Funotentext"/>
      </w:pPr>
      <w:r>
        <w:rPr>
          <w:rStyle w:val="Funotenzeichen"/>
        </w:rPr>
        <w:footnoteRef/>
      </w:r>
      <w:r w:rsidRPr="005E374F">
        <w:t xml:space="preserve"> </w:t>
      </w:r>
      <w:hyperlink r:id="rId5" w:history="1">
        <w:r w:rsidRPr="005E374F">
          <w:rPr>
            <w:rStyle w:val="Hyperlink"/>
          </w:rPr>
          <w:t>https://support.microsoft.com/en-us/help/2754171/controlling-autostat-auto-update-statistics-behavior-in-sql-server</w:t>
        </w:r>
      </w:hyperlink>
    </w:p>
  </w:footnote>
  <w:footnote w:id="6">
    <w:p w14:paraId="5628E3B1" w14:textId="5EC72FC6" w:rsidR="008C6C87" w:rsidRPr="005E374F" w:rsidRDefault="008C6C87">
      <w:pPr>
        <w:pStyle w:val="Funotentext"/>
      </w:pPr>
      <w:r>
        <w:rPr>
          <w:rStyle w:val="Funotenzeichen"/>
        </w:rPr>
        <w:footnoteRef/>
      </w:r>
      <w:r w:rsidRPr="005E374F">
        <w:t xml:space="preserve"> </w:t>
      </w:r>
      <w:hyperlink r:id="rId6" w:history="1">
        <w:r w:rsidRPr="005E374F">
          <w:rPr>
            <w:rStyle w:val="Hyperlink"/>
          </w:rPr>
          <w:t>https://technet.microsoft.com/de-de/library/ms189050.aspx</w:t>
        </w:r>
      </w:hyperlink>
    </w:p>
  </w:footnote>
  <w:footnote w:id="7">
    <w:p w14:paraId="70D2C29C" w14:textId="700284B7" w:rsidR="008C6C87" w:rsidRPr="005E374F" w:rsidRDefault="008C6C87">
      <w:pPr>
        <w:pStyle w:val="Funotentext"/>
      </w:pPr>
      <w:r>
        <w:rPr>
          <w:rStyle w:val="Funotenzeichen"/>
        </w:rPr>
        <w:footnoteRef/>
      </w:r>
      <w:r w:rsidRPr="005E374F">
        <w:t xml:space="preserve"> </w:t>
      </w:r>
      <w:hyperlink r:id="rId7" w:history="1">
        <w:r w:rsidRPr="005E374F">
          <w:rPr>
            <w:rStyle w:val="Hyperlink"/>
          </w:rPr>
          <w:t>https://technet.microsoft.com/de-de/library/ms189313.aspx</w:t>
        </w:r>
      </w:hyperlink>
    </w:p>
  </w:footnote>
  <w:footnote w:id="8">
    <w:p w14:paraId="01B2D5FE" w14:textId="4936F25F" w:rsidR="008C6C87" w:rsidRPr="005E374F" w:rsidRDefault="008C6C87">
      <w:pPr>
        <w:pStyle w:val="Funotentext"/>
      </w:pPr>
      <w:r>
        <w:rPr>
          <w:rStyle w:val="Funotenzeichen"/>
        </w:rPr>
        <w:footnoteRef/>
      </w:r>
      <w:r w:rsidRPr="005E374F">
        <w:t xml:space="preserve"> </w:t>
      </w:r>
      <w:hyperlink r:id="rId8" w:history="1">
        <w:r w:rsidRPr="005E374F">
          <w:rPr>
            <w:rStyle w:val="Hyperlink"/>
          </w:rPr>
          <w:t>https://technet.microsoft.com/de-de/library/ms191158.aspx</w:t>
        </w:r>
      </w:hyperlink>
    </w:p>
  </w:footnote>
  <w:footnote w:id="9">
    <w:p w14:paraId="05EC792C" w14:textId="5AFCE242" w:rsidR="008C6C87" w:rsidRPr="005E374F" w:rsidRDefault="008C6C87">
      <w:pPr>
        <w:pStyle w:val="Funotentext"/>
      </w:pPr>
      <w:r>
        <w:rPr>
          <w:rStyle w:val="Funotenzeichen"/>
        </w:rPr>
        <w:footnoteRef/>
      </w:r>
      <w:r w:rsidRPr="005E374F">
        <w:t xml:space="preserve"> </w:t>
      </w:r>
      <w:hyperlink r:id="rId9" w:history="1">
        <w:r w:rsidRPr="005E374F">
          <w:rPr>
            <w:rStyle w:val="Hyperlink"/>
          </w:rPr>
          <w:t>https://blogs.msdn.microsoft.com/psssql/2015/05/14/sql-server-page-life-expectancy-ple/</w:t>
        </w:r>
      </w:hyperlink>
    </w:p>
  </w:footnote>
  <w:footnote w:id="10">
    <w:p w14:paraId="5CB9ED59" w14:textId="2E80EDCF" w:rsidR="008C6C87" w:rsidRPr="00B36C17" w:rsidRDefault="008C6C87">
      <w:pPr>
        <w:pStyle w:val="Funotentext"/>
        <w:rPr>
          <w:lang w:val="en-GB"/>
        </w:rPr>
      </w:pPr>
      <w:r>
        <w:rPr>
          <w:rStyle w:val="Funotenzeichen"/>
        </w:rPr>
        <w:footnoteRef/>
      </w:r>
      <w:r w:rsidRPr="00B36C17">
        <w:rPr>
          <w:lang w:val="en-GB"/>
        </w:rPr>
        <w:t xml:space="preserve"> Databases with a rate of less than 1% </w:t>
      </w:r>
      <w:r>
        <w:rPr>
          <w:lang w:val="en-GB"/>
        </w:rPr>
        <w:t>are not listed!</w:t>
      </w:r>
    </w:p>
  </w:footnote>
  <w:footnote w:id="11">
    <w:p w14:paraId="45E05D18" w14:textId="172380A9" w:rsidR="008C6C87" w:rsidRPr="004413FE" w:rsidRDefault="008C6C87">
      <w:pPr>
        <w:pStyle w:val="Funotentext"/>
        <w:rPr>
          <w:lang w:val="en-GB"/>
        </w:rPr>
      </w:pPr>
      <w:r>
        <w:rPr>
          <w:rStyle w:val="Funotenzeichen"/>
        </w:rPr>
        <w:footnoteRef/>
      </w:r>
      <w:r w:rsidRPr="004413FE">
        <w:rPr>
          <w:lang w:val="en-GB"/>
        </w:rPr>
        <w:t xml:space="preserve"> </w:t>
      </w:r>
      <w:hyperlink r:id="rId10" w:history="1">
        <w:r w:rsidRPr="005F4588">
          <w:rPr>
            <w:rStyle w:val="Hyperlink"/>
            <w:lang w:val="en-GB"/>
          </w:rPr>
          <w:t>http://documentation.red-gate.com/display/SM4/CXPACKET</w:t>
        </w:r>
      </w:hyperlink>
    </w:p>
  </w:footnote>
  <w:footnote w:id="12">
    <w:p w14:paraId="6E639F41" w14:textId="080B4A7F" w:rsidR="008C6C87" w:rsidRPr="004413FE" w:rsidRDefault="008C6C87">
      <w:pPr>
        <w:pStyle w:val="Funotentext"/>
        <w:rPr>
          <w:lang w:val="en-GB"/>
        </w:rPr>
      </w:pPr>
      <w:r>
        <w:rPr>
          <w:rStyle w:val="Funotenzeichen"/>
        </w:rPr>
        <w:footnoteRef/>
      </w:r>
      <w:r w:rsidRPr="004413FE">
        <w:rPr>
          <w:lang w:val="en-GB"/>
        </w:rPr>
        <w:t xml:space="preserve"> </w:t>
      </w:r>
      <w:hyperlink r:id="rId11" w:history="1">
        <w:r w:rsidRPr="005F4588">
          <w:rPr>
            <w:rStyle w:val="Hyperlink"/>
            <w:lang w:val="en-GB"/>
          </w:rPr>
          <w:t>http://documentation.red-gate.com/display/SM4/OLEDB</w:t>
        </w:r>
      </w:hyperlink>
    </w:p>
  </w:footnote>
  <w:footnote w:id="13">
    <w:p w14:paraId="67D5F056" w14:textId="767A9274" w:rsidR="008C6C87" w:rsidRPr="004413FE" w:rsidRDefault="008C6C87">
      <w:pPr>
        <w:pStyle w:val="Funotentext"/>
        <w:rPr>
          <w:lang w:val="en-GB"/>
        </w:rPr>
      </w:pPr>
      <w:r>
        <w:rPr>
          <w:rStyle w:val="Funotenzeichen"/>
        </w:rPr>
        <w:footnoteRef/>
      </w:r>
      <w:r w:rsidRPr="004413FE">
        <w:rPr>
          <w:lang w:val="en-GB"/>
        </w:rPr>
        <w:t xml:space="preserve"> </w:t>
      </w:r>
      <w:hyperlink r:id="rId12" w:history="1">
        <w:r w:rsidRPr="005F4588">
          <w:rPr>
            <w:rStyle w:val="Hyperlink"/>
            <w:lang w:val="en-GB"/>
          </w:rPr>
          <w:t>http://documentation.red-gate.com/display/SM4/LATCH_EX</w:t>
        </w:r>
      </w:hyperlink>
    </w:p>
  </w:footnote>
  <w:footnote w:id="14">
    <w:p w14:paraId="5F11E24F" w14:textId="38027133" w:rsidR="008C6C87" w:rsidRPr="004413FE" w:rsidRDefault="008C6C87">
      <w:pPr>
        <w:pStyle w:val="Funotentext"/>
        <w:rPr>
          <w:lang w:val="en-GB"/>
        </w:rPr>
      </w:pPr>
      <w:r>
        <w:rPr>
          <w:rStyle w:val="Funotenzeichen"/>
        </w:rPr>
        <w:footnoteRef/>
      </w:r>
      <w:r w:rsidRPr="004413FE">
        <w:rPr>
          <w:lang w:val="en-GB"/>
        </w:rPr>
        <w:t xml:space="preserve"> </w:t>
      </w:r>
      <w:hyperlink r:id="rId13" w:history="1">
        <w:r w:rsidRPr="005F4588">
          <w:rPr>
            <w:rStyle w:val="Hyperlink"/>
            <w:lang w:val="en-GB"/>
          </w:rPr>
          <w:t>http://documentation.red-gate.com/display/SM4/BACKUPBUFFER</w:t>
        </w:r>
      </w:hyperlink>
    </w:p>
  </w:footnote>
  <w:footnote w:id="15">
    <w:p w14:paraId="5D2AAA4D" w14:textId="3F637455" w:rsidR="008C6C87" w:rsidRPr="005E41A7" w:rsidRDefault="008C6C87">
      <w:pPr>
        <w:pStyle w:val="Funotentext"/>
        <w:rPr>
          <w:lang w:val="en-US"/>
        </w:rPr>
      </w:pPr>
      <w:r>
        <w:rPr>
          <w:rStyle w:val="Funotenzeichen"/>
        </w:rPr>
        <w:footnoteRef/>
      </w:r>
      <w:r w:rsidRPr="005E41A7">
        <w:rPr>
          <w:lang w:val="en-US"/>
        </w:rPr>
        <w:t xml:space="preserve"> </w:t>
      </w:r>
      <w:hyperlink r:id="rId14" w:history="1">
        <w:r w:rsidRPr="00AC1A50">
          <w:rPr>
            <w:rStyle w:val="Hyperlink"/>
            <w:lang w:val="en-US"/>
          </w:rPr>
          <w:t>https://docs.microsoft.com/en-us/dotnet/framework/data/adonet/sql/snapshot-isolation-in-sql-server</w:t>
        </w:r>
      </w:hyperlink>
    </w:p>
  </w:footnote>
  <w:footnote w:id="16">
    <w:p w14:paraId="1FDBF664" w14:textId="336B8284" w:rsidR="008C6C87" w:rsidRPr="005E41A7" w:rsidRDefault="008C6C87">
      <w:pPr>
        <w:pStyle w:val="Funotentext"/>
        <w:rPr>
          <w:lang w:val="en-US"/>
        </w:rPr>
      </w:pPr>
      <w:r>
        <w:rPr>
          <w:rStyle w:val="Funotenzeichen"/>
        </w:rPr>
        <w:footnoteRef/>
      </w:r>
      <w:r w:rsidRPr="005E41A7">
        <w:rPr>
          <w:lang w:val="en-US"/>
        </w:rPr>
        <w:t xml:space="preserve"> </w:t>
      </w:r>
      <w:hyperlink r:id="rId15" w:history="1">
        <w:r w:rsidRPr="00AC1A50">
          <w:rPr>
            <w:rStyle w:val="Hyperlink"/>
            <w:lang w:val="en-US"/>
          </w:rPr>
          <w:t>https://docs.microsoft.com/en-us/dotnet/framework/data/adonet/sql/snapshot-isolation-in-sql-server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Borders>
        <w:bottom w:val="single" w:sz="4" w:space="0" w:color="auto"/>
      </w:tblBorders>
      <w:tblLook w:val="01E0" w:firstRow="1" w:lastRow="1" w:firstColumn="1" w:lastColumn="1" w:noHBand="0" w:noVBand="0"/>
    </w:tblPr>
    <w:tblGrid>
      <w:gridCol w:w="4962"/>
      <w:gridCol w:w="4394"/>
    </w:tblGrid>
    <w:tr w:rsidR="008C6C87" w14:paraId="4AC71EF6" w14:textId="77777777" w:rsidTr="00401451">
      <w:tc>
        <w:tcPr>
          <w:tcW w:w="4962" w:type="dxa"/>
        </w:tcPr>
        <w:p w14:paraId="1171FB71" w14:textId="712A3C76" w:rsidR="008C6C87" w:rsidRPr="004D12AC" w:rsidRDefault="008C6C87" w:rsidP="00B80254">
          <w:pPr>
            <w:pStyle w:val="Kopfzeile"/>
            <w:rPr>
              <w:rFonts w:cs="Arial"/>
              <w:sz w:val="28"/>
              <w:szCs w:val="28"/>
              <w:lang w:val="en-GB"/>
            </w:rPr>
          </w:pPr>
          <w:r w:rsidRPr="004D12AC">
            <w:rPr>
              <w:rFonts w:cs="Arial"/>
              <w:sz w:val="28"/>
              <w:szCs w:val="28"/>
              <w:lang w:val="en-GB"/>
            </w:rPr>
            <w:t>Analysis Report</w:t>
          </w:r>
          <w:r w:rsidRPr="004D12AC">
            <w:rPr>
              <w:rFonts w:cs="Arial"/>
              <w:b/>
              <w:lang w:val="en-GB"/>
            </w:rPr>
            <w:br/>
            <w:t>Performance-Analysis Microsoft SQL Server</w:t>
          </w:r>
        </w:p>
      </w:tc>
      <w:tc>
        <w:tcPr>
          <w:tcW w:w="4394" w:type="dxa"/>
        </w:tcPr>
        <w:p w14:paraId="5CC7CBFB" w14:textId="77777777" w:rsidR="008C6C87" w:rsidRPr="00AD705B" w:rsidRDefault="008C6C87" w:rsidP="00015E22">
          <w:pPr>
            <w:pStyle w:val="Kopfzeile"/>
            <w:jc w:val="right"/>
            <w:rPr>
              <w:rFonts w:ascii="Arial" w:hAnsi="Arial" w:cs="Arial"/>
              <w:b/>
            </w:rPr>
          </w:pPr>
          <w:r w:rsidRPr="008D6364">
            <w:rPr>
              <w:rFonts w:asciiTheme="minorHAnsi" w:hAnsiTheme="minorHAnsi"/>
              <w:b/>
              <w:noProof/>
              <w:color w:val="5B9BD5"/>
              <w:sz w:val="48"/>
              <w:szCs w:val="48"/>
            </w:rPr>
            <w:t>db</w:t>
          </w:r>
          <w:r>
            <w:rPr>
              <w:rFonts w:asciiTheme="minorHAnsi" w:hAnsiTheme="minorHAnsi"/>
              <w:b/>
              <w:noProof/>
              <w:color w:val="5B9BD5"/>
              <w:sz w:val="48"/>
              <w:szCs w:val="48"/>
            </w:rPr>
            <w:t xml:space="preserve"> </w:t>
          </w:r>
          <w:r w:rsidRPr="008D6364">
            <w:rPr>
              <w:rFonts w:asciiTheme="minorHAnsi" w:hAnsiTheme="minorHAnsi"/>
              <w:b/>
              <w:noProof/>
              <w:sz w:val="48"/>
              <w:szCs w:val="48"/>
            </w:rPr>
            <w:t>Berater GmbH</w:t>
          </w:r>
          <w:r w:rsidRPr="008D6364">
            <w:rPr>
              <w:rFonts w:asciiTheme="minorHAnsi" w:hAnsiTheme="minorHAnsi"/>
              <w:noProof/>
              <w:sz w:val="48"/>
              <w:szCs w:val="48"/>
            </w:rPr>
            <w:br/>
          </w:r>
          <w:r w:rsidRPr="00AD705B">
            <w:rPr>
              <w:rFonts w:ascii="Arial" w:hAnsi="Arial" w:cs="Arial"/>
              <w:b/>
              <w:sz w:val="18"/>
              <w:szCs w:val="18"/>
            </w:rPr>
            <w:t>Datenbanken - Netzwerke - Beratung - Service</w:t>
          </w:r>
        </w:p>
        <w:p w14:paraId="77E94348" w14:textId="77777777" w:rsidR="008C6C87" w:rsidRDefault="008C6C87" w:rsidP="00015E22">
          <w:pPr>
            <w:pStyle w:val="Kopfzeile"/>
            <w:jc w:val="right"/>
          </w:pPr>
        </w:p>
      </w:tc>
    </w:tr>
  </w:tbl>
  <w:p w14:paraId="49FE5AB1" w14:textId="77777777" w:rsidR="008C6C87" w:rsidRDefault="008C6C87" w:rsidP="00015E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Borders>
        <w:bottom w:val="single" w:sz="4" w:space="0" w:color="auto"/>
      </w:tblBorders>
      <w:tblLook w:val="01E0" w:firstRow="1" w:lastRow="1" w:firstColumn="1" w:lastColumn="1" w:noHBand="0" w:noVBand="0"/>
    </w:tblPr>
    <w:tblGrid>
      <w:gridCol w:w="4962"/>
      <w:gridCol w:w="4394"/>
    </w:tblGrid>
    <w:tr w:rsidR="008C6C87" w14:paraId="566F7616" w14:textId="77777777" w:rsidTr="00AD705B">
      <w:tc>
        <w:tcPr>
          <w:tcW w:w="4962" w:type="dxa"/>
        </w:tcPr>
        <w:p w14:paraId="5CBF3B2B" w14:textId="6F64FEA9" w:rsidR="008C6C87" w:rsidRPr="00576334" w:rsidRDefault="008C6C87" w:rsidP="00AD705B">
          <w:pPr>
            <w:pStyle w:val="Kopfzeile"/>
            <w:rPr>
              <w:rFonts w:cs="Arial"/>
              <w:sz w:val="28"/>
              <w:szCs w:val="28"/>
              <w:lang w:val="en-GB"/>
            </w:rPr>
          </w:pPr>
          <w:r w:rsidRPr="004D12AC">
            <w:rPr>
              <w:rFonts w:cs="Arial"/>
              <w:sz w:val="28"/>
              <w:szCs w:val="28"/>
              <w:lang w:val="en-GB"/>
            </w:rPr>
            <w:t>Analysis Report</w:t>
          </w:r>
          <w:r w:rsidRPr="004D12AC">
            <w:rPr>
              <w:rFonts w:cs="Arial"/>
              <w:b/>
              <w:lang w:val="en-GB"/>
            </w:rPr>
            <w:br/>
            <w:t>Performance-Analysis Microsoft SQL Server</w:t>
          </w:r>
        </w:p>
      </w:tc>
      <w:tc>
        <w:tcPr>
          <w:tcW w:w="4394" w:type="dxa"/>
        </w:tcPr>
        <w:p w14:paraId="6AFE1877" w14:textId="091D1335" w:rsidR="008C6C87" w:rsidRPr="00AD705B" w:rsidRDefault="008C6C87" w:rsidP="00AD705B">
          <w:pPr>
            <w:pStyle w:val="Kopfzeile"/>
            <w:jc w:val="right"/>
            <w:rPr>
              <w:rFonts w:ascii="Arial" w:hAnsi="Arial" w:cs="Arial"/>
              <w:b/>
            </w:rPr>
          </w:pPr>
          <w:r w:rsidRPr="008D6364">
            <w:rPr>
              <w:rFonts w:asciiTheme="minorHAnsi" w:hAnsiTheme="minorHAnsi"/>
              <w:b/>
              <w:noProof/>
              <w:color w:val="5B9BD5"/>
              <w:sz w:val="48"/>
              <w:szCs w:val="48"/>
            </w:rPr>
            <w:t>db</w:t>
          </w:r>
          <w:r>
            <w:rPr>
              <w:rFonts w:asciiTheme="minorHAnsi" w:hAnsiTheme="minorHAnsi"/>
              <w:b/>
              <w:noProof/>
              <w:color w:val="5B9BD5"/>
              <w:sz w:val="48"/>
              <w:szCs w:val="48"/>
            </w:rPr>
            <w:t xml:space="preserve"> </w:t>
          </w:r>
          <w:r w:rsidRPr="008D6364">
            <w:rPr>
              <w:rFonts w:asciiTheme="minorHAnsi" w:hAnsiTheme="minorHAnsi"/>
              <w:b/>
              <w:noProof/>
              <w:sz w:val="48"/>
              <w:szCs w:val="48"/>
            </w:rPr>
            <w:t>Berater GmbH</w:t>
          </w:r>
          <w:r w:rsidRPr="008D6364">
            <w:rPr>
              <w:rFonts w:asciiTheme="minorHAnsi" w:hAnsiTheme="minorHAnsi"/>
              <w:noProof/>
              <w:sz w:val="48"/>
              <w:szCs w:val="48"/>
            </w:rPr>
            <w:br/>
          </w:r>
          <w:r w:rsidRPr="00AD705B">
            <w:rPr>
              <w:rFonts w:ascii="Arial" w:hAnsi="Arial" w:cs="Arial"/>
              <w:b/>
              <w:sz w:val="18"/>
              <w:szCs w:val="18"/>
            </w:rPr>
            <w:t>Datenbanken - Netzwerke - Beratung - Service</w:t>
          </w:r>
        </w:p>
        <w:p w14:paraId="2F4DCAF2" w14:textId="15C70AFA" w:rsidR="008C6C87" w:rsidRDefault="008C6C87" w:rsidP="00094DF6">
          <w:pPr>
            <w:pStyle w:val="Kopfzeile"/>
            <w:jc w:val="right"/>
          </w:pPr>
        </w:p>
      </w:tc>
    </w:tr>
  </w:tbl>
  <w:p w14:paraId="0D121179" w14:textId="77777777" w:rsidR="008C6C87" w:rsidRPr="00DB6F56" w:rsidRDefault="008C6C87" w:rsidP="00DB6F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82B8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055691A"/>
    <w:multiLevelType w:val="hybridMultilevel"/>
    <w:tmpl w:val="4EAC7920"/>
    <w:lvl w:ilvl="0" w:tplc="D43ED1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714463"/>
    <w:multiLevelType w:val="hybridMultilevel"/>
    <w:tmpl w:val="7C1CC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25290B"/>
    <w:multiLevelType w:val="hybridMultilevel"/>
    <w:tmpl w:val="BB4601AA"/>
    <w:lvl w:ilvl="0" w:tplc="F228923E">
      <w:start w:val="562"/>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9A4CFD"/>
    <w:multiLevelType w:val="hybridMultilevel"/>
    <w:tmpl w:val="2DC2B8B8"/>
    <w:lvl w:ilvl="0" w:tplc="2FB4701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691465C"/>
    <w:multiLevelType w:val="hybridMultilevel"/>
    <w:tmpl w:val="2130A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481CC0"/>
    <w:multiLevelType w:val="hybridMultilevel"/>
    <w:tmpl w:val="3A9C0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B43BF2"/>
    <w:multiLevelType w:val="hybridMultilevel"/>
    <w:tmpl w:val="DE88CAC6"/>
    <w:lvl w:ilvl="0" w:tplc="1AB26C4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9A2736"/>
    <w:multiLevelType w:val="hybridMultilevel"/>
    <w:tmpl w:val="F036FF5A"/>
    <w:lvl w:ilvl="0" w:tplc="B94416D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B60A2A"/>
    <w:multiLevelType w:val="hybridMultilevel"/>
    <w:tmpl w:val="57A0F7F8"/>
    <w:lvl w:ilvl="0" w:tplc="1E9EF714">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9"/>
  </w:num>
  <w:num w:numId="6">
    <w:abstractNumId w:val="7"/>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7C"/>
    <w:rsid w:val="000007F7"/>
    <w:rsid w:val="00000A35"/>
    <w:rsid w:val="0000376F"/>
    <w:rsid w:val="00010E3E"/>
    <w:rsid w:val="00012624"/>
    <w:rsid w:val="00013AA1"/>
    <w:rsid w:val="000147D9"/>
    <w:rsid w:val="00015E22"/>
    <w:rsid w:val="00017EF5"/>
    <w:rsid w:val="000211FB"/>
    <w:rsid w:val="000226D1"/>
    <w:rsid w:val="00023829"/>
    <w:rsid w:val="00023899"/>
    <w:rsid w:val="0002406E"/>
    <w:rsid w:val="00025BD0"/>
    <w:rsid w:val="00031356"/>
    <w:rsid w:val="00032655"/>
    <w:rsid w:val="000329E1"/>
    <w:rsid w:val="0003360E"/>
    <w:rsid w:val="000337E6"/>
    <w:rsid w:val="000374FF"/>
    <w:rsid w:val="00040051"/>
    <w:rsid w:val="000416AB"/>
    <w:rsid w:val="000436D9"/>
    <w:rsid w:val="000446B3"/>
    <w:rsid w:val="000465D7"/>
    <w:rsid w:val="000524B5"/>
    <w:rsid w:val="00053366"/>
    <w:rsid w:val="00053D9D"/>
    <w:rsid w:val="0005522B"/>
    <w:rsid w:val="0005674D"/>
    <w:rsid w:val="000626B0"/>
    <w:rsid w:val="00064FA5"/>
    <w:rsid w:val="00071805"/>
    <w:rsid w:val="00071BD2"/>
    <w:rsid w:val="00074833"/>
    <w:rsid w:val="00074D5B"/>
    <w:rsid w:val="00075131"/>
    <w:rsid w:val="000755AD"/>
    <w:rsid w:val="00081E65"/>
    <w:rsid w:val="000833E8"/>
    <w:rsid w:val="00087463"/>
    <w:rsid w:val="0009310B"/>
    <w:rsid w:val="0009429F"/>
    <w:rsid w:val="00094DF6"/>
    <w:rsid w:val="000950AB"/>
    <w:rsid w:val="000961F0"/>
    <w:rsid w:val="0009757C"/>
    <w:rsid w:val="000A199C"/>
    <w:rsid w:val="000A38DB"/>
    <w:rsid w:val="000A4868"/>
    <w:rsid w:val="000B01CD"/>
    <w:rsid w:val="000B066C"/>
    <w:rsid w:val="000B1293"/>
    <w:rsid w:val="000B1C6D"/>
    <w:rsid w:val="000B7E13"/>
    <w:rsid w:val="000C633A"/>
    <w:rsid w:val="000D0951"/>
    <w:rsid w:val="000D0E5E"/>
    <w:rsid w:val="000D31A0"/>
    <w:rsid w:val="000D392C"/>
    <w:rsid w:val="000D39A8"/>
    <w:rsid w:val="000D796E"/>
    <w:rsid w:val="000E1A58"/>
    <w:rsid w:val="000E1D1B"/>
    <w:rsid w:val="000E2524"/>
    <w:rsid w:val="000E3CBE"/>
    <w:rsid w:val="000E3F0E"/>
    <w:rsid w:val="00100564"/>
    <w:rsid w:val="00100CD9"/>
    <w:rsid w:val="00101644"/>
    <w:rsid w:val="001039C0"/>
    <w:rsid w:val="001058F3"/>
    <w:rsid w:val="00113A03"/>
    <w:rsid w:val="00114BE9"/>
    <w:rsid w:val="00114FAA"/>
    <w:rsid w:val="00116765"/>
    <w:rsid w:val="00121A7A"/>
    <w:rsid w:val="001227AB"/>
    <w:rsid w:val="001242FC"/>
    <w:rsid w:val="00125987"/>
    <w:rsid w:val="001268C6"/>
    <w:rsid w:val="00130808"/>
    <w:rsid w:val="00131431"/>
    <w:rsid w:val="00131A10"/>
    <w:rsid w:val="00133056"/>
    <w:rsid w:val="001346BA"/>
    <w:rsid w:val="00140361"/>
    <w:rsid w:val="00140932"/>
    <w:rsid w:val="00141467"/>
    <w:rsid w:val="0014267A"/>
    <w:rsid w:val="001468F1"/>
    <w:rsid w:val="001512A8"/>
    <w:rsid w:val="0015278D"/>
    <w:rsid w:val="001535FF"/>
    <w:rsid w:val="0015452B"/>
    <w:rsid w:val="00154D51"/>
    <w:rsid w:val="001606EB"/>
    <w:rsid w:val="00160BC0"/>
    <w:rsid w:val="00163254"/>
    <w:rsid w:val="00163820"/>
    <w:rsid w:val="00171EDA"/>
    <w:rsid w:val="00173986"/>
    <w:rsid w:val="00173B5F"/>
    <w:rsid w:val="00176D3F"/>
    <w:rsid w:val="0018486E"/>
    <w:rsid w:val="00186A58"/>
    <w:rsid w:val="001872EB"/>
    <w:rsid w:val="00187E90"/>
    <w:rsid w:val="00191820"/>
    <w:rsid w:val="00192CFF"/>
    <w:rsid w:val="0019413A"/>
    <w:rsid w:val="001943B8"/>
    <w:rsid w:val="00194890"/>
    <w:rsid w:val="001954ED"/>
    <w:rsid w:val="0019796B"/>
    <w:rsid w:val="001A0CDF"/>
    <w:rsid w:val="001A14D5"/>
    <w:rsid w:val="001A19AF"/>
    <w:rsid w:val="001A34BC"/>
    <w:rsid w:val="001A3CB0"/>
    <w:rsid w:val="001A431D"/>
    <w:rsid w:val="001A4E4E"/>
    <w:rsid w:val="001A5E1A"/>
    <w:rsid w:val="001A6BA7"/>
    <w:rsid w:val="001B035D"/>
    <w:rsid w:val="001B3D4E"/>
    <w:rsid w:val="001B5046"/>
    <w:rsid w:val="001B6329"/>
    <w:rsid w:val="001B642F"/>
    <w:rsid w:val="001C3F38"/>
    <w:rsid w:val="001C6AB2"/>
    <w:rsid w:val="001D47B4"/>
    <w:rsid w:val="001D7CE8"/>
    <w:rsid w:val="001E0572"/>
    <w:rsid w:val="001E0F22"/>
    <w:rsid w:val="001E206F"/>
    <w:rsid w:val="001E42DE"/>
    <w:rsid w:val="001F1566"/>
    <w:rsid w:val="001F2A6B"/>
    <w:rsid w:val="00203DE6"/>
    <w:rsid w:val="002054DE"/>
    <w:rsid w:val="00206AC3"/>
    <w:rsid w:val="002072AE"/>
    <w:rsid w:val="00211EEC"/>
    <w:rsid w:val="00214C4F"/>
    <w:rsid w:val="00215A0C"/>
    <w:rsid w:val="00216777"/>
    <w:rsid w:val="0022001E"/>
    <w:rsid w:val="00223E04"/>
    <w:rsid w:val="00224B60"/>
    <w:rsid w:val="002254BC"/>
    <w:rsid w:val="002306A8"/>
    <w:rsid w:val="0023486A"/>
    <w:rsid w:val="0023557E"/>
    <w:rsid w:val="00237DD3"/>
    <w:rsid w:val="00240873"/>
    <w:rsid w:val="00243421"/>
    <w:rsid w:val="002453B4"/>
    <w:rsid w:val="0024741B"/>
    <w:rsid w:val="00250BC8"/>
    <w:rsid w:val="002510E2"/>
    <w:rsid w:val="002518CC"/>
    <w:rsid w:val="00254C65"/>
    <w:rsid w:val="00255E00"/>
    <w:rsid w:val="00256E3C"/>
    <w:rsid w:val="00256F24"/>
    <w:rsid w:val="002571C9"/>
    <w:rsid w:val="00260CE7"/>
    <w:rsid w:val="00263374"/>
    <w:rsid w:val="00265C58"/>
    <w:rsid w:val="00267ACD"/>
    <w:rsid w:val="00270843"/>
    <w:rsid w:val="002722B6"/>
    <w:rsid w:val="002726A6"/>
    <w:rsid w:val="0027637F"/>
    <w:rsid w:val="00276FCA"/>
    <w:rsid w:val="002777EB"/>
    <w:rsid w:val="00281949"/>
    <w:rsid w:val="002825F8"/>
    <w:rsid w:val="00283457"/>
    <w:rsid w:val="00284CCC"/>
    <w:rsid w:val="002863F6"/>
    <w:rsid w:val="002869EF"/>
    <w:rsid w:val="00290012"/>
    <w:rsid w:val="002967E1"/>
    <w:rsid w:val="00296E80"/>
    <w:rsid w:val="002973ED"/>
    <w:rsid w:val="002A07D6"/>
    <w:rsid w:val="002A0DB1"/>
    <w:rsid w:val="002A3787"/>
    <w:rsid w:val="002B25F9"/>
    <w:rsid w:val="002B3EDA"/>
    <w:rsid w:val="002B4168"/>
    <w:rsid w:val="002B47DC"/>
    <w:rsid w:val="002B5A6E"/>
    <w:rsid w:val="002B5ABF"/>
    <w:rsid w:val="002B7F2A"/>
    <w:rsid w:val="002C1370"/>
    <w:rsid w:val="002C2FD1"/>
    <w:rsid w:val="002C31B7"/>
    <w:rsid w:val="002C69DE"/>
    <w:rsid w:val="002C7302"/>
    <w:rsid w:val="002D3554"/>
    <w:rsid w:val="002D4530"/>
    <w:rsid w:val="002D5001"/>
    <w:rsid w:val="002D5286"/>
    <w:rsid w:val="002D77A8"/>
    <w:rsid w:val="002E1763"/>
    <w:rsid w:val="002E1AE5"/>
    <w:rsid w:val="002E37C6"/>
    <w:rsid w:val="002F0B63"/>
    <w:rsid w:val="002F2651"/>
    <w:rsid w:val="002F5129"/>
    <w:rsid w:val="002F7561"/>
    <w:rsid w:val="00305B0D"/>
    <w:rsid w:val="00306E22"/>
    <w:rsid w:val="0031215F"/>
    <w:rsid w:val="00312B81"/>
    <w:rsid w:val="00313D38"/>
    <w:rsid w:val="003202DB"/>
    <w:rsid w:val="00322286"/>
    <w:rsid w:val="00326274"/>
    <w:rsid w:val="00327781"/>
    <w:rsid w:val="003359E5"/>
    <w:rsid w:val="003373DB"/>
    <w:rsid w:val="0033780C"/>
    <w:rsid w:val="00343225"/>
    <w:rsid w:val="00343E7B"/>
    <w:rsid w:val="00344EA1"/>
    <w:rsid w:val="003464F8"/>
    <w:rsid w:val="00346EA7"/>
    <w:rsid w:val="00353876"/>
    <w:rsid w:val="00357C2F"/>
    <w:rsid w:val="0036210D"/>
    <w:rsid w:val="00362FE9"/>
    <w:rsid w:val="00365497"/>
    <w:rsid w:val="003662D5"/>
    <w:rsid w:val="00366BB3"/>
    <w:rsid w:val="00374E07"/>
    <w:rsid w:val="003826D1"/>
    <w:rsid w:val="00384710"/>
    <w:rsid w:val="00384EDC"/>
    <w:rsid w:val="00385D03"/>
    <w:rsid w:val="003904CF"/>
    <w:rsid w:val="00390E4C"/>
    <w:rsid w:val="00392522"/>
    <w:rsid w:val="00392ED2"/>
    <w:rsid w:val="00396288"/>
    <w:rsid w:val="0039759F"/>
    <w:rsid w:val="00397839"/>
    <w:rsid w:val="0039783A"/>
    <w:rsid w:val="003A005A"/>
    <w:rsid w:val="003A01F2"/>
    <w:rsid w:val="003A2C2C"/>
    <w:rsid w:val="003A4901"/>
    <w:rsid w:val="003A75BA"/>
    <w:rsid w:val="003B0E95"/>
    <w:rsid w:val="003B1E2A"/>
    <w:rsid w:val="003B2DE6"/>
    <w:rsid w:val="003B3CEF"/>
    <w:rsid w:val="003B4106"/>
    <w:rsid w:val="003B4480"/>
    <w:rsid w:val="003B4A5A"/>
    <w:rsid w:val="003C085F"/>
    <w:rsid w:val="003C4D6D"/>
    <w:rsid w:val="003C6D32"/>
    <w:rsid w:val="003D50EF"/>
    <w:rsid w:val="003E3F7E"/>
    <w:rsid w:val="003E4101"/>
    <w:rsid w:val="003E4AB1"/>
    <w:rsid w:val="003E5A38"/>
    <w:rsid w:val="003E6E28"/>
    <w:rsid w:val="003E70AA"/>
    <w:rsid w:val="003E7CBC"/>
    <w:rsid w:val="003F1FD4"/>
    <w:rsid w:val="003F22D7"/>
    <w:rsid w:val="003F2C20"/>
    <w:rsid w:val="00400404"/>
    <w:rsid w:val="00400C31"/>
    <w:rsid w:val="00401451"/>
    <w:rsid w:val="00401802"/>
    <w:rsid w:val="00401836"/>
    <w:rsid w:val="004043E2"/>
    <w:rsid w:val="00405DAA"/>
    <w:rsid w:val="00406399"/>
    <w:rsid w:val="00410B1C"/>
    <w:rsid w:val="0041140F"/>
    <w:rsid w:val="00413C0C"/>
    <w:rsid w:val="00414DB0"/>
    <w:rsid w:val="0041604E"/>
    <w:rsid w:val="004207F5"/>
    <w:rsid w:val="00423718"/>
    <w:rsid w:val="00437957"/>
    <w:rsid w:val="004413FE"/>
    <w:rsid w:val="004444B9"/>
    <w:rsid w:val="00445416"/>
    <w:rsid w:val="00447ACB"/>
    <w:rsid w:val="004506C2"/>
    <w:rsid w:val="00460166"/>
    <w:rsid w:val="00460DE8"/>
    <w:rsid w:val="00462C3F"/>
    <w:rsid w:val="00465330"/>
    <w:rsid w:val="0046646E"/>
    <w:rsid w:val="00466B80"/>
    <w:rsid w:val="00467E24"/>
    <w:rsid w:val="00473A4A"/>
    <w:rsid w:val="00475B84"/>
    <w:rsid w:val="0048025D"/>
    <w:rsid w:val="0048050C"/>
    <w:rsid w:val="00480E74"/>
    <w:rsid w:val="00481086"/>
    <w:rsid w:val="00482C85"/>
    <w:rsid w:val="004853ED"/>
    <w:rsid w:val="00486A76"/>
    <w:rsid w:val="0049158B"/>
    <w:rsid w:val="00493BE6"/>
    <w:rsid w:val="00497999"/>
    <w:rsid w:val="004A03E5"/>
    <w:rsid w:val="004A0A7C"/>
    <w:rsid w:val="004A1E5C"/>
    <w:rsid w:val="004A4108"/>
    <w:rsid w:val="004A5600"/>
    <w:rsid w:val="004B25D0"/>
    <w:rsid w:val="004B2BC1"/>
    <w:rsid w:val="004B4C47"/>
    <w:rsid w:val="004B5646"/>
    <w:rsid w:val="004B5EC1"/>
    <w:rsid w:val="004B71C0"/>
    <w:rsid w:val="004D03DE"/>
    <w:rsid w:val="004D12AC"/>
    <w:rsid w:val="004D3C46"/>
    <w:rsid w:val="004D4ED5"/>
    <w:rsid w:val="004D532F"/>
    <w:rsid w:val="004D6E36"/>
    <w:rsid w:val="004E102C"/>
    <w:rsid w:val="004E3C5A"/>
    <w:rsid w:val="004E47ED"/>
    <w:rsid w:val="004E4B3D"/>
    <w:rsid w:val="004F1DFD"/>
    <w:rsid w:val="004F2431"/>
    <w:rsid w:val="004F5522"/>
    <w:rsid w:val="004F7FB2"/>
    <w:rsid w:val="0050004A"/>
    <w:rsid w:val="005003AD"/>
    <w:rsid w:val="0050063A"/>
    <w:rsid w:val="005030F8"/>
    <w:rsid w:val="00504376"/>
    <w:rsid w:val="00512FE3"/>
    <w:rsid w:val="00513F32"/>
    <w:rsid w:val="00516C60"/>
    <w:rsid w:val="00516DA1"/>
    <w:rsid w:val="00520E0D"/>
    <w:rsid w:val="00522E2E"/>
    <w:rsid w:val="00523AEA"/>
    <w:rsid w:val="005244C6"/>
    <w:rsid w:val="005245BE"/>
    <w:rsid w:val="005246E7"/>
    <w:rsid w:val="005251B5"/>
    <w:rsid w:val="00525E26"/>
    <w:rsid w:val="00527E9E"/>
    <w:rsid w:val="005310F1"/>
    <w:rsid w:val="00531A4B"/>
    <w:rsid w:val="00535569"/>
    <w:rsid w:val="005378ED"/>
    <w:rsid w:val="005379E9"/>
    <w:rsid w:val="00542A27"/>
    <w:rsid w:val="005432D6"/>
    <w:rsid w:val="005432F1"/>
    <w:rsid w:val="00543BE4"/>
    <w:rsid w:val="00544C07"/>
    <w:rsid w:val="00545DDA"/>
    <w:rsid w:val="00546612"/>
    <w:rsid w:val="00552313"/>
    <w:rsid w:val="00554877"/>
    <w:rsid w:val="00557929"/>
    <w:rsid w:val="00566032"/>
    <w:rsid w:val="005708E7"/>
    <w:rsid w:val="00571260"/>
    <w:rsid w:val="00571CE2"/>
    <w:rsid w:val="005740FF"/>
    <w:rsid w:val="00576334"/>
    <w:rsid w:val="00576C58"/>
    <w:rsid w:val="00577144"/>
    <w:rsid w:val="005779B5"/>
    <w:rsid w:val="005815C7"/>
    <w:rsid w:val="00582E85"/>
    <w:rsid w:val="005854CB"/>
    <w:rsid w:val="00590E42"/>
    <w:rsid w:val="00591895"/>
    <w:rsid w:val="00592A26"/>
    <w:rsid w:val="00593D26"/>
    <w:rsid w:val="00593DAE"/>
    <w:rsid w:val="005A29C9"/>
    <w:rsid w:val="005A7EDD"/>
    <w:rsid w:val="005B035D"/>
    <w:rsid w:val="005B297D"/>
    <w:rsid w:val="005B4B73"/>
    <w:rsid w:val="005B60B3"/>
    <w:rsid w:val="005B61EB"/>
    <w:rsid w:val="005C0134"/>
    <w:rsid w:val="005C0AB6"/>
    <w:rsid w:val="005C29CE"/>
    <w:rsid w:val="005C4FA0"/>
    <w:rsid w:val="005C646A"/>
    <w:rsid w:val="005C6EEF"/>
    <w:rsid w:val="005C712D"/>
    <w:rsid w:val="005D0138"/>
    <w:rsid w:val="005D1CDC"/>
    <w:rsid w:val="005D3DB8"/>
    <w:rsid w:val="005D50AE"/>
    <w:rsid w:val="005D5320"/>
    <w:rsid w:val="005D7D97"/>
    <w:rsid w:val="005E2DE2"/>
    <w:rsid w:val="005E3352"/>
    <w:rsid w:val="005E374F"/>
    <w:rsid w:val="005E41A7"/>
    <w:rsid w:val="005E436D"/>
    <w:rsid w:val="005E5DAA"/>
    <w:rsid w:val="005E673B"/>
    <w:rsid w:val="005F007C"/>
    <w:rsid w:val="005F08AD"/>
    <w:rsid w:val="005F09F3"/>
    <w:rsid w:val="005F2456"/>
    <w:rsid w:val="005F28BE"/>
    <w:rsid w:val="005F58B0"/>
    <w:rsid w:val="005F7577"/>
    <w:rsid w:val="006003AD"/>
    <w:rsid w:val="0060332D"/>
    <w:rsid w:val="006047C5"/>
    <w:rsid w:val="00606FE8"/>
    <w:rsid w:val="00607EE7"/>
    <w:rsid w:val="00611C09"/>
    <w:rsid w:val="00611C6E"/>
    <w:rsid w:val="00613CDF"/>
    <w:rsid w:val="00621CB1"/>
    <w:rsid w:val="006221BE"/>
    <w:rsid w:val="006241D3"/>
    <w:rsid w:val="0062788F"/>
    <w:rsid w:val="00627CDB"/>
    <w:rsid w:val="006315FC"/>
    <w:rsid w:val="00634433"/>
    <w:rsid w:val="006354C0"/>
    <w:rsid w:val="0063628D"/>
    <w:rsid w:val="00637D95"/>
    <w:rsid w:val="006418C8"/>
    <w:rsid w:val="00650061"/>
    <w:rsid w:val="0065368F"/>
    <w:rsid w:val="00655860"/>
    <w:rsid w:val="00656772"/>
    <w:rsid w:val="00661273"/>
    <w:rsid w:val="00662989"/>
    <w:rsid w:val="00666C08"/>
    <w:rsid w:val="00670A2A"/>
    <w:rsid w:val="00671E08"/>
    <w:rsid w:val="0067240A"/>
    <w:rsid w:val="00672F7C"/>
    <w:rsid w:val="00681E96"/>
    <w:rsid w:val="00686A3F"/>
    <w:rsid w:val="006876A7"/>
    <w:rsid w:val="00692413"/>
    <w:rsid w:val="00693AAE"/>
    <w:rsid w:val="006A1073"/>
    <w:rsid w:val="006A78F8"/>
    <w:rsid w:val="006B0AD3"/>
    <w:rsid w:val="006B19F9"/>
    <w:rsid w:val="006B2BB7"/>
    <w:rsid w:val="006B3D95"/>
    <w:rsid w:val="006B55A9"/>
    <w:rsid w:val="006B59CB"/>
    <w:rsid w:val="006B7FA2"/>
    <w:rsid w:val="006C243C"/>
    <w:rsid w:val="006C4F8D"/>
    <w:rsid w:val="006C6DF7"/>
    <w:rsid w:val="006C7211"/>
    <w:rsid w:val="006C7EDA"/>
    <w:rsid w:val="006D2BDF"/>
    <w:rsid w:val="006D39B5"/>
    <w:rsid w:val="006E25FC"/>
    <w:rsid w:val="006E5717"/>
    <w:rsid w:val="006E5CC1"/>
    <w:rsid w:val="006E702A"/>
    <w:rsid w:val="006F1509"/>
    <w:rsid w:val="006F351C"/>
    <w:rsid w:val="006F524C"/>
    <w:rsid w:val="006F5F8C"/>
    <w:rsid w:val="0070029B"/>
    <w:rsid w:val="00705B9E"/>
    <w:rsid w:val="00710C01"/>
    <w:rsid w:val="00714608"/>
    <w:rsid w:val="00716C85"/>
    <w:rsid w:val="00716EFE"/>
    <w:rsid w:val="00723482"/>
    <w:rsid w:val="0072472D"/>
    <w:rsid w:val="00726ABC"/>
    <w:rsid w:val="007334AB"/>
    <w:rsid w:val="007362FA"/>
    <w:rsid w:val="0073666F"/>
    <w:rsid w:val="00737A74"/>
    <w:rsid w:val="00740042"/>
    <w:rsid w:val="00740314"/>
    <w:rsid w:val="0074262A"/>
    <w:rsid w:val="0074389A"/>
    <w:rsid w:val="007438F9"/>
    <w:rsid w:val="0074503D"/>
    <w:rsid w:val="007450CA"/>
    <w:rsid w:val="00746314"/>
    <w:rsid w:val="00747DF2"/>
    <w:rsid w:val="0076091D"/>
    <w:rsid w:val="00763ED8"/>
    <w:rsid w:val="00764C2E"/>
    <w:rsid w:val="00770384"/>
    <w:rsid w:val="0077413D"/>
    <w:rsid w:val="0078049F"/>
    <w:rsid w:val="007816EA"/>
    <w:rsid w:val="00782CA9"/>
    <w:rsid w:val="007834CE"/>
    <w:rsid w:val="00783A56"/>
    <w:rsid w:val="00784A65"/>
    <w:rsid w:val="00787DD2"/>
    <w:rsid w:val="00790FE8"/>
    <w:rsid w:val="00792219"/>
    <w:rsid w:val="00792F41"/>
    <w:rsid w:val="007932CA"/>
    <w:rsid w:val="00795BB8"/>
    <w:rsid w:val="007961B8"/>
    <w:rsid w:val="007A2CBE"/>
    <w:rsid w:val="007A5D61"/>
    <w:rsid w:val="007A75F8"/>
    <w:rsid w:val="007B172D"/>
    <w:rsid w:val="007B3CE6"/>
    <w:rsid w:val="007B49CC"/>
    <w:rsid w:val="007B4FD3"/>
    <w:rsid w:val="007B6A55"/>
    <w:rsid w:val="007C178F"/>
    <w:rsid w:val="007C372E"/>
    <w:rsid w:val="007C6927"/>
    <w:rsid w:val="007D1B74"/>
    <w:rsid w:val="007D1BD5"/>
    <w:rsid w:val="007D2118"/>
    <w:rsid w:val="007D2B2B"/>
    <w:rsid w:val="007E1DB8"/>
    <w:rsid w:val="007E2FDC"/>
    <w:rsid w:val="007E6AAA"/>
    <w:rsid w:val="007E6E7C"/>
    <w:rsid w:val="007F2A96"/>
    <w:rsid w:val="007F63E8"/>
    <w:rsid w:val="00800D76"/>
    <w:rsid w:val="00803C05"/>
    <w:rsid w:val="00804109"/>
    <w:rsid w:val="00805DEF"/>
    <w:rsid w:val="00805FC4"/>
    <w:rsid w:val="00813DA7"/>
    <w:rsid w:val="0081561A"/>
    <w:rsid w:val="00821894"/>
    <w:rsid w:val="00823F0C"/>
    <w:rsid w:val="0082635F"/>
    <w:rsid w:val="00832135"/>
    <w:rsid w:val="00832F54"/>
    <w:rsid w:val="0083313F"/>
    <w:rsid w:val="00833186"/>
    <w:rsid w:val="00834638"/>
    <w:rsid w:val="0083588B"/>
    <w:rsid w:val="00835A0B"/>
    <w:rsid w:val="008369EA"/>
    <w:rsid w:val="00837E61"/>
    <w:rsid w:val="00840618"/>
    <w:rsid w:val="0084130C"/>
    <w:rsid w:val="00842677"/>
    <w:rsid w:val="00843669"/>
    <w:rsid w:val="008455B1"/>
    <w:rsid w:val="00846AD0"/>
    <w:rsid w:val="00851A88"/>
    <w:rsid w:val="00852B31"/>
    <w:rsid w:val="0085336A"/>
    <w:rsid w:val="00853AB8"/>
    <w:rsid w:val="00856F99"/>
    <w:rsid w:val="00857C9B"/>
    <w:rsid w:val="00864E02"/>
    <w:rsid w:val="0086596B"/>
    <w:rsid w:val="00880A00"/>
    <w:rsid w:val="0088150F"/>
    <w:rsid w:val="0088637C"/>
    <w:rsid w:val="00886D0A"/>
    <w:rsid w:val="00887C49"/>
    <w:rsid w:val="00891169"/>
    <w:rsid w:val="00895139"/>
    <w:rsid w:val="00895452"/>
    <w:rsid w:val="008957A3"/>
    <w:rsid w:val="00896434"/>
    <w:rsid w:val="00897280"/>
    <w:rsid w:val="00897523"/>
    <w:rsid w:val="008A0090"/>
    <w:rsid w:val="008A18E3"/>
    <w:rsid w:val="008A27EB"/>
    <w:rsid w:val="008B0CDD"/>
    <w:rsid w:val="008B10E2"/>
    <w:rsid w:val="008B2A05"/>
    <w:rsid w:val="008B550A"/>
    <w:rsid w:val="008B5677"/>
    <w:rsid w:val="008B62A4"/>
    <w:rsid w:val="008B7A45"/>
    <w:rsid w:val="008C3A53"/>
    <w:rsid w:val="008C3C89"/>
    <w:rsid w:val="008C5D4B"/>
    <w:rsid w:val="008C621D"/>
    <w:rsid w:val="008C6C87"/>
    <w:rsid w:val="008C6D8D"/>
    <w:rsid w:val="008D36FF"/>
    <w:rsid w:val="008E2A5F"/>
    <w:rsid w:val="008E450D"/>
    <w:rsid w:val="008E4AC5"/>
    <w:rsid w:val="008E7919"/>
    <w:rsid w:val="008F0C7E"/>
    <w:rsid w:val="008F2753"/>
    <w:rsid w:val="008F5C87"/>
    <w:rsid w:val="008F6D60"/>
    <w:rsid w:val="008F6DE5"/>
    <w:rsid w:val="008F7B37"/>
    <w:rsid w:val="00902394"/>
    <w:rsid w:val="00902560"/>
    <w:rsid w:val="009045EF"/>
    <w:rsid w:val="00906CA9"/>
    <w:rsid w:val="00910936"/>
    <w:rsid w:val="009129D7"/>
    <w:rsid w:val="009147D4"/>
    <w:rsid w:val="00915454"/>
    <w:rsid w:val="0091644A"/>
    <w:rsid w:val="009168D1"/>
    <w:rsid w:val="00917F45"/>
    <w:rsid w:val="009219F9"/>
    <w:rsid w:val="009230CC"/>
    <w:rsid w:val="00925DD4"/>
    <w:rsid w:val="009267AF"/>
    <w:rsid w:val="009277A8"/>
    <w:rsid w:val="00927FE0"/>
    <w:rsid w:val="009306D1"/>
    <w:rsid w:val="00931437"/>
    <w:rsid w:val="009352A6"/>
    <w:rsid w:val="00935CD7"/>
    <w:rsid w:val="00937682"/>
    <w:rsid w:val="00941B91"/>
    <w:rsid w:val="0094641F"/>
    <w:rsid w:val="009466BA"/>
    <w:rsid w:val="00947817"/>
    <w:rsid w:val="00953365"/>
    <w:rsid w:val="00955AB2"/>
    <w:rsid w:val="00957141"/>
    <w:rsid w:val="0096173F"/>
    <w:rsid w:val="00961788"/>
    <w:rsid w:val="00965DE5"/>
    <w:rsid w:val="00966230"/>
    <w:rsid w:val="00966A1F"/>
    <w:rsid w:val="009720AA"/>
    <w:rsid w:val="009767AA"/>
    <w:rsid w:val="00977CFB"/>
    <w:rsid w:val="00983530"/>
    <w:rsid w:val="00985137"/>
    <w:rsid w:val="00985B59"/>
    <w:rsid w:val="0098790B"/>
    <w:rsid w:val="00993305"/>
    <w:rsid w:val="009961DF"/>
    <w:rsid w:val="009A1281"/>
    <w:rsid w:val="009A1A51"/>
    <w:rsid w:val="009A2B09"/>
    <w:rsid w:val="009A2BCC"/>
    <w:rsid w:val="009B06D1"/>
    <w:rsid w:val="009B0833"/>
    <w:rsid w:val="009C1104"/>
    <w:rsid w:val="009C12C0"/>
    <w:rsid w:val="009C5194"/>
    <w:rsid w:val="009C5DFF"/>
    <w:rsid w:val="009C6593"/>
    <w:rsid w:val="009C708C"/>
    <w:rsid w:val="009D0C36"/>
    <w:rsid w:val="009D4AD9"/>
    <w:rsid w:val="009D4FCF"/>
    <w:rsid w:val="009D55D3"/>
    <w:rsid w:val="009D6BE8"/>
    <w:rsid w:val="009E221E"/>
    <w:rsid w:val="009E31F5"/>
    <w:rsid w:val="009E78AC"/>
    <w:rsid w:val="009F7669"/>
    <w:rsid w:val="009F7C12"/>
    <w:rsid w:val="009F7D21"/>
    <w:rsid w:val="00A035E5"/>
    <w:rsid w:val="00A03E36"/>
    <w:rsid w:val="00A05253"/>
    <w:rsid w:val="00A05349"/>
    <w:rsid w:val="00A0765F"/>
    <w:rsid w:val="00A07F56"/>
    <w:rsid w:val="00A1049B"/>
    <w:rsid w:val="00A1198A"/>
    <w:rsid w:val="00A12A38"/>
    <w:rsid w:val="00A130CC"/>
    <w:rsid w:val="00A17D98"/>
    <w:rsid w:val="00A20F95"/>
    <w:rsid w:val="00A26959"/>
    <w:rsid w:val="00A26E30"/>
    <w:rsid w:val="00A31FE6"/>
    <w:rsid w:val="00A400C4"/>
    <w:rsid w:val="00A50392"/>
    <w:rsid w:val="00A53D84"/>
    <w:rsid w:val="00A54868"/>
    <w:rsid w:val="00A55EFF"/>
    <w:rsid w:val="00A56B83"/>
    <w:rsid w:val="00A62F72"/>
    <w:rsid w:val="00A64F5B"/>
    <w:rsid w:val="00A650EE"/>
    <w:rsid w:val="00A65FBD"/>
    <w:rsid w:val="00A66A51"/>
    <w:rsid w:val="00A66A8F"/>
    <w:rsid w:val="00A67316"/>
    <w:rsid w:val="00A732B7"/>
    <w:rsid w:val="00A73773"/>
    <w:rsid w:val="00A75C15"/>
    <w:rsid w:val="00A80289"/>
    <w:rsid w:val="00A8077A"/>
    <w:rsid w:val="00A81A99"/>
    <w:rsid w:val="00A81ED9"/>
    <w:rsid w:val="00A836DF"/>
    <w:rsid w:val="00A84161"/>
    <w:rsid w:val="00A866D6"/>
    <w:rsid w:val="00A86BDE"/>
    <w:rsid w:val="00A87328"/>
    <w:rsid w:val="00A93118"/>
    <w:rsid w:val="00A93432"/>
    <w:rsid w:val="00A93DA7"/>
    <w:rsid w:val="00A9450F"/>
    <w:rsid w:val="00A95100"/>
    <w:rsid w:val="00A96995"/>
    <w:rsid w:val="00A96AF1"/>
    <w:rsid w:val="00A971ED"/>
    <w:rsid w:val="00AA1404"/>
    <w:rsid w:val="00AA23AD"/>
    <w:rsid w:val="00AA5E28"/>
    <w:rsid w:val="00AB0AFF"/>
    <w:rsid w:val="00AB1E44"/>
    <w:rsid w:val="00AB56AC"/>
    <w:rsid w:val="00AB7322"/>
    <w:rsid w:val="00AB75FB"/>
    <w:rsid w:val="00AC10C5"/>
    <w:rsid w:val="00AC4694"/>
    <w:rsid w:val="00AC6997"/>
    <w:rsid w:val="00AD2494"/>
    <w:rsid w:val="00AD3B8E"/>
    <w:rsid w:val="00AD3E89"/>
    <w:rsid w:val="00AD461C"/>
    <w:rsid w:val="00AD62C5"/>
    <w:rsid w:val="00AD705B"/>
    <w:rsid w:val="00AE68AB"/>
    <w:rsid w:val="00AE6966"/>
    <w:rsid w:val="00AE6D31"/>
    <w:rsid w:val="00AF0114"/>
    <w:rsid w:val="00AF260B"/>
    <w:rsid w:val="00AF2F34"/>
    <w:rsid w:val="00B01247"/>
    <w:rsid w:val="00B01EF3"/>
    <w:rsid w:val="00B0215B"/>
    <w:rsid w:val="00B0436F"/>
    <w:rsid w:val="00B15247"/>
    <w:rsid w:val="00B15BC3"/>
    <w:rsid w:val="00B1749B"/>
    <w:rsid w:val="00B21BD3"/>
    <w:rsid w:val="00B21EBE"/>
    <w:rsid w:val="00B22864"/>
    <w:rsid w:val="00B26C25"/>
    <w:rsid w:val="00B2774A"/>
    <w:rsid w:val="00B305FD"/>
    <w:rsid w:val="00B33FC3"/>
    <w:rsid w:val="00B36072"/>
    <w:rsid w:val="00B36C17"/>
    <w:rsid w:val="00B40284"/>
    <w:rsid w:val="00B4133A"/>
    <w:rsid w:val="00B42396"/>
    <w:rsid w:val="00B445D8"/>
    <w:rsid w:val="00B45780"/>
    <w:rsid w:val="00B503FF"/>
    <w:rsid w:val="00B52F16"/>
    <w:rsid w:val="00B53A2D"/>
    <w:rsid w:val="00B540E8"/>
    <w:rsid w:val="00B55172"/>
    <w:rsid w:val="00B60D15"/>
    <w:rsid w:val="00B61AC6"/>
    <w:rsid w:val="00B62565"/>
    <w:rsid w:val="00B6414A"/>
    <w:rsid w:val="00B643A4"/>
    <w:rsid w:val="00B80254"/>
    <w:rsid w:val="00B8434B"/>
    <w:rsid w:val="00B904AD"/>
    <w:rsid w:val="00B91AE7"/>
    <w:rsid w:val="00B91CDD"/>
    <w:rsid w:val="00B95BC1"/>
    <w:rsid w:val="00B96D2A"/>
    <w:rsid w:val="00BA1954"/>
    <w:rsid w:val="00BA2330"/>
    <w:rsid w:val="00BA3F6C"/>
    <w:rsid w:val="00BA50F7"/>
    <w:rsid w:val="00BA67F7"/>
    <w:rsid w:val="00BB0EF7"/>
    <w:rsid w:val="00BB1589"/>
    <w:rsid w:val="00BC1C7F"/>
    <w:rsid w:val="00BC29FD"/>
    <w:rsid w:val="00BC2A7A"/>
    <w:rsid w:val="00BC686D"/>
    <w:rsid w:val="00BD0BD6"/>
    <w:rsid w:val="00BD0C77"/>
    <w:rsid w:val="00BD204D"/>
    <w:rsid w:val="00BD2937"/>
    <w:rsid w:val="00BD49C7"/>
    <w:rsid w:val="00BE3845"/>
    <w:rsid w:val="00BE4312"/>
    <w:rsid w:val="00BE62D4"/>
    <w:rsid w:val="00BF026E"/>
    <w:rsid w:val="00BF17F4"/>
    <w:rsid w:val="00BF19BB"/>
    <w:rsid w:val="00BF3657"/>
    <w:rsid w:val="00BF5EE7"/>
    <w:rsid w:val="00BF6304"/>
    <w:rsid w:val="00C001EE"/>
    <w:rsid w:val="00C03CA3"/>
    <w:rsid w:val="00C042B3"/>
    <w:rsid w:val="00C079B9"/>
    <w:rsid w:val="00C10C2C"/>
    <w:rsid w:val="00C113F2"/>
    <w:rsid w:val="00C13319"/>
    <w:rsid w:val="00C148E2"/>
    <w:rsid w:val="00C20D8B"/>
    <w:rsid w:val="00C21589"/>
    <w:rsid w:val="00C215D5"/>
    <w:rsid w:val="00C2346E"/>
    <w:rsid w:val="00C2374B"/>
    <w:rsid w:val="00C24D95"/>
    <w:rsid w:val="00C271C0"/>
    <w:rsid w:val="00C30251"/>
    <w:rsid w:val="00C306EA"/>
    <w:rsid w:val="00C32F31"/>
    <w:rsid w:val="00C42059"/>
    <w:rsid w:val="00C43817"/>
    <w:rsid w:val="00C45FC4"/>
    <w:rsid w:val="00C545F2"/>
    <w:rsid w:val="00C55C7A"/>
    <w:rsid w:val="00C56468"/>
    <w:rsid w:val="00C6014E"/>
    <w:rsid w:val="00C61685"/>
    <w:rsid w:val="00C63C6A"/>
    <w:rsid w:val="00C66515"/>
    <w:rsid w:val="00C666B6"/>
    <w:rsid w:val="00C7077A"/>
    <w:rsid w:val="00C715B2"/>
    <w:rsid w:val="00C77DD6"/>
    <w:rsid w:val="00C80BD8"/>
    <w:rsid w:val="00C87678"/>
    <w:rsid w:val="00C90A9A"/>
    <w:rsid w:val="00C963B8"/>
    <w:rsid w:val="00C96BE3"/>
    <w:rsid w:val="00C974CD"/>
    <w:rsid w:val="00CA0E58"/>
    <w:rsid w:val="00CA386D"/>
    <w:rsid w:val="00CA3A80"/>
    <w:rsid w:val="00CA538C"/>
    <w:rsid w:val="00CA7DE5"/>
    <w:rsid w:val="00CB2FF4"/>
    <w:rsid w:val="00CB3052"/>
    <w:rsid w:val="00CB53C4"/>
    <w:rsid w:val="00CB5AFE"/>
    <w:rsid w:val="00CB6040"/>
    <w:rsid w:val="00CC3FE2"/>
    <w:rsid w:val="00CC573F"/>
    <w:rsid w:val="00CC68EC"/>
    <w:rsid w:val="00CC6A63"/>
    <w:rsid w:val="00CC6BB3"/>
    <w:rsid w:val="00CD00AE"/>
    <w:rsid w:val="00CD12A7"/>
    <w:rsid w:val="00CD3B3C"/>
    <w:rsid w:val="00CD6BE1"/>
    <w:rsid w:val="00CE58F1"/>
    <w:rsid w:val="00CE5AB9"/>
    <w:rsid w:val="00CF03A3"/>
    <w:rsid w:val="00CF32A2"/>
    <w:rsid w:val="00CF3A5A"/>
    <w:rsid w:val="00D003E6"/>
    <w:rsid w:val="00D00BAE"/>
    <w:rsid w:val="00D02CCF"/>
    <w:rsid w:val="00D045ED"/>
    <w:rsid w:val="00D05400"/>
    <w:rsid w:val="00D10C95"/>
    <w:rsid w:val="00D13457"/>
    <w:rsid w:val="00D13BB0"/>
    <w:rsid w:val="00D217B6"/>
    <w:rsid w:val="00D22609"/>
    <w:rsid w:val="00D25CD1"/>
    <w:rsid w:val="00D27DB7"/>
    <w:rsid w:val="00D3022D"/>
    <w:rsid w:val="00D33F91"/>
    <w:rsid w:val="00D3503D"/>
    <w:rsid w:val="00D3625D"/>
    <w:rsid w:val="00D4083F"/>
    <w:rsid w:val="00D40A0A"/>
    <w:rsid w:val="00D45AAC"/>
    <w:rsid w:val="00D46704"/>
    <w:rsid w:val="00D46770"/>
    <w:rsid w:val="00D47F32"/>
    <w:rsid w:val="00D61CA0"/>
    <w:rsid w:val="00D642C1"/>
    <w:rsid w:val="00D658F5"/>
    <w:rsid w:val="00D67977"/>
    <w:rsid w:val="00D67FEA"/>
    <w:rsid w:val="00D727C4"/>
    <w:rsid w:val="00D72EF9"/>
    <w:rsid w:val="00D82241"/>
    <w:rsid w:val="00D82BCC"/>
    <w:rsid w:val="00D8395E"/>
    <w:rsid w:val="00D84D22"/>
    <w:rsid w:val="00D8691B"/>
    <w:rsid w:val="00D90C2F"/>
    <w:rsid w:val="00DA0F7C"/>
    <w:rsid w:val="00DA4B76"/>
    <w:rsid w:val="00DA6E0E"/>
    <w:rsid w:val="00DA74B8"/>
    <w:rsid w:val="00DB1F69"/>
    <w:rsid w:val="00DB20B3"/>
    <w:rsid w:val="00DB54ED"/>
    <w:rsid w:val="00DB59BE"/>
    <w:rsid w:val="00DB6410"/>
    <w:rsid w:val="00DB6F56"/>
    <w:rsid w:val="00DC0408"/>
    <w:rsid w:val="00DC2E4D"/>
    <w:rsid w:val="00DC3732"/>
    <w:rsid w:val="00DC4B01"/>
    <w:rsid w:val="00DC5C66"/>
    <w:rsid w:val="00DD03DD"/>
    <w:rsid w:val="00DD0566"/>
    <w:rsid w:val="00DD0A11"/>
    <w:rsid w:val="00DD1C81"/>
    <w:rsid w:val="00DD31F6"/>
    <w:rsid w:val="00DE1A34"/>
    <w:rsid w:val="00DE29D4"/>
    <w:rsid w:val="00DE2FC7"/>
    <w:rsid w:val="00DE7F0E"/>
    <w:rsid w:val="00DF09A4"/>
    <w:rsid w:val="00DF1967"/>
    <w:rsid w:val="00E008FA"/>
    <w:rsid w:val="00E00BC5"/>
    <w:rsid w:val="00E0452C"/>
    <w:rsid w:val="00E05402"/>
    <w:rsid w:val="00E05DBE"/>
    <w:rsid w:val="00E07999"/>
    <w:rsid w:val="00E1225D"/>
    <w:rsid w:val="00E12625"/>
    <w:rsid w:val="00E140A6"/>
    <w:rsid w:val="00E15310"/>
    <w:rsid w:val="00E16DCB"/>
    <w:rsid w:val="00E20411"/>
    <w:rsid w:val="00E23A03"/>
    <w:rsid w:val="00E266B2"/>
    <w:rsid w:val="00E27296"/>
    <w:rsid w:val="00E34D8D"/>
    <w:rsid w:val="00E35AF4"/>
    <w:rsid w:val="00E35B9E"/>
    <w:rsid w:val="00E35E68"/>
    <w:rsid w:val="00E3705F"/>
    <w:rsid w:val="00E37DEC"/>
    <w:rsid w:val="00E405B1"/>
    <w:rsid w:val="00E4467B"/>
    <w:rsid w:val="00E5044F"/>
    <w:rsid w:val="00E54149"/>
    <w:rsid w:val="00E62295"/>
    <w:rsid w:val="00E6464D"/>
    <w:rsid w:val="00E67450"/>
    <w:rsid w:val="00E67861"/>
    <w:rsid w:val="00E71B79"/>
    <w:rsid w:val="00E72465"/>
    <w:rsid w:val="00E75CC8"/>
    <w:rsid w:val="00E75FFB"/>
    <w:rsid w:val="00E778CB"/>
    <w:rsid w:val="00E82E24"/>
    <w:rsid w:val="00E8315F"/>
    <w:rsid w:val="00E836DF"/>
    <w:rsid w:val="00E85116"/>
    <w:rsid w:val="00E86F6C"/>
    <w:rsid w:val="00E96781"/>
    <w:rsid w:val="00E979AA"/>
    <w:rsid w:val="00E97D88"/>
    <w:rsid w:val="00EA025A"/>
    <w:rsid w:val="00EA1035"/>
    <w:rsid w:val="00EA103D"/>
    <w:rsid w:val="00EA578F"/>
    <w:rsid w:val="00EA6F7D"/>
    <w:rsid w:val="00EB1B49"/>
    <w:rsid w:val="00EB2169"/>
    <w:rsid w:val="00EB4916"/>
    <w:rsid w:val="00EB5D52"/>
    <w:rsid w:val="00EC0F00"/>
    <w:rsid w:val="00EC1EA3"/>
    <w:rsid w:val="00EC37D3"/>
    <w:rsid w:val="00EC58A5"/>
    <w:rsid w:val="00ED0566"/>
    <w:rsid w:val="00ED31EC"/>
    <w:rsid w:val="00ED7501"/>
    <w:rsid w:val="00EE0369"/>
    <w:rsid w:val="00EE12D4"/>
    <w:rsid w:val="00EE3426"/>
    <w:rsid w:val="00EE481B"/>
    <w:rsid w:val="00EE532C"/>
    <w:rsid w:val="00EE64D8"/>
    <w:rsid w:val="00EF0174"/>
    <w:rsid w:val="00EF286F"/>
    <w:rsid w:val="00EF3327"/>
    <w:rsid w:val="00EF7DF7"/>
    <w:rsid w:val="00F05A72"/>
    <w:rsid w:val="00F07F4A"/>
    <w:rsid w:val="00F126F4"/>
    <w:rsid w:val="00F15243"/>
    <w:rsid w:val="00F17180"/>
    <w:rsid w:val="00F17E74"/>
    <w:rsid w:val="00F22822"/>
    <w:rsid w:val="00F23110"/>
    <w:rsid w:val="00F27952"/>
    <w:rsid w:val="00F343FB"/>
    <w:rsid w:val="00F36907"/>
    <w:rsid w:val="00F36CAE"/>
    <w:rsid w:val="00F407DD"/>
    <w:rsid w:val="00F435FD"/>
    <w:rsid w:val="00F447D3"/>
    <w:rsid w:val="00F479E2"/>
    <w:rsid w:val="00F53EBC"/>
    <w:rsid w:val="00F55AC7"/>
    <w:rsid w:val="00F6028F"/>
    <w:rsid w:val="00F607D0"/>
    <w:rsid w:val="00F707FF"/>
    <w:rsid w:val="00F709C0"/>
    <w:rsid w:val="00F75DEF"/>
    <w:rsid w:val="00F769A1"/>
    <w:rsid w:val="00F770D1"/>
    <w:rsid w:val="00F8103B"/>
    <w:rsid w:val="00F83625"/>
    <w:rsid w:val="00F83664"/>
    <w:rsid w:val="00F83CAE"/>
    <w:rsid w:val="00F8751B"/>
    <w:rsid w:val="00F90025"/>
    <w:rsid w:val="00F91B14"/>
    <w:rsid w:val="00F9221C"/>
    <w:rsid w:val="00F924B0"/>
    <w:rsid w:val="00F92FFB"/>
    <w:rsid w:val="00F953D5"/>
    <w:rsid w:val="00F971E9"/>
    <w:rsid w:val="00F97684"/>
    <w:rsid w:val="00FA2743"/>
    <w:rsid w:val="00FA29B1"/>
    <w:rsid w:val="00FA2BDE"/>
    <w:rsid w:val="00FA2C22"/>
    <w:rsid w:val="00FA3727"/>
    <w:rsid w:val="00FB26EC"/>
    <w:rsid w:val="00FB4F26"/>
    <w:rsid w:val="00FC0D0E"/>
    <w:rsid w:val="00FC379B"/>
    <w:rsid w:val="00FC544F"/>
    <w:rsid w:val="00FC560A"/>
    <w:rsid w:val="00FC5D53"/>
    <w:rsid w:val="00FD0504"/>
    <w:rsid w:val="00FD1428"/>
    <w:rsid w:val="00FD4520"/>
    <w:rsid w:val="00FD55BF"/>
    <w:rsid w:val="00FD7290"/>
    <w:rsid w:val="00FE05AD"/>
    <w:rsid w:val="00FE3735"/>
    <w:rsid w:val="00FE6913"/>
    <w:rsid w:val="00FF1456"/>
    <w:rsid w:val="00FF5E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903CC4"/>
  <w15:docId w15:val="{5FED2C7C-FBA6-47FD-9B72-C70CB19B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0332D"/>
    <w:pPr>
      <w:keepLines/>
      <w:spacing w:after="60"/>
    </w:pPr>
  </w:style>
  <w:style w:type="paragraph" w:styleId="berschrift1">
    <w:name w:val="heading 1"/>
    <w:basedOn w:val="Standard"/>
    <w:next w:val="Standard"/>
    <w:link w:val="berschrift1Zchn"/>
    <w:uiPriority w:val="9"/>
    <w:qFormat/>
    <w:rsid w:val="0088637C"/>
    <w:pPr>
      <w:keepNext/>
      <w:spacing w:before="480" w:after="0"/>
      <w:outlineLvl w:val="0"/>
    </w:pPr>
    <w:rPr>
      <w:rFonts w:ascii="Cambria" w:hAnsi="Cambria"/>
      <w:b/>
      <w:bCs/>
      <w:color w:val="365F91"/>
      <w:sz w:val="28"/>
      <w:szCs w:val="28"/>
    </w:rPr>
  </w:style>
  <w:style w:type="paragraph" w:styleId="berschrift2">
    <w:name w:val="heading 2"/>
    <w:basedOn w:val="Standard"/>
    <w:next w:val="Standard"/>
    <w:link w:val="berschrift2Zchn"/>
    <w:uiPriority w:val="9"/>
    <w:qFormat/>
    <w:rsid w:val="005D7D97"/>
    <w:pPr>
      <w:keepNext/>
      <w:spacing w:before="200" w:after="120"/>
      <w:outlineLvl w:val="1"/>
    </w:pPr>
    <w:rPr>
      <w:rFonts w:ascii="Cambria" w:hAnsi="Cambria"/>
      <w:b/>
      <w:bCs/>
      <w:sz w:val="24"/>
      <w:szCs w:val="26"/>
    </w:rPr>
  </w:style>
  <w:style w:type="paragraph" w:styleId="berschrift3">
    <w:name w:val="heading 3"/>
    <w:basedOn w:val="Standard"/>
    <w:next w:val="Standard"/>
    <w:link w:val="berschrift3Zchn"/>
    <w:uiPriority w:val="9"/>
    <w:unhideWhenUsed/>
    <w:qFormat/>
    <w:rsid w:val="004043E2"/>
    <w:pPr>
      <w:keepNext/>
      <w:spacing w:before="240"/>
      <w:outlineLvl w:val="2"/>
    </w:pPr>
    <w:rPr>
      <w:rFonts w:ascii="Cambria" w:hAnsi="Cambria"/>
      <w:b/>
      <w:bCs/>
      <w:sz w:val="26"/>
      <w:szCs w:val="26"/>
    </w:rPr>
  </w:style>
  <w:style w:type="paragraph" w:styleId="berschrift4">
    <w:name w:val="heading 4"/>
    <w:basedOn w:val="Standard"/>
    <w:next w:val="Standard"/>
    <w:link w:val="berschrift4Zchn"/>
    <w:uiPriority w:val="9"/>
    <w:unhideWhenUsed/>
    <w:qFormat/>
    <w:rsid w:val="004D532F"/>
    <w:pPr>
      <w:keepNext/>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5D7D97"/>
    <w:rPr>
      <w:rFonts w:ascii="Cambria" w:eastAsia="Times New Roman" w:hAnsi="Cambria" w:cs="Times New Roman"/>
      <w:b/>
      <w:bCs/>
      <w:sz w:val="24"/>
      <w:szCs w:val="26"/>
    </w:rPr>
  </w:style>
  <w:style w:type="character" w:customStyle="1" w:styleId="berschrift1Zchn">
    <w:name w:val="Überschrift 1 Zchn"/>
    <w:link w:val="berschrift1"/>
    <w:uiPriority w:val="9"/>
    <w:rsid w:val="0088637C"/>
    <w:rPr>
      <w:rFonts w:ascii="Cambria" w:eastAsia="Times New Roman" w:hAnsi="Cambria" w:cs="Times New Roman"/>
      <w:b/>
      <w:bCs/>
      <w:color w:val="365F91"/>
      <w:sz w:val="28"/>
      <w:szCs w:val="28"/>
      <w:lang w:eastAsia="de-DE"/>
    </w:rPr>
  </w:style>
  <w:style w:type="paragraph" w:styleId="Listenabsatz">
    <w:name w:val="List Paragraph"/>
    <w:basedOn w:val="Standard"/>
    <w:uiPriority w:val="34"/>
    <w:qFormat/>
    <w:rsid w:val="0088637C"/>
    <w:pPr>
      <w:ind w:left="720"/>
      <w:contextualSpacing/>
    </w:pPr>
  </w:style>
  <w:style w:type="paragraph" w:styleId="Sprechblasentext">
    <w:name w:val="Balloon Text"/>
    <w:basedOn w:val="Standard"/>
    <w:link w:val="SprechblasentextZchn"/>
    <w:uiPriority w:val="99"/>
    <w:semiHidden/>
    <w:unhideWhenUsed/>
    <w:rsid w:val="0088637C"/>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88637C"/>
    <w:rPr>
      <w:rFonts w:ascii="Tahoma" w:hAnsi="Tahoma" w:cs="Tahoma"/>
      <w:sz w:val="16"/>
      <w:szCs w:val="16"/>
      <w:lang w:eastAsia="de-DE"/>
    </w:rPr>
  </w:style>
  <w:style w:type="paragraph" w:styleId="Funotentext">
    <w:name w:val="footnote text"/>
    <w:basedOn w:val="Standard"/>
    <w:link w:val="FunotentextZchn"/>
    <w:uiPriority w:val="99"/>
    <w:semiHidden/>
    <w:unhideWhenUsed/>
    <w:rsid w:val="0088637C"/>
    <w:pPr>
      <w:spacing w:after="0"/>
    </w:pPr>
  </w:style>
  <w:style w:type="character" w:customStyle="1" w:styleId="FunotentextZchn">
    <w:name w:val="Fußnotentext Zchn"/>
    <w:link w:val="Funotentext"/>
    <w:uiPriority w:val="99"/>
    <w:semiHidden/>
    <w:rsid w:val="0088637C"/>
    <w:rPr>
      <w:rFonts w:cs="Times New Roman"/>
      <w:sz w:val="20"/>
      <w:szCs w:val="20"/>
      <w:lang w:eastAsia="de-DE"/>
    </w:rPr>
  </w:style>
  <w:style w:type="character" w:styleId="Funotenzeichen">
    <w:name w:val="footnote reference"/>
    <w:uiPriority w:val="99"/>
    <w:semiHidden/>
    <w:unhideWhenUsed/>
    <w:rsid w:val="0088637C"/>
    <w:rPr>
      <w:vertAlign w:val="superscript"/>
    </w:rPr>
  </w:style>
  <w:style w:type="character" w:styleId="Hyperlink">
    <w:name w:val="Hyperlink"/>
    <w:uiPriority w:val="99"/>
    <w:unhideWhenUsed/>
    <w:rsid w:val="0088637C"/>
    <w:rPr>
      <w:color w:val="0000FF"/>
      <w:u w:val="single"/>
    </w:rPr>
  </w:style>
  <w:style w:type="paragraph" w:styleId="Kopfzeile">
    <w:name w:val="header"/>
    <w:basedOn w:val="Standard"/>
    <w:link w:val="KopfzeileZchn"/>
    <w:unhideWhenUsed/>
    <w:rsid w:val="004B5EC1"/>
    <w:pPr>
      <w:tabs>
        <w:tab w:val="center" w:pos="4536"/>
        <w:tab w:val="right" w:pos="9072"/>
      </w:tabs>
      <w:spacing w:after="0"/>
    </w:pPr>
  </w:style>
  <w:style w:type="character" w:customStyle="1" w:styleId="KopfzeileZchn">
    <w:name w:val="Kopfzeile Zchn"/>
    <w:link w:val="Kopfzeile"/>
    <w:uiPriority w:val="99"/>
    <w:rsid w:val="004B5EC1"/>
    <w:rPr>
      <w:rFonts w:cs="Times New Roman"/>
      <w:sz w:val="20"/>
      <w:szCs w:val="20"/>
      <w:lang w:eastAsia="de-DE"/>
    </w:rPr>
  </w:style>
  <w:style w:type="paragraph" w:styleId="Fuzeile">
    <w:name w:val="footer"/>
    <w:basedOn w:val="Standard"/>
    <w:link w:val="FuzeileZchn"/>
    <w:uiPriority w:val="99"/>
    <w:unhideWhenUsed/>
    <w:rsid w:val="004B5EC1"/>
    <w:pPr>
      <w:tabs>
        <w:tab w:val="center" w:pos="4536"/>
        <w:tab w:val="right" w:pos="9072"/>
      </w:tabs>
      <w:spacing w:after="0"/>
    </w:pPr>
  </w:style>
  <w:style w:type="character" w:customStyle="1" w:styleId="FuzeileZchn">
    <w:name w:val="Fußzeile Zchn"/>
    <w:link w:val="Fuzeile"/>
    <w:uiPriority w:val="99"/>
    <w:rsid w:val="004B5EC1"/>
    <w:rPr>
      <w:rFonts w:cs="Times New Roman"/>
      <w:sz w:val="20"/>
      <w:szCs w:val="20"/>
      <w:lang w:eastAsia="de-DE"/>
    </w:rPr>
  </w:style>
  <w:style w:type="table" w:styleId="Tabellenraster">
    <w:name w:val="Table Grid"/>
    <w:basedOn w:val="NormaleTabelle"/>
    <w:uiPriority w:val="59"/>
    <w:rsid w:val="004B5E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eitenzahl">
    <w:name w:val="page number"/>
    <w:basedOn w:val="Absatz-Standardschriftart"/>
    <w:rsid w:val="000211FB"/>
  </w:style>
  <w:style w:type="paragraph" w:styleId="StandardWeb">
    <w:name w:val="Normal (Web)"/>
    <w:basedOn w:val="Standard"/>
    <w:rsid w:val="000211FB"/>
    <w:pPr>
      <w:spacing w:after="0" w:line="336" w:lineRule="auto"/>
    </w:pPr>
    <w:rPr>
      <w:rFonts w:ascii="Verdana" w:hAnsi="Verdana"/>
      <w:sz w:val="17"/>
      <w:szCs w:val="17"/>
    </w:rPr>
  </w:style>
  <w:style w:type="paragraph" w:styleId="Aufzhlungszeichen">
    <w:name w:val="List Bullet"/>
    <w:basedOn w:val="Standard"/>
    <w:uiPriority w:val="99"/>
    <w:unhideWhenUsed/>
    <w:rsid w:val="007E6AAA"/>
    <w:pPr>
      <w:numPr>
        <w:numId w:val="4"/>
      </w:numPr>
      <w:contextualSpacing/>
    </w:pPr>
  </w:style>
  <w:style w:type="character" w:customStyle="1" w:styleId="berschrift3Zchn">
    <w:name w:val="Überschrift 3 Zchn"/>
    <w:link w:val="berschrift3"/>
    <w:uiPriority w:val="9"/>
    <w:rsid w:val="004043E2"/>
    <w:rPr>
      <w:rFonts w:ascii="Cambria" w:eastAsia="Times New Roman" w:hAnsi="Cambria" w:cs="Times New Roman"/>
      <w:b/>
      <w:bCs/>
      <w:sz w:val="26"/>
      <w:szCs w:val="26"/>
    </w:rPr>
  </w:style>
  <w:style w:type="table" w:styleId="MittlereSchattierung2-Akzent1">
    <w:name w:val="Medium Shading 2 Accent 1"/>
    <w:basedOn w:val="NormaleTabelle"/>
    <w:uiPriority w:val="64"/>
    <w:rsid w:val="00BE43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715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93143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Akzent1">
    <w:name w:val="Light Shading Accent 1"/>
    <w:basedOn w:val="NormaleTabelle"/>
    <w:uiPriority w:val="60"/>
    <w:rsid w:val="006033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09757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ett">
    <w:name w:val="Strong"/>
    <w:basedOn w:val="Absatz-Standardschriftart"/>
    <w:uiPriority w:val="22"/>
    <w:qFormat/>
    <w:rsid w:val="0070029B"/>
    <w:rPr>
      <w:b/>
      <w:bCs/>
    </w:rPr>
  </w:style>
  <w:style w:type="table" w:styleId="Gitternetztabelle2Akzent1">
    <w:name w:val="Grid Table 2 Accent 1"/>
    <w:basedOn w:val="NormaleTabelle"/>
    <w:uiPriority w:val="47"/>
    <w:rsid w:val="001512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BesuchterLink">
    <w:name w:val="FollowedHyperlink"/>
    <w:basedOn w:val="Absatz-Standardschriftart"/>
    <w:uiPriority w:val="99"/>
    <w:semiHidden/>
    <w:unhideWhenUsed/>
    <w:rsid w:val="00017EF5"/>
    <w:rPr>
      <w:color w:val="800080" w:themeColor="followedHyperlink"/>
      <w:u w:val="single"/>
    </w:rPr>
  </w:style>
  <w:style w:type="paragraph" w:styleId="Titel">
    <w:name w:val="Title"/>
    <w:basedOn w:val="Standard"/>
    <w:next w:val="Standard"/>
    <w:link w:val="TitelZchn"/>
    <w:uiPriority w:val="10"/>
    <w:qFormat/>
    <w:rsid w:val="00015E22"/>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E22"/>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15E22"/>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Verzeichnis1">
    <w:name w:val="toc 1"/>
    <w:basedOn w:val="Standard"/>
    <w:next w:val="Standard"/>
    <w:autoRedefine/>
    <w:uiPriority w:val="39"/>
    <w:unhideWhenUsed/>
    <w:rsid w:val="00015E22"/>
    <w:pPr>
      <w:spacing w:after="100"/>
    </w:pPr>
  </w:style>
  <w:style w:type="paragraph" w:styleId="Verzeichnis2">
    <w:name w:val="toc 2"/>
    <w:basedOn w:val="Standard"/>
    <w:next w:val="Standard"/>
    <w:autoRedefine/>
    <w:uiPriority w:val="39"/>
    <w:unhideWhenUsed/>
    <w:rsid w:val="00015E22"/>
    <w:pPr>
      <w:spacing w:after="100"/>
      <w:ind w:left="200"/>
    </w:pPr>
  </w:style>
  <w:style w:type="paragraph" w:styleId="Verzeichnis3">
    <w:name w:val="toc 3"/>
    <w:basedOn w:val="Standard"/>
    <w:next w:val="Standard"/>
    <w:autoRedefine/>
    <w:uiPriority w:val="39"/>
    <w:unhideWhenUsed/>
    <w:rsid w:val="00015E22"/>
    <w:pPr>
      <w:spacing w:after="100"/>
      <w:ind w:left="400"/>
    </w:pPr>
  </w:style>
  <w:style w:type="table" w:styleId="EinfacheTabelle4">
    <w:name w:val="Plain Table 4"/>
    <w:basedOn w:val="NormaleTabelle"/>
    <w:uiPriority w:val="44"/>
    <w:rsid w:val="004014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ntertitel">
    <w:name w:val="Subtitle"/>
    <w:basedOn w:val="Standard"/>
    <w:next w:val="Standard"/>
    <w:link w:val="UntertitelZchn"/>
    <w:uiPriority w:val="11"/>
    <w:qFormat/>
    <w:rsid w:val="004014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401451"/>
    <w:rPr>
      <w:rFonts w:asciiTheme="minorHAnsi" w:eastAsiaTheme="minorEastAsia" w:hAnsiTheme="minorHAnsi" w:cstheme="minorBidi"/>
      <w:color w:val="5A5A5A" w:themeColor="text1" w:themeTint="A5"/>
      <w:spacing w:val="15"/>
      <w:sz w:val="22"/>
      <w:szCs w:val="22"/>
    </w:rPr>
  </w:style>
  <w:style w:type="paragraph" w:styleId="Beschriftung">
    <w:name w:val="caption"/>
    <w:basedOn w:val="Standard"/>
    <w:next w:val="Standard"/>
    <w:uiPriority w:val="35"/>
    <w:unhideWhenUsed/>
    <w:qFormat/>
    <w:rsid w:val="00681E96"/>
    <w:pPr>
      <w:spacing w:after="200"/>
    </w:pPr>
    <w:rPr>
      <w:i/>
      <w:iCs/>
      <w:color w:val="1F497D" w:themeColor="text2"/>
      <w:sz w:val="18"/>
      <w:szCs w:val="18"/>
    </w:rPr>
  </w:style>
  <w:style w:type="table" w:styleId="EinfacheTabelle2">
    <w:name w:val="Plain Table 2"/>
    <w:basedOn w:val="NormaleTabelle"/>
    <w:uiPriority w:val="42"/>
    <w:rsid w:val="002900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41">
    <w:name w:val="Einfache Tabelle 41"/>
    <w:basedOn w:val="NormaleTabelle"/>
    <w:uiPriority w:val="44"/>
    <w:rsid w:val="003B3C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2Akzent1">
    <w:name w:val="List Table 2 Accent 1"/>
    <w:basedOn w:val="NormaleTabelle"/>
    <w:uiPriority w:val="47"/>
    <w:rsid w:val="00DD0A1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1">
    <w:name w:val="Grid Table 6 Colorful Accent 1"/>
    <w:basedOn w:val="NormaleTabelle"/>
    <w:uiPriority w:val="51"/>
    <w:rsid w:val="00C042B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4Zchn">
    <w:name w:val="Überschrift 4 Zchn"/>
    <w:basedOn w:val="Absatz-Standardschriftart"/>
    <w:link w:val="berschrift4"/>
    <w:uiPriority w:val="9"/>
    <w:rsid w:val="004D532F"/>
    <w:rPr>
      <w:rFonts w:asciiTheme="majorHAnsi" w:eastAsiaTheme="majorEastAsia" w:hAnsiTheme="majorHAnsi" w:cstheme="majorBidi"/>
      <w:i/>
      <w:iCs/>
      <w:color w:val="365F91" w:themeColor="accent1" w:themeShade="BF"/>
    </w:rPr>
  </w:style>
  <w:style w:type="table" w:styleId="Listentabelle6farbigAkzent1">
    <w:name w:val="List Table 6 Colorful Accent 1"/>
    <w:basedOn w:val="NormaleTabelle"/>
    <w:uiPriority w:val="51"/>
    <w:rsid w:val="005E41A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1">
    <w:name w:val="Grid Table 4 Accent 1"/>
    <w:basedOn w:val="NormaleTabelle"/>
    <w:uiPriority w:val="49"/>
    <w:rsid w:val="003B2D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rwhnung1">
    <w:name w:val="Erwähnung1"/>
    <w:basedOn w:val="Absatz-Standardschriftart"/>
    <w:uiPriority w:val="99"/>
    <w:semiHidden/>
    <w:unhideWhenUsed/>
    <w:rsid w:val="004444B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EE12D4"/>
    <w:rPr>
      <w:color w:val="808080"/>
      <w:shd w:val="clear" w:color="auto" w:fill="E6E6E6"/>
    </w:rPr>
  </w:style>
  <w:style w:type="table" w:styleId="Gitternetztabelle3Akzent1">
    <w:name w:val="Grid Table 3 Accent 1"/>
    <w:basedOn w:val="NormaleTabelle"/>
    <w:uiPriority w:val="48"/>
    <w:rsid w:val="001E42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7837">
      <w:bodyDiv w:val="1"/>
      <w:marLeft w:val="0"/>
      <w:marRight w:val="0"/>
      <w:marTop w:val="0"/>
      <w:marBottom w:val="0"/>
      <w:divBdr>
        <w:top w:val="none" w:sz="0" w:space="0" w:color="auto"/>
        <w:left w:val="none" w:sz="0" w:space="0" w:color="auto"/>
        <w:bottom w:val="none" w:sz="0" w:space="0" w:color="auto"/>
        <w:right w:val="none" w:sz="0" w:space="0" w:color="auto"/>
      </w:divBdr>
    </w:div>
    <w:div w:id="118384073">
      <w:bodyDiv w:val="1"/>
      <w:marLeft w:val="0"/>
      <w:marRight w:val="0"/>
      <w:marTop w:val="0"/>
      <w:marBottom w:val="0"/>
      <w:divBdr>
        <w:top w:val="none" w:sz="0" w:space="0" w:color="auto"/>
        <w:left w:val="none" w:sz="0" w:space="0" w:color="auto"/>
        <w:bottom w:val="none" w:sz="0" w:space="0" w:color="auto"/>
        <w:right w:val="none" w:sz="0" w:space="0" w:color="auto"/>
      </w:divBdr>
    </w:div>
    <w:div w:id="122385917">
      <w:bodyDiv w:val="1"/>
      <w:marLeft w:val="0"/>
      <w:marRight w:val="0"/>
      <w:marTop w:val="0"/>
      <w:marBottom w:val="0"/>
      <w:divBdr>
        <w:top w:val="none" w:sz="0" w:space="0" w:color="auto"/>
        <w:left w:val="none" w:sz="0" w:space="0" w:color="auto"/>
        <w:bottom w:val="none" w:sz="0" w:space="0" w:color="auto"/>
        <w:right w:val="none" w:sz="0" w:space="0" w:color="auto"/>
      </w:divBdr>
    </w:div>
    <w:div w:id="214047658">
      <w:bodyDiv w:val="1"/>
      <w:marLeft w:val="0"/>
      <w:marRight w:val="0"/>
      <w:marTop w:val="0"/>
      <w:marBottom w:val="0"/>
      <w:divBdr>
        <w:top w:val="none" w:sz="0" w:space="0" w:color="auto"/>
        <w:left w:val="none" w:sz="0" w:space="0" w:color="auto"/>
        <w:bottom w:val="none" w:sz="0" w:space="0" w:color="auto"/>
        <w:right w:val="none" w:sz="0" w:space="0" w:color="auto"/>
      </w:divBdr>
    </w:div>
    <w:div w:id="234509152">
      <w:bodyDiv w:val="1"/>
      <w:marLeft w:val="0"/>
      <w:marRight w:val="0"/>
      <w:marTop w:val="0"/>
      <w:marBottom w:val="0"/>
      <w:divBdr>
        <w:top w:val="none" w:sz="0" w:space="0" w:color="auto"/>
        <w:left w:val="none" w:sz="0" w:space="0" w:color="auto"/>
        <w:bottom w:val="none" w:sz="0" w:space="0" w:color="auto"/>
        <w:right w:val="none" w:sz="0" w:space="0" w:color="auto"/>
      </w:divBdr>
    </w:div>
    <w:div w:id="270627581">
      <w:bodyDiv w:val="1"/>
      <w:marLeft w:val="0"/>
      <w:marRight w:val="0"/>
      <w:marTop w:val="0"/>
      <w:marBottom w:val="0"/>
      <w:divBdr>
        <w:top w:val="none" w:sz="0" w:space="0" w:color="auto"/>
        <w:left w:val="none" w:sz="0" w:space="0" w:color="auto"/>
        <w:bottom w:val="none" w:sz="0" w:space="0" w:color="auto"/>
        <w:right w:val="none" w:sz="0" w:space="0" w:color="auto"/>
      </w:divBdr>
    </w:div>
    <w:div w:id="385568216">
      <w:bodyDiv w:val="1"/>
      <w:marLeft w:val="0"/>
      <w:marRight w:val="0"/>
      <w:marTop w:val="0"/>
      <w:marBottom w:val="0"/>
      <w:divBdr>
        <w:top w:val="none" w:sz="0" w:space="0" w:color="auto"/>
        <w:left w:val="none" w:sz="0" w:space="0" w:color="auto"/>
        <w:bottom w:val="none" w:sz="0" w:space="0" w:color="auto"/>
        <w:right w:val="none" w:sz="0" w:space="0" w:color="auto"/>
      </w:divBdr>
    </w:div>
    <w:div w:id="419254738">
      <w:bodyDiv w:val="1"/>
      <w:marLeft w:val="0"/>
      <w:marRight w:val="0"/>
      <w:marTop w:val="0"/>
      <w:marBottom w:val="0"/>
      <w:divBdr>
        <w:top w:val="none" w:sz="0" w:space="0" w:color="auto"/>
        <w:left w:val="none" w:sz="0" w:space="0" w:color="auto"/>
        <w:bottom w:val="none" w:sz="0" w:space="0" w:color="auto"/>
        <w:right w:val="none" w:sz="0" w:space="0" w:color="auto"/>
      </w:divBdr>
    </w:div>
    <w:div w:id="505557462">
      <w:bodyDiv w:val="1"/>
      <w:marLeft w:val="0"/>
      <w:marRight w:val="0"/>
      <w:marTop w:val="0"/>
      <w:marBottom w:val="0"/>
      <w:divBdr>
        <w:top w:val="none" w:sz="0" w:space="0" w:color="auto"/>
        <w:left w:val="none" w:sz="0" w:space="0" w:color="auto"/>
        <w:bottom w:val="none" w:sz="0" w:space="0" w:color="auto"/>
        <w:right w:val="none" w:sz="0" w:space="0" w:color="auto"/>
      </w:divBdr>
    </w:div>
    <w:div w:id="507863920">
      <w:bodyDiv w:val="1"/>
      <w:marLeft w:val="0"/>
      <w:marRight w:val="0"/>
      <w:marTop w:val="0"/>
      <w:marBottom w:val="0"/>
      <w:divBdr>
        <w:top w:val="none" w:sz="0" w:space="0" w:color="auto"/>
        <w:left w:val="none" w:sz="0" w:space="0" w:color="auto"/>
        <w:bottom w:val="none" w:sz="0" w:space="0" w:color="auto"/>
        <w:right w:val="none" w:sz="0" w:space="0" w:color="auto"/>
      </w:divBdr>
    </w:div>
    <w:div w:id="610480676">
      <w:bodyDiv w:val="1"/>
      <w:marLeft w:val="0"/>
      <w:marRight w:val="0"/>
      <w:marTop w:val="0"/>
      <w:marBottom w:val="0"/>
      <w:divBdr>
        <w:top w:val="none" w:sz="0" w:space="0" w:color="auto"/>
        <w:left w:val="none" w:sz="0" w:space="0" w:color="auto"/>
        <w:bottom w:val="none" w:sz="0" w:space="0" w:color="auto"/>
        <w:right w:val="none" w:sz="0" w:space="0" w:color="auto"/>
      </w:divBdr>
    </w:div>
    <w:div w:id="656766394">
      <w:bodyDiv w:val="1"/>
      <w:marLeft w:val="0"/>
      <w:marRight w:val="0"/>
      <w:marTop w:val="0"/>
      <w:marBottom w:val="0"/>
      <w:divBdr>
        <w:top w:val="none" w:sz="0" w:space="0" w:color="auto"/>
        <w:left w:val="none" w:sz="0" w:space="0" w:color="auto"/>
        <w:bottom w:val="none" w:sz="0" w:space="0" w:color="auto"/>
        <w:right w:val="none" w:sz="0" w:space="0" w:color="auto"/>
      </w:divBdr>
    </w:div>
    <w:div w:id="700860346">
      <w:bodyDiv w:val="1"/>
      <w:marLeft w:val="0"/>
      <w:marRight w:val="0"/>
      <w:marTop w:val="0"/>
      <w:marBottom w:val="0"/>
      <w:divBdr>
        <w:top w:val="none" w:sz="0" w:space="0" w:color="auto"/>
        <w:left w:val="none" w:sz="0" w:space="0" w:color="auto"/>
        <w:bottom w:val="none" w:sz="0" w:space="0" w:color="auto"/>
        <w:right w:val="none" w:sz="0" w:space="0" w:color="auto"/>
      </w:divBdr>
    </w:div>
    <w:div w:id="714696586">
      <w:bodyDiv w:val="1"/>
      <w:marLeft w:val="0"/>
      <w:marRight w:val="0"/>
      <w:marTop w:val="0"/>
      <w:marBottom w:val="0"/>
      <w:divBdr>
        <w:top w:val="none" w:sz="0" w:space="0" w:color="auto"/>
        <w:left w:val="none" w:sz="0" w:space="0" w:color="auto"/>
        <w:bottom w:val="none" w:sz="0" w:space="0" w:color="auto"/>
        <w:right w:val="none" w:sz="0" w:space="0" w:color="auto"/>
      </w:divBdr>
    </w:div>
    <w:div w:id="770734389">
      <w:bodyDiv w:val="1"/>
      <w:marLeft w:val="0"/>
      <w:marRight w:val="0"/>
      <w:marTop w:val="0"/>
      <w:marBottom w:val="0"/>
      <w:divBdr>
        <w:top w:val="none" w:sz="0" w:space="0" w:color="auto"/>
        <w:left w:val="none" w:sz="0" w:space="0" w:color="auto"/>
        <w:bottom w:val="none" w:sz="0" w:space="0" w:color="auto"/>
        <w:right w:val="none" w:sz="0" w:space="0" w:color="auto"/>
      </w:divBdr>
    </w:div>
    <w:div w:id="811361478">
      <w:bodyDiv w:val="1"/>
      <w:marLeft w:val="0"/>
      <w:marRight w:val="0"/>
      <w:marTop w:val="0"/>
      <w:marBottom w:val="0"/>
      <w:divBdr>
        <w:top w:val="none" w:sz="0" w:space="0" w:color="auto"/>
        <w:left w:val="none" w:sz="0" w:space="0" w:color="auto"/>
        <w:bottom w:val="none" w:sz="0" w:space="0" w:color="auto"/>
        <w:right w:val="none" w:sz="0" w:space="0" w:color="auto"/>
      </w:divBdr>
    </w:div>
    <w:div w:id="837034542">
      <w:bodyDiv w:val="1"/>
      <w:marLeft w:val="0"/>
      <w:marRight w:val="0"/>
      <w:marTop w:val="0"/>
      <w:marBottom w:val="0"/>
      <w:divBdr>
        <w:top w:val="none" w:sz="0" w:space="0" w:color="auto"/>
        <w:left w:val="none" w:sz="0" w:space="0" w:color="auto"/>
        <w:bottom w:val="none" w:sz="0" w:space="0" w:color="auto"/>
        <w:right w:val="none" w:sz="0" w:space="0" w:color="auto"/>
      </w:divBdr>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1066949035">
      <w:bodyDiv w:val="1"/>
      <w:marLeft w:val="0"/>
      <w:marRight w:val="0"/>
      <w:marTop w:val="0"/>
      <w:marBottom w:val="0"/>
      <w:divBdr>
        <w:top w:val="none" w:sz="0" w:space="0" w:color="auto"/>
        <w:left w:val="none" w:sz="0" w:space="0" w:color="auto"/>
        <w:bottom w:val="none" w:sz="0" w:space="0" w:color="auto"/>
        <w:right w:val="none" w:sz="0" w:space="0" w:color="auto"/>
      </w:divBdr>
    </w:div>
    <w:div w:id="1195074969">
      <w:bodyDiv w:val="1"/>
      <w:marLeft w:val="0"/>
      <w:marRight w:val="0"/>
      <w:marTop w:val="0"/>
      <w:marBottom w:val="0"/>
      <w:divBdr>
        <w:top w:val="none" w:sz="0" w:space="0" w:color="auto"/>
        <w:left w:val="none" w:sz="0" w:space="0" w:color="auto"/>
        <w:bottom w:val="none" w:sz="0" w:space="0" w:color="auto"/>
        <w:right w:val="none" w:sz="0" w:space="0" w:color="auto"/>
      </w:divBdr>
    </w:div>
    <w:div w:id="1204556851">
      <w:bodyDiv w:val="1"/>
      <w:marLeft w:val="0"/>
      <w:marRight w:val="0"/>
      <w:marTop w:val="0"/>
      <w:marBottom w:val="0"/>
      <w:divBdr>
        <w:top w:val="none" w:sz="0" w:space="0" w:color="auto"/>
        <w:left w:val="none" w:sz="0" w:space="0" w:color="auto"/>
        <w:bottom w:val="none" w:sz="0" w:space="0" w:color="auto"/>
        <w:right w:val="none" w:sz="0" w:space="0" w:color="auto"/>
      </w:divBdr>
    </w:div>
    <w:div w:id="1292243534">
      <w:bodyDiv w:val="1"/>
      <w:marLeft w:val="0"/>
      <w:marRight w:val="0"/>
      <w:marTop w:val="0"/>
      <w:marBottom w:val="0"/>
      <w:divBdr>
        <w:top w:val="none" w:sz="0" w:space="0" w:color="auto"/>
        <w:left w:val="none" w:sz="0" w:space="0" w:color="auto"/>
        <w:bottom w:val="none" w:sz="0" w:space="0" w:color="auto"/>
        <w:right w:val="none" w:sz="0" w:space="0" w:color="auto"/>
      </w:divBdr>
    </w:div>
    <w:div w:id="1316688962">
      <w:bodyDiv w:val="1"/>
      <w:marLeft w:val="0"/>
      <w:marRight w:val="0"/>
      <w:marTop w:val="0"/>
      <w:marBottom w:val="0"/>
      <w:divBdr>
        <w:top w:val="none" w:sz="0" w:space="0" w:color="auto"/>
        <w:left w:val="none" w:sz="0" w:space="0" w:color="auto"/>
        <w:bottom w:val="none" w:sz="0" w:space="0" w:color="auto"/>
        <w:right w:val="none" w:sz="0" w:space="0" w:color="auto"/>
      </w:divBdr>
    </w:div>
    <w:div w:id="1332951985">
      <w:bodyDiv w:val="1"/>
      <w:marLeft w:val="0"/>
      <w:marRight w:val="0"/>
      <w:marTop w:val="0"/>
      <w:marBottom w:val="0"/>
      <w:divBdr>
        <w:top w:val="none" w:sz="0" w:space="0" w:color="auto"/>
        <w:left w:val="none" w:sz="0" w:space="0" w:color="auto"/>
        <w:bottom w:val="none" w:sz="0" w:space="0" w:color="auto"/>
        <w:right w:val="none" w:sz="0" w:space="0" w:color="auto"/>
      </w:divBdr>
    </w:div>
    <w:div w:id="1352879198">
      <w:bodyDiv w:val="1"/>
      <w:marLeft w:val="0"/>
      <w:marRight w:val="0"/>
      <w:marTop w:val="0"/>
      <w:marBottom w:val="0"/>
      <w:divBdr>
        <w:top w:val="none" w:sz="0" w:space="0" w:color="auto"/>
        <w:left w:val="none" w:sz="0" w:space="0" w:color="auto"/>
        <w:bottom w:val="none" w:sz="0" w:space="0" w:color="auto"/>
        <w:right w:val="none" w:sz="0" w:space="0" w:color="auto"/>
      </w:divBdr>
    </w:div>
    <w:div w:id="1378235946">
      <w:bodyDiv w:val="1"/>
      <w:marLeft w:val="0"/>
      <w:marRight w:val="0"/>
      <w:marTop w:val="0"/>
      <w:marBottom w:val="0"/>
      <w:divBdr>
        <w:top w:val="none" w:sz="0" w:space="0" w:color="auto"/>
        <w:left w:val="none" w:sz="0" w:space="0" w:color="auto"/>
        <w:bottom w:val="none" w:sz="0" w:space="0" w:color="auto"/>
        <w:right w:val="none" w:sz="0" w:space="0" w:color="auto"/>
      </w:divBdr>
    </w:div>
    <w:div w:id="1405058864">
      <w:bodyDiv w:val="1"/>
      <w:marLeft w:val="0"/>
      <w:marRight w:val="0"/>
      <w:marTop w:val="0"/>
      <w:marBottom w:val="0"/>
      <w:divBdr>
        <w:top w:val="none" w:sz="0" w:space="0" w:color="auto"/>
        <w:left w:val="none" w:sz="0" w:space="0" w:color="auto"/>
        <w:bottom w:val="none" w:sz="0" w:space="0" w:color="auto"/>
        <w:right w:val="none" w:sz="0" w:space="0" w:color="auto"/>
      </w:divBdr>
    </w:div>
    <w:div w:id="1518885138">
      <w:bodyDiv w:val="1"/>
      <w:marLeft w:val="0"/>
      <w:marRight w:val="0"/>
      <w:marTop w:val="0"/>
      <w:marBottom w:val="0"/>
      <w:divBdr>
        <w:top w:val="none" w:sz="0" w:space="0" w:color="auto"/>
        <w:left w:val="none" w:sz="0" w:space="0" w:color="auto"/>
        <w:bottom w:val="none" w:sz="0" w:space="0" w:color="auto"/>
        <w:right w:val="none" w:sz="0" w:space="0" w:color="auto"/>
      </w:divBdr>
    </w:div>
    <w:div w:id="1561210606">
      <w:bodyDiv w:val="1"/>
      <w:marLeft w:val="0"/>
      <w:marRight w:val="0"/>
      <w:marTop w:val="0"/>
      <w:marBottom w:val="0"/>
      <w:divBdr>
        <w:top w:val="none" w:sz="0" w:space="0" w:color="auto"/>
        <w:left w:val="none" w:sz="0" w:space="0" w:color="auto"/>
        <w:bottom w:val="none" w:sz="0" w:space="0" w:color="auto"/>
        <w:right w:val="none" w:sz="0" w:space="0" w:color="auto"/>
      </w:divBdr>
    </w:div>
    <w:div w:id="1645812707">
      <w:bodyDiv w:val="1"/>
      <w:marLeft w:val="0"/>
      <w:marRight w:val="0"/>
      <w:marTop w:val="0"/>
      <w:marBottom w:val="0"/>
      <w:divBdr>
        <w:top w:val="none" w:sz="0" w:space="0" w:color="auto"/>
        <w:left w:val="none" w:sz="0" w:space="0" w:color="auto"/>
        <w:bottom w:val="none" w:sz="0" w:space="0" w:color="auto"/>
        <w:right w:val="none" w:sz="0" w:space="0" w:color="auto"/>
      </w:divBdr>
    </w:div>
    <w:div w:id="1703287089">
      <w:bodyDiv w:val="1"/>
      <w:marLeft w:val="0"/>
      <w:marRight w:val="0"/>
      <w:marTop w:val="0"/>
      <w:marBottom w:val="0"/>
      <w:divBdr>
        <w:top w:val="none" w:sz="0" w:space="0" w:color="auto"/>
        <w:left w:val="none" w:sz="0" w:space="0" w:color="auto"/>
        <w:bottom w:val="none" w:sz="0" w:space="0" w:color="auto"/>
        <w:right w:val="none" w:sz="0" w:space="0" w:color="auto"/>
      </w:divBdr>
    </w:div>
    <w:div w:id="1943292560">
      <w:bodyDiv w:val="1"/>
      <w:marLeft w:val="0"/>
      <w:marRight w:val="0"/>
      <w:marTop w:val="0"/>
      <w:marBottom w:val="0"/>
      <w:divBdr>
        <w:top w:val="none" w:sz="0" w:space="0" w:color="auto"/>
        <w:left w:val="none" w:sz="0" w:space="0" w:color="auto"/>
        <w:bottom w:val="none" w:sz="0" w:space="0" w:color="auto"/>
        <w:right w:val="none" w:sz="0" w:space="0" w:color="auto"/>
      </w:divBdr>
    </w:div>
    <w:div w:id="1959677676">
      <w:bodyDiv w:val="1"/>
      <w:marLeft w:val="0"/>
      <w:marRight w:val="0"/>
      <w:marTop w:val="0"/>
      <w:marBottom w:val="0"/>
      <w:divBdr>
        <w:top w:val="none" w:sz="0" w:space="0" w:color="auto"/>
        <w:left w:val="none" w:sz="0" w:space="0" w:color="auto"/>
        <w:bottom w:val="none" w:sz="0" w:space="0" w:color="auto"/>
        <w:right w:val="none" w:sz="0" w:space="0" w:color="auto"/>
      </w:divBdr>
    </w:div>
    <w:div w:id="1965380531">
      <w:bodyDiv w:val="1"/>
      <w:marLeft w:val="0"/>
      <w:marRight w:val="0"/>
      <w:marTop w:val="0"/>
      <w:marBottom w:val="0"/>
      <w:divBdr>
        <w:top w:val="none" w:sz="0" w:space="0" w:color="auto"/>
        <w:left w:val="none" w:sz="0" w:space="0" w:color="auto"/>
        <w:bottom w:val="none" w:sz="0" w:space="0" w:color="auto"/>
        <w:right w:val="none" w:sz="0" w:space="0" w:color="auto"/>
      </w:divBdr>
    </w:div>
    <w:div w:id="1989674173">
      <w:bodyDiv w:val="1"/>
      <w:marLeft w:val="0"/>
      <w:marRight w:val="0"/>
      <w:marTop w:val="0"/>
      <w:marBottom w:val="0"/>
      <w:divBdr>
        <w:top w:val="none" w:sz="0" w:space="0" w:color="auto"/>
        <w:left w:val="none" w:sz="0" w:space="0" w:color="auto"/>
        <w:bottom w:val="none" w:sz="0" w:space="0" w:color="auto"/>
        <w:right w:val="none" w:sz="0" w:space="0" w:color="auto"/>
      </w:divBdr>
    </w:div>
    <w:div w:id="20607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support.microsoft.com/en-us/kb/27541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sdn.microsoft.com/en-us/library/ms188396.aspx" TargetMode="External"/><Relationship Id="rId2" Type="http://schemas.openxmlformats.org/officeDocument/2006/relationships/numbering" Target="numbering.xml"/><Relationship Id="rId16" Type="http://schemas.openxmlformats.org/officeDocument/2006/relationships/hyperlink" Target="https://msdn.microsoft.com/en-us/library/ms188396.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vp.microsoft.com/de-de/PublicProfile/500019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technet.microsoft.com/de-de/library/ms191158.aspx" TargetMode="External"/><Relationship Id="rId13" Type="http://schemas.openxmlformats.org/officeDocument/2006/relationships/hyperlink" Target="http://documentation.red-gate.com/display/SM4/BACKUPBUFFER" TargetMode="External"/><Relationship Id="rId3" Type="http://schemas.openxmlformats.org/officeDocument/2006/relationships/hyperlink" Target="https://docs.microsoft.com/en-us/sql/t-sql/database-console-commands/dbcc-traceon-trace-flags-transact-sql" TargetMode="External"/><Relationship Id="rId7" Type="http://schemas.openxmlformats.org/officeDocument/2006/relationships/hyperlink" Target="https://technet.microsoft.com/de-de/library/ms189313.aspx" TargetMode="External"/><Relationship Id="rId12" Type="http://schemas.openxmlformats.org/officeDocument/2006/relationships/hyperlink" Target="http://documentation.red-gate.com/display/SM4/LATCH_EX" TargetMode="External"/><Relationship Id="rId2" Type="http://schemas.openxmlformats.org/officeDocument/2006/relationships/hyperlink" Target="https://www.microsoft.com/en-us/download/details.aspx?id=56040" TargetMode="External"/><Relationship Id="rId1" Type="http://schemas.openxmlformats.org/officeDocument/2006/relationships/hyperlink" Target="http://www.db-berater.de" TargetMode="External"/><Relationship Id="rId6" Type="http://schemas.openxmlformats.org/officeDocument/2006/relationships/hyperlink" Target="https://technet.microsoft.com/de-de/library/ms189050.aspx" TargetMode="External"/><Relationship Id="rId11" Type="http://schemas.openxmlformats.org/officeDocument/2006/relationships/hyperlink" Target="http://documentation.red-gate.com/display/SM4/OLEDB" TargetMode="External"/><Relationship Id="rId5" Type="http://schemas.openxmlformats.org/officeDocument/2006/relationships/hyperlink" Target="https://support.microsoft.com/en-us/help/2754171/controlling-autostat-auto-update-statistics-behavior-in-sql-server" TargetMode="External"/><Relationship Id="rId15" Type="http://schemas.openxmlformats.org/officeDocument/2006/relationships/hyperlink" Target="https://docs.microsoft.com/en-us/dotnet/framework/data/adonet/sql/snapshot-isolation-in-sql-server" TargetMode="External"/><Relationship Id="rId10" Type="http://schemas.openxmlformats.org/officeDocument/2006/relationships/hyperlink" Target="http://documentation.red-gate.com/display/SM4/CXPACKET" TargetMode="External"/><Relationship Id="rId4" Type="http://schemas.openxmlformats.org/officeDocument/2006/relationships/hyperlink" Target="https://technet.microsoft.com/en-us/library/ms190969.aspx" TargetMode="External"/><Relationship Id="rId9" Type="http://schemas.openxmlformats.org/officeDocument/2006/relationships/hyperlink" Target="https://blogs.msdn.microsoft.com/psssql/2015/05/14/sql-server-page-life-expectancy-ple/" TargetMode="External"/><Relationship Id="rId14" Type="http://schemas.openxmlformats.org/officeDocument/2006/relationships/hyperlink" Target="https://docs.microsoft.com/en-us/dotnet/framework/data/adonet/sql/snapshot-isolation-in-sql-serv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089A-1421-4F20-9CB9-7EF90C18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5111</Words>
  <Characters>32202</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db Berater GmbH</Company>
  <LinksUpToDate>false</LinksUpToDate>
  <CharactersWithSpaces>37239</CharactersWithSpaces>
  <SharedDoc>false</SharedDoc>
  <HLinks>
    <vt:vector size="12" baseType="variant">
      <vt:variant>
        <vt:i4>3801094</vt:i4>
      </vt:variant>
      <vt:variant>
        <vt:i4>3</vt:i4>
      </vt:variant>
      <vt:variant>
        <vt:i4>0</vt:i4>
      </vt:variant>
      <vt:variant>
        <vt:i4>5</vt:i4>
      </vt:variant>
      <vt:variant>
        <vt:lpwstr>\\SBS2003\MemberAdmin\Merge Documents\Company Information List.dot</vt:lpwstr>
      </vt:variant>
      <vt:variant>
        <vt:lpwstr/>
      </vt:variant>
      <vt:variant>
        <vt:i4>6225929</vt:i4>
      </vt:variant>
      <vt:variant>
        <vt:i4>0</vt:i4>
      </vt:variant>
      <vt:variant>
        <vt:i4>0</vt:i4>
      </vt:variant>
      <vt:variant>
        <vt:i4>5</vt:i4>
      </vt:variant>
      <vt:variant>
        <vt:lpwstr>http://www.db-berater.de/files/Use_Of_Operators_For_Filters.pdf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Uwe Ricken</dc:creator>
  <cp:lastModifiedBy>Uwe Ricken</cp:lastModifiedBy>
  <cp:revision>167</cp:revision>
  <cp:lastPrinted>2011-12-13T13:35:00Z</cp:lastPrinted>
  <dcterms:created xsi:type="dcterms:W3CDTF">2017-10-28T04:17:00Z</dcterms:created>
  <dcterms:modified xsi:type="dcterms:W3CDTF">2018-02-05T05:54:00Z</dcterms:modified>
</cp:coreProperties>
</file>