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OPERATION SENTINEL RESOLVE - PLANORD 26-04</w:t>
      </w:r>
    </w:p>
    <w:p/>
    <w:p>
      <w:r>
        <w:t>1. SITUATION. Houthi anti-ship cruise missile attacks have closed the Bab-el-Mandeb to commercial traffic.</w:t>
      </w:r>
    </w:p>
    <w:p/>
    <w:p>
      <w:r>
        <w:t>2. MISSION. CJTF-HOA conducts maritime security operations in the Bab-el-Mandeb NLT 15 NOV 26 to restore freedom of navigation.</w:t>
      </w:r>
    </w:p>
    <w:p/>
    <w:p>
      <w:r>
        <w:t>3. EXECUTION. CJTF-HOA will:</w:t>
      </w:r>
    </w:p>
    <w:p>
      <w:r>
        <w:t xml:space="preserve">   (a) establish maritime escort for commercial shipping;</w:t>
      </w:r>
    </w:p>
    <w:p>
      <w:r>
        <w:t xml:space="preserve">   (b) conduct strikes against ASCM launch sites as authorized;</w:t>
      </w:r>
    </w:p>
    <w:p>
      <w:r>
        <w:t xml:space="preserve">   (c) coordinate with partner naval forces of the combined maritime force.</w:t>
      </w:r>
    </w:p>
    <w:p/>
    <w:p>
      <w:r>
        <w:t>4. SUSTAINMENT. Establish forward logistics support at Djibouti.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