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drawing>
          <wp:inline xmlns:a="http://schemas.openxmlformats.org/drawingml/2006/main" xmlns:pic="http://schemas.openxmlformats.org/drawingml/2006/picture">
            <wp:extent cx="2520000" cy="804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804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Segoe UI" w:hAnsi="Segoe UI"/>
          <w:b/>
          <w:color w:val="0A213A"/>
          <w:sz w:val="56"/>
        </w:rPr>
        <w:t>Technische Dokumentation</w:t>
      </w:r>
    </w:p>
    <w:p>
      <w:r>
        <w:rPr>
          <w:rFonts w:ascii="Segoe UI" w:hAnsi="Segoe UI"/>
          <w:color w:val="1E5AA0"/>
          <w:sz w:val="28"/>
        </w:rPr>
        <w:t>Lizenzmanagementsystem – VT Document Text Converter</w:t>
      </w:r>
    </w:p>
    <w:p/>
    <w:p>
      <w:r>
        <w:rPr>
          <w:rFonts w:ascii="Segoe UI" w:hAnsi="Segoe UI"/>
          <w:color w:val="5A6473"/>
          <w:sz w:val="20"/>
        </w:rPr>
        <w:t>VT Document Text Converter</w:t>
        <w:br/>
        <w:t>vt-solutions GmbH</w:t>
        <w:br/>
        <w:t>Dokument-Version 1.0  |  Stand: Juni 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A213A"/>
          <w:sz w:val="36"/>
        </w:rPr>
        <w:t>1  Systemuebersicht</w:t>
      </w:r>
    </w:p>
    <w:p>
      <w:r>
        <w:rPr>
          <w:rFonts w:ascii="Segoe UI" w:hAnsi="Segoe UI"/>
          <w:b w:val="0"/>
          <w:sz w:val="21"/>
        </w:rPr>
        <w:t>Das Lizenzmanagementsystem des VT Document Text Converters arbeitet vollstaendig offline und benoetigt keine Internetverbindung. Es basiert auf kryptografischer HMAC-SHA256-Schluessel-Validierung und unterscheidet drei Lizenz-Editionen.</w:t>
      </w:r>
    </w:p>
    <w:p/>
    <w:p>
      <w:r>
        <w:drawing>
          <wp:inline xmlns:a="http://schemas.openxmlformats.org/drawingml/2006/main" xmlns:pic="http://schemas.openxmlformats.org/drawingml/2006/picture">
            <wp:extent cx="5760000" cy="2813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8"/>
        </w:rPr>
        <w:t>Abbildung 1 – Modul-Architektur des Lizenzsystems</w:t>
      </w:r>
    </w:p>
    <w:p/>
    <w:p>
      <w:pPr>
        <w:pStyle w:val="Heading2"/>
      </w:pPr>
      <w:r>
        <w:rPr>
          <w:rFonts w:ascii="Segoe UI" w:hAnsi="Segoe UI"/>
          <w:color w:val="1E5AA0"/>
          <w:sz w:val="28"/>
        </w:rPr>
        <w:t>1.1  Editionen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4252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Zweck</w:t>
            </w:r>
          </w:p>
        </w:tc>
        <w:tc>
          <w:tcPr>
            <w:tcW w:type="dxa" w:w="170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Laufzeit</w:t>
            </w:r>
          </w:p>
        </w:tc>
        <w:tc>
          <w:tcPr>
            <w:tcW w:type="dxa" w:w="226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Schluessel erforderlich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TRIAL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Testversion mit vollem Standard-Funktionsumfang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30 Tage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Nein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STANDARD</w:t>
            </w:r>
          </w:p>
        </w:tc>
        <w:tc>
          <w:tcPr>
            <w:tcW w:type="dxa" w:w="425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Produktiv-Lizenz mit Basisfunktionen</w:t>
            </w:r>
          </w:p>
        </w:tc>
        <w:tc>
          <w:tcPr>
            <w:tcW w:type="dxa" w:w="170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Dauerhaft</w:t>
            </w:r>
          </w:p>
        </w:tc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Ja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Alle Funktionen inkl. Export, Batch, Extraformate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Dauerhaft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Ja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2  Schluesselformat</w:t>
      </w:r>
    </w:p>
    <w:p>
      <w:r>
        <w:rPr>
          <w:rFonts w:ascii="Segoe UI" w:hAnsi="Segoe UI"/>
          <w:b w:val="0"/>
          <w:sz w:val="21"/>
        </w:rPr>
        <w:t>Jeder Lizenzschluessel folgt dem Format VT-YYYY-EPPP-CCCC. Die vier Segmente sind durch Bindestriche getrennt und enthalten ausschliesslich Grossbuchstaben und Ziffern (A-Z, 0-9).</w:t>
      </w:r>
    </w:p>
    <w:p>
      <w:r>
        <w:drawing>
          <wp:inline xmlns:a="http://schemas.openxmlformats.org/drawingml/2006/main" xmlns:pic="http://schemas.openxmlformats.org/drawingml/2006/picture">
            <wp:extent cx="5760000" cy="1607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8"/>
        </w:rPr>
        <w:t>Abbildung 2 – Aufbau eines Lizenzschluessels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417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Zeichen</w:t>
            </w:r>
          </w:p>
        </w:tc>
        <w:tc>
          <w:tcPr>
            <w:tcW w:type="dxa" w:w="5102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Inhalt</w:t>
            </w:r>
          </w:p>
        </w:tc>
        <w:tc>
          <w:tcPr>
            <w:tcW w:type="dxa" w:w="255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Beispiel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Fester Herstellerprafix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VT</w:t>
            </w:r>
          </w:p>
        </w:tc>
      </w:tr>
      <w:tr>
        <w:tc>
          <w:tcPr>
            <w:tcW w:type="dxa" w:w="113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YYYY</w:t>
            </w:r>
          </w:p>
        </w:tc>
        <w:tc>
          <w:tcPr>
            <w:tcW w:type="dxa" w:w="1417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4</w:t>
            </w:r>
          </w:p>
        </w:tc>
        <w:tc>
          <w:tcPr>
            <w:tcW w:type="dxa" w:w="510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Lizenzjahr (4-stellig)</w:t>
            </w:r>
          </w:p>
        </w:tc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2026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EPPP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E = Editions-Code (P/S), PPP = Seriennr. (Base36)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P001 = PRO Nr.1</w:t>
            </w:r>
          </w:p>
        </w:tc>
      </w:tr>
      <w:tr>
        <w:tc>
          <w:tcPr>
            <w:tcW w:type="dxa" w:w="113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CCCC</w:t>
            </w:r>
          </w:p>
        </w:tc>
        <w:tc>
          <w:tcPr>
            <w:tcW w:type="dxa" w:w="1417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4</w:t>
            </w:r>
          </w:p>
        </w:tc>
        <w:tc>
          <w:tcPr>
            <w:tcW w:type="dxa" w:w="510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HMAC-SHA256-Signatur (Base36, mod 36^4)</w:t>
            </w:r>
          </w:p>
        </w:tc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LD2G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2.1  Editions-Codes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226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6803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Schaltet alle PRO-Features frei</w:t>
            </w:r>
          </w:p>
        </w:tc>
      </w:tr>
      <w:tr>
        <w:tc>
          <w:tcPr>
            <w:tcW w:type="dxa" w:w="113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</w:t>
            </w:r>
          </w:p>
        </w:tc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STANDARD</w:t>
            </w:r>
          </w:p>
        </w:tc>
        <w:tc>
          <w:tcPr>
            <w:tcW w:type="dxa" w:w="6803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Basisfunktionen ohne PRO-Extras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2.2  Seriennummer (PPP)</w:t>
      </w:r>
    </w:p>
    <w:p>
      <w:r>
        <w:rPr>
          <w:rFonts w:ascii="Segoe UI" w:hAnsi="Segoe UI"/>
          <w:b w:val="0"/>
          <w:sz w:val="21"/>
        </w:rPr>
        <w:t>Die drei Zeichen nach dem Editions-Code (PPP) bilden die Seriennummer in Base36-Kodierung (Ziffern 0-9, Buchstaben A-Z). Damit sind 36^3 = 46.656 Seriennummern pro Edition und Jahr moeglich.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Seriennr.</w:t>
            </w:r>
          </w:p>
        </w:tc>
        <w:tc>
          <w:tcPr>
            <w:tcW w:type="dxa" w:w="226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Base36-Wert</w:t>
            </w:r>
          </w:p>
        </w:tc>
        <w:tc>
          <w:tcPr>
            <w:tcW w:type="dxa" w:w="5669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Beispiel-Schluessel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001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VT-2026-P001-LD2G</w:t>
            </w:r>
          </w:p>
        </w:tc>
      </w:tr>
      <w:tr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10</w:t>
            </w:r>
          </w:p>
        </w:tc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00A</w:t>
            </w:r>
          </w:p>
        </w:tc>
        <w:tc>
          <w:tcPr>
            <w:tcW w:type="dxa" w:w="56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VT-2026-P00A-XXXX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100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02S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VT-2026-S02S-9H2R</w:t>
            </w:r>
          </w:p>
        </w:tc>
      </w:tr>
      <w:tr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1295</w:t>
            </w:r>
          </w:p>
        </w:tc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ZZZ</w:t>
            </w:r>
          </w:p>
        </w:tc>
        <w:tc>
          <w:tcPr>
            <w:tcW w:type="dxa" w:w="56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VT-2026-SZZZ-XXXX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3  Kryptografische Schluessel-Validierung</w:t>
      </w:r>
    </w:p>
    <w:p>
      <w:r>
        <w:rPr>
          <w:rFonts w:ascii="Segoe UI" w:hAnsi="Segoe UI"/>
          <w:b w:val="0"/>
          <w:sz w:val="21"/>
        </w:rPr>
        <w:t>Die Signatur (letztes Segment CCCC) wird mit HMAC-SHA256 unter Verwendung eines im Quellcode eingebetteten, XOR-maskierten Geheimschluessels berechnet. Ohne Kenntnis dieses Schluessels kann keine gueltige Signatur erzeugt werden.</w:t>
      </w:r>
    </w:p>
    <w:p>
      <w:r>
        <w:drawing>
          <wp:inline xmlns:a="http://schemas.openxmlformats.org/drawingml/2006/main" xmlns:pic="http://schemas.openxmlformats.org/drawingml/2006/picture">
            <wp:extent cx="3600000" cy="3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8"/>
        </w:rPr>
        <w:t>Abbildung 3 – Ablauf der Schluessel-Validierung</w:t>
      </w:r>
    </w:p>
    <w:p/>
    <w:p>
      <w:pPr>
        <w:pStyle w:val="Heading2"/>
      </w:pPr>
      <w:r>
        <w:rPr>
          <w:rFonts w:ascii="Segoe UI" w:hAnsi="Segoe UI"/>
          <w:color w:val="1E5AA0"/>
          <w:sz w:val="28"/>
        </w:rPr>
        <w:t>3.1  Algorithmus</w:t>
      </w:r>
    </w:p>
    <w:p>
      <w:r>
        <w:rPr>
          <w:rFonts w:ascii="Segoe UI" w:hAnsi="Segoe UI"/>
          <w:b w:val="0"/>
          <w:sz w:val="21"/>
        </w:rPr>
        <w:t>Schritt-fuer-Schritt-Berechnung der Signatur: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payload  = 'P001'                           # Editions-Code + Seriennummer</w:t>
        <w:br/>
        <w:t>year     = '2026'</w:t>
        <w:br/>
        <w:t>message  = f'VT-{year}-{payload}'           # = 'VT-2026-P001'</w:t>
        <w:br/>
        <w:t>digest   = HMAC-SHA256(SECRET_KEY, message) # 32-Byte-Hash</w:t>
        <w:br/>
        <w:t>value    = int.from_bytes(digest[:4], 'big') % 36^4  # 0 – 1.679.615</w:t>
        <w:br/>
        <w:t>signature = base36_encode(value, width=4)   # z. B. 'LD2G'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3.2  Signatur-Staerke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669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Hash-Algorithmus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HMAC-SHA256</w:t>
            </w:r>
          </w:p>
        </w:tc>
      </w:tr>
      <w:tr>
        <w:tc>
          <w:tcPr>
            <w:tcW w:type="dxa" w:w="45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Signaturlaenge</w:t>
            </w:r>
          </w:p>
        </w:tc>
        <w:tc>
          <w:tcPr>
            <w:tcW w:type="dxa" w:w="56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4 Zeichen (Base36)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Moegliche Signaturen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36^4 = 1.679.616</w:t>
            </w:r>
          </w:p>
        </w:tc>
      </w:tr>
      <w:tr>
        <w:tc>
          <w:tcPr>
            <w:tcW w:type="dxa" w:w="45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Faelschungswahrscheinlichkeit</w:t>
            </w:r>
          </w:p>
        </w:tc>
        <w:tc>
          <w:tcPr>
            <w:tcW w:type="dxa" w:w="56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~ 1 : 1.679.616 pro zufaelligem Versuch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Geheimschluessel-Laenge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26 Bytes (XOR-maskiert gespeichert)</w:t>
            </w:r>
          </w:p>
        </w:tc>
      </w:tr>
      <w:tr>
        <w:tc>
          <w:tcPr>
            <w:tcW w:type="dxa" w:w="45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Online-Verbindung noetig</w:t>
            </w:r>
          </w:p>
        </w:tc>
        <w:tc>
          <w:tcPr>
            <w:tcW w:type="dxa" w:w="5669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Nein – vollstaendig offline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3.3  Geheimschluessel (Obfuskierung)</w:t>
      </w:r>
    </w:p>
    <w:p>
      <w:r>
        <w:rPr>
          <w:rFonts w:ascii="Segoe UI" w:hAnsi="Segoe UI"/>
          <w:b w:val="0"/>
          <w:sz w:val="21"/>
        </w:rPr>
        <w:t>Der Geheimschluessel ist in license_crypto.py als XOR-maskiertes Byte-Array gespeichert. Der Maskierungs-Schluessel (0x4F) ist ebenfalls im Code hinterlegt; der effektive Schutz ergibt sich aus der Kombination beider Werte, die fuer einen Angreifer ohne Quellcode-Zugang nicht trivial zu rekonstruieren sind.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0D2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WICHTIG: Den Geheimschluessel niemals aendern, nachdem Lizenzen ausgegeben wurden. Alle bestehenden Schluessel wuerden sonst unguelig. Fuer neue Produktversionen koennen separate Schluessel-Generationen mit neuem Jahrescode (YYYY) eingefuehrt werden.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4  Feature-Management</w:t>
      </w:r>
    </w:p>
    <w:p>
      <w:r>
        <w:rPr>
          <w:rFonts w:ascii="Segoe UI" w:hAnsi="Segoe UI"/>
          <w:b w:val="0"/>
          <w:sz w:val="21"/>
        </w:rPr>
        <w:t>Alle Programmfunktionen werden ueber das zentrale Feature-Gate-System in license_manager.py kontrolliert. Die Funktion has_feature(feature) gibt True zurueck, wenn die aktive Edition das angeforderte Feature enthaelt.</w:t>
      </w:r>
    </w:p>
    <w:p>
      <w:r>
        <w:drawing>
          <wp:inline xmlns:a="http://schemas.openxmlformats.org/drawingml/2006/main" xmlns:pic="http://schemas.openxmlformats.org/drawingml/2006/picture">
            <wp:extent cx="5760000" cy="4209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3"/>
          <w:sz w:val="18"/>
        </w:rPr>
        <w:t>Abbildung 4 – Feature-Uebersicht nach Edition</w:t>
      </w:r>
    </w:p>
    <w:p/>
    <w:p>
      <w:pPr>
        <w:pStyle w:val="Heading2"/>
      </w:pPr>
      <w:r>
        <w:rPr>
          <w:rFonts w:ascii="Segoe UI" w:hAnsi="Segoe UI"/>
          <w:color w:val="1E5AA0"/>
          <w:sz w:val="28"/>
        </w:rPr>
        <w:t>4.1  Feature-Bezeichner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Bezeichner</w:t>
            </w:r>
          </w:p>
        </w:tc>
        <w:tc>
          <w:tcPr>
            <w:tcW w:type="dxa" w:w="4535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2551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Edition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basic_extraction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PDF-, OCR- und Office-Extraktion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TRIAL, STD, PRO</w:t>
            </w:r>
          </w:p>
        </w:tc>
      </w:tr>
      <w:tr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copy</w:t>
            </w:r>
          </w:p>
        </w:tc>
        <w:tc>
          <w:tcPr>
            <w:tcW w:type="dxa" w:w="45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In Zwischenablage kopieren</w:t>
            </w:r>
          </w:p>
        </w:tc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TRIAL, STD, PRO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save_txt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Als TXT-Datei speichern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TRIAL, STD, PRO</w:t>
            </w:r>
          </w:p>
        </w:tc>
      </w:tr>
      <w:tr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extra_formats</w:t>
            </w:r>
          </w:p>
        </w:tc>
        <w:tc>
          <w:tcPr>
            <w:tcW w:type="dxa" w:w="45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.txt, .odt, .rtf als Eingabe-Formate</w:t>
            </w:r>
          </w:p>
        </w:tc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export_docx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Text als DOCX exportieren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</w:tr>
      <w:tr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export_pdf</w:t>
            </w:r>
          </w:p>
        </w:tc>
        <w:tc>
          <w:tcPr>
            <w:tcW w:type="dxa" w:w="45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Text als PDF exportieren</w:t>
            </w:r>
          </w:p>
        </w:tc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batch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Batch-Verarbeitung mehrerer Dateien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</w:tr>
      <w:tr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edit_text</w:t>
            </w:r>
          </w:p>
        </w:tc>
        <w:tc>
          <w:tcPr>
            <w:tcW w:type="dxa" w:w="45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Direkte Textbearbeitung im Editor</w:t>
            </w:r>
          </w:p>
        </w:tc>
        <w:tc>
          <w:tcPr>
            <w:tcW w:type="dxa" w:w="2551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PRO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4.2  Neues Feature hinzufuegen</w:t>
      </w:r>
    </w:p>
    <w:p>
      <w:r>
        <w:rPr>
          <w:rFonts w:ascii="Segoe UI" w:hAnsi="Segoe UI"/>
          <w:b w:val="0"/>
          <w:sz w:val="21"/>
        </w:rPr>
        <w:t>Um ein neues PRO-Feature hinzuzufuegen, sind genau zwei Schritte noetig: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In _FEATURES['PRO'] in license_manager.py den Bezeichner eintragen.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Im App-Code: if lm.has_feature('neues_feature'): ... aufrufen.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# license_manager.py – _FEATURES erweitern:</w:t>
        <w:br/>
        <w:t>_FEATURES = {</w:t>
        <w:br/>
        <w:t xml:space="preserve">    ...</w:t>
        <w:br/>
        <w:t xml:space="preserve">    'PRO': {</w:t>
        <w:br/>
        <w:t xml:space="preserve">        ...,</w:t>
        <w:br/>
        <w:t xml:space="preserve">        'mein_neues_feature',   # &lt;-- hier eintragen</w:t>
        <w:br/>
        <w:t xml:space="preserve">    },</w:t>
        <w:br/>
        <w:t>}</w:t>
      </w:r>
    </w:p>
    <w:p>
      <w:pPr>
        <w:pStyle w:val="Heading1"/>
      </w:pPr>
      <w:r>
        <w:rPr>
          <w:rFonts w:ascii="Segoe UI" w:hAnsi="Segoe UI"/>
          <w:color w:val="0A213A"/>
          <w:sz w:val="36"/>
        </w:rPr>
        <w:t>5  Hardware-Bindung (Machine Binding)</w:t>
      </w:r>
    </w:p>
    <w:p>
      <w:r>
        <w:rPr>
          <w:rFonts w:ascii="Segoe UI" w:hAnsi="Segoe UI"/>
          <w:b w:val="0"/>
          <w:sz w:val="21"/>
        </w:rPr>
        <w:t>Die Hardware-Bindung verhindert, dass ein Lizenzschluessel auf mehreren Computern gleichzeitig genutzt wird. Sie ist standardmaessig deaktiviert (MACHINE_BINDING_ENABLED = False in license_manager.py).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5.1  Aktivierung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# license_manager.py, Zeile 38:</w:t>
        <w:br/>
        <w:t>MACHINE_BINDING_ENABLED = True   # auf True setzen, um Bindung zu aktivieren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0D2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Hinweis: Bei aktivierter Hardware-Bindung wird beim ersten Aktivieren die Geraete-ID gespeichert. Bei Hardware-Wechsel (z. B. neues Mainboard) muss der Nutzer erneut aktivieren und ggf. den Support kontaktieren.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5.2  Geraete-ID-Berechnung</w:t>
      </w:r>
    </w:p>
    <w:p>
      <w:r>
        <w:rPr>
          <w:rFonts w:ascii="Segoe UI" w:hAnsi="Segoe UI"/>
          <w:b w:val="0"/>
          <w:sz w:val="21"/>
        </w:rPr>
        <w:t>Die Geraete-ID setzt sich zusammen aus: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Motherboard-Seriennummer (Windows WMIC – stabil auch nach OS-Neuinstallation)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Hostname als Fallback, falls Mainboard-Seriennummer nicht lesbar ist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# get_machine_id() in license_crypto.py gibt z. B. zurueck:</w:t>
        <w:br/>
        <w:t>'A3F82C1D9E4B7F06'  # 16-stelliger SHA-256-Hash</w:t>
      </w:r>
    </w:p>
    <w:p>
      <w:pPr>
        <w:pStyle w:val="Heading1"/>
      </w:pPr>
      <w:r>
        <w:rPr>
          <w:rFonts w:ascii="Segoe UI" w:hAnsi="Segoe UI"/>
          <w:color w:val="0A213A"/>
          <w:sz w:val="36"/>
        </w:rPr>
        <w:t>6  Lizenzdatei (license.json)</w:t>
      </w:r>
    </w:p>
    <w:p>
      <w:r>
        <w:rPr>
          <w:rFonts w:ascii="Segoe UI" w:hAnsi="Segoe UI"/>
          <w:b w:val="0"/>
          <w:sz w:val="21"/>
        </w:rPr>
        <w:t>Die Lizenzinformationen werden lokal unter %APPDATA%\vt-solutions\VTConverter\license.json gespeichert. Nachfolgend das JSON-Schema fuer eine aktivierte PRO-Lizenz: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{</w:t>
        <w:br/>
        <w:t xml:space="preserve">  "customer":     "Max Mustermann",</w:t>
        <w:br/>
        <w:t xml:space="preserve">  "license_key":  "VT-2026-P001-LD2G",</w:t>
        <w:br/>
        <w:t xml:space="preserve">  "activated":    true,</w:t>
        <w:br/>
        <w:t xml:space="preserve">  "edition":      "PRO",</w:t>
        <w:br/>
        <w:t xml:space="preserve">  "activated_at": "2026-06-14T10:30:00.000000",</w:t>
        <w:br/>
        <w:t xml:space="preserve">  "machine_id":   "A3F82C1D9E4B7F06"  // nur wenn MACHINE_BINDING_ENABLED=True</w:t>
        <w:br/>
        <w:t>}</w:t>
      </w:r>
    </w:p>
    <w:p>
      <w:r>
        <w:rPr>
          <w:rFonts w:ascii="Segoe UI" w:hAnsi="Segoe UI"/>
          <w:b w:val="0"/>
          <w:sz w:val="21"/>
        </w:rPr>
        <w:t>Trial-Version (Beispiel):</w:t>
      </w:r>
    </w:p>
    <w:p>
      <w:pPr>
        <w:spacing w:before="80" w:after="80"/>
        <w:ind w:left="454"/>
        <w:shd w:val="clear" w:fill="E8EFF8"/>
      </w:pPr>
      <w:r>
        <w:rPr>
          <w:rFonts w:ascii="Courier New" w:hAnsi="Courier New"/>
          <w:color w:val="1E3C64"/>
          <w:sz w:val="19"/>
        </w:rPr>
        <w:t>{</w:t>
        <w:br/>
        <w:t xml:space="preserve">  "customer":      "Testbenutzer",</w:t>
        <w:br/>
        <w:t xml:space="preserve">  "license_key":   "TRIAL",</w:t>
        <w:br/>
        <w:t xml:space="preserve">  "activated":     false,</w:t>
        <w:br/>
        <w:t xml:space="preserve">  "edition":       "TRIAL",</w:t>
        <w:br/>
        <w:t xml:space="preserve">  "trial_started": "2026-06-14T10:00:00.000000",</w:t>
        <w:br/>
        <w:t xml:space="preserve">  "trial_ends":    "2026-07-14T10:00:00.000000"</w:t>
        <w:br/>
        <w:t>}</w:t>
      </w:r>
    </w:p>
    <w:p>
      <w:pPr>
        <w:pStyle w:val="Heading1"/>
      </w:pPr>
      <w:r>
        <w:rPr>
          <w:rFonts w:ascii="Segoe UI" w:hAnsi="Segoe UI"/>
          <w:color w:val="0A213A"/>
          <w:sz w:val="36"/>
        </w:rPr>
        <w:t>7  Modul-API-Referenz</w:t>
      </w:r>
    </w:p>
    <w:p>
      <w:pPr>
        <w:pStyle w:val="Heading2"/>
      </w:pPr>
      <w:r>
        <w:rPr>
          <w:rFonts w:ascii="Segoe UI" w:hAnsi="Segoe UI"/>
          <w:color w:val="1E5AA0"/>
          <w:sz w:val="28"/>
        </w:rPr>
        <w:t>7.1  license_crypto.py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Funktion</w:t>
            </w:r>
          </w:p>
        </w:tc>
        <w:tc>
          <w:tcPr>
            <w:tcW w:type="dxa" w:w="226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Rueckgabe</w:t>
            </w:r>
          </w:p>
        </w:tc>
        <w:tc>
          <w:tcPr>
            <w:tcW w:type="dxa" w:w="311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validate_key(key)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str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(bool, str)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Kryptografische Pruefung</w:t>
            </w:r>
          </w:p>
        </w:tc>
      </w:tr>
      <w:tr>
        <w:tc>
          <w:tcPr>
            <w:tcW w:type="dxa" w:w="2835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generate_key(ed, yr, sn)</w:t>
            </w:r>
          </w:p>
        </w:tc>
        <w:tc>
          <w:tcPr>
            <w:tcW w:type="dxa" w:w="226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str, int, int</w:t>
            </w:r>
          </w:p>
        </w:tc>
        <w:tc>
          <w:tcPr>
            <w:tcW w:type="dxa" w:w="198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str</w:t>
            </w:r>
          </w:p>
        </w:tc>
        <w:tc>
          <w:tcPr>
            <w:tcW w:type="dxa" w:w="311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Schluessel erzeugen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get_machine_id()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–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str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16-Hex-Geraete-ID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1E5AA0"/>
          <w:sz w:val="28"/>
        </w:rPr>
        <w:t>7.2  license_manager.py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Funktion</w:t>
            </w:r>
          </w:p>
        </w:tc>
        <w:tc>
          <w:tcPr>
            <w:tcW w:type="dxa" w:w="1984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Rueckgabe</w:t>
            </w:r>
          </w:p>
        </w:tc>
        <w:tc>
          <w:tcPr>
            <w:tcW w:type="dxa" w:w="5102"/>
            <w:shd w:val="clear" w:color="auto" w:fill="0A213A"/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validate_key(key)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(bool, str)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Format + Krypto-Pruefung</w:t>
            </w:r>
          </w:p>
        </w:tc>
      </w:tr>
      <w:tr>
        <w:tc>
          <w:tcPr>
            <w:tcW w:type="dxa" w:w="311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activate(name, key)</w:t>
            </w:r>
          </w:p>
        </w:tc>
        <w:tc>
          <w:tcPr>
            <w:tcW w:type="dxa" w:w="198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(bool, str)</w:t>
            </w:r>
          </w:p>
        </w:tc>
        <w:tc>
          <w:tcPr>
            <w:tcW w:type="dxa" w:w="510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Lizenz aktivieren + speichern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start_trial()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dict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Trial-Lizenz starten</w:t>
            </w:r>
          </w:p>
        </w:tc>
      </w:tr>
      <w:tr>
        <w:tc>
          <w:tcPr>
            <w:tcW w:type="dxa" w:w="311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deactivate()</w:t>
            </w:r>
          </w:p>
        </w:tc>
        <w:tc>
          <w:tcPr>
            <w:tcW w:type="dxa" w:w="198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None</w:t>
            </w:r>
          </w:p>
        </w:tc>
        <w:tc>
          <w:tcPr>
            <w:tcW w:type="dxa" w:w="510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Lizenzdatei loeschen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has_feature(feat)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bool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Feature-Gate-Abfrage</w:t>
            </w:r>
          </w:p>
        </w:tc>
      </w:tr>
      <w:tr>
        <w:tc>
          <w:tcPr>
            <w:tcW w:type="dxa" w:w="311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is_activated()</w:t>
            </w:r>
          </w:p>
        </w:tc>
        <w:tc>
          <w:tcPr>
            <w:tcW w:type="dxa" w:w="198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bool</w:t>
            </w:r>
          </w:p>
        </w:tc>
        <w:tc>
          <w:tcPr>
            <w:tcW w:type="dxa" w:w="510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Prueft aktive Lizenz + ggf. Maschine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is_trial_expired()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bool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Trial-Ablauf pruefen</w:t>
            </w:r>
          </w:p>
        </w:tc>
      </w:tr>
      <w:tr>
        <w:tc>
          <w:tcPr>
            <w:tcW w:type="dxa" w:w="311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get_edition()</w:t>
            </w:r>
          </w:p>
        </w:tc>
        <w:tc>
          <w:tcPr>
            <w:tcW w:type="dxa" w:w="198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str</w:t>
            </w:r>
          </w:p>
        </w:tc>
        <w:tc>
          <w:tcPr>
            <w:tcW w:type="dxa" w:w="510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Aktuelle Edition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get_status_text()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str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Segoe UI" w:hAnsi="Segoe UI"/>
                <w:sz w:val="20"/>
              </w:rPr>
              <w:t>Anzeige-Text fuer Footer</w:t>
            </w:r>
          </w:p>
        </w:tc>
      </w:tr>
      <w:tr>
        <w:tc>
          <w:tcPr>
            <w:tcW w:type="dxa" w:w="3118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check_machine_binding()</w:t>
            </w:r>
          </w:p>
        </w:tc>
        <w:tc>
          <w:tcPr>
            <w:tcW w:type="dxa" w:w="1984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bool</w:t>
            </w:r>
          </w:p>
        </w:tc>
        <w:tc>
          <w:tcPr>
            <w:tcW w:type="dxa" w:w="5102"/>
            <w:shd w:val="clear" w:color="auto" w:fill="F0F2F5"/>
          </w:tcPr>
          <w:p>
            <w:r>
              <w:rPr>
                <w:rFonts w:ascii="Segoe UI" w:hAnsi="Segoe UI"/>
                <w:sz w:val="20"/>
              </w:rPr>
              <w:t>Geraete-ID-Vergleich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A213A"/>
          <w:sz w:val="36"/>
        </w:rPr>
        <w:t>8  Sicherheitshinweise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0D2"/>
          </w:tcPr>
          <w:p>
            <w:pPr>
              <w:spacing w:before="80" w:after="80"/>
              <w:ind w:left="170"/>
            </w:pPr>
            <w:r>
              <w:rPr>
                <w:rFonts w:ascii="Segoe UI" w:hAnsi="Segoe UI"/>
                <w:color w:val="0A213A"/>
                <w:sz w:val="20"/>
              </w:rPr>
              <w:t>Das System ist auf Offline-Nutzung ausgelegt. Der Schutz basiert auf der Geheimhaltung des HMAC-Schluessels. Bei Verdacht auf Kompromittierung sollte der Schluessel geaendert und alle Lizenzen neu ausgestellt werden.</w:t>
            </w:r>
          </w:p>
        </w:tc>
      </w:tr>
    </w:tbl>
    <w:p/>
    <w:p>
      <w:pPr>
        <w:pStyle w:val="ListBullet"/>
        <w:ind w:left="283"/>
      </w:pPr>
      <w:r>
        <w:rPr>
          <w:rFonts w:ascii="Segoe UI" w:hAnsi="Segoe UI"/>
          <w:sz w:val="21"/>
        </w:rPr>
        <w:t>Geheimschluessel niemals in Git-Repositories oder Logs veroeffentlichen.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Die EXE-Datei mit PyInstaller --onefile oder vergleichbar ausliefern (kein reiner Quellcode).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Keygen-Tool (tools/keygen.py) ausschliesslich intern verwenden und nicht ausliefern.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Seriennummern intern verwalten, um Doppelvergabe zu vermeiden (siehe Benutzerdokumentation).</w:t>
      </w:r>
    </w:p>
    <w:p>
      <w:pPr>
        <w:pStyle w:val="ListBullet"/>
        <w:ind w:left="283"/>
      </w:pPr>
      <w:r>
        <w:rPr>
          <w:rFonts w:ascii="Segoe UI" w:hAnsi="Segoe UI"/>
          <w:sz w:val="21"/>
        </w:rPr>
        <w:t>Fuer hoehere Sicherheit: MACHINE_BINDING_ENABLED = True setzen.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414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