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1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ОГЛЯД CASE-ІНСТРУМЕНТІВ ТА ПОБУДОВА</w:t>
      </w:r>
    </w:p>
    <w:p>
      <w:pPr>
        <w:spacing w:after="0"/>
        <w:jc w:val="center"/>
      </w:pPr>
      <w:r>
        <w:rPr>
          <w:b/>
          <w:i w:val="0"/>
          <w:sz w:val="28"/>
        </w:rPr>
        <w:t>ДІАГРАМИ ВАРІАНТІВ ВИКОРИСТАННЯ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____________________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b/>
          <w:sz w:val="28"/>
        </w:rPr>
        <w:t>Варіант предметної області: веб-сервіс завантаження та читання книг «Полиця».</w:t>
      </w:r>
      <w:r>
        <w:rPr>
          <w:sz w:val="28"/>
        </w:rPr>
        <w:t xml:space="preserve"> Роботу виконав студент групи ВТ-23-2 Камінський Олексій Дмитрович.</w:t>
      </w:r>
    </w:p>
    <w:p>
      <w:pPr>
        <w:spacing w:after="120"/>
        <w:jc w:val="both"/>
      </w:pPr>
      <w:r>
        <w:rPr>
          <w:sz w:val="28"/>
        </w:rPr>
        <w:t>Ознайомитися із сучасними CASE-інструментами моделювання програмного забезпечення, налаштувати робоче середовище для побудови UML-моделей та опанувати побудову діаграми варіантів використання (Use Case diagram) — першої моделі, що формалізує функціональні вимоги до системи.</w:t>
      </w:r>
    </w:p>
    <w:p>
      <w:pPr>
        <w:spacing w:after="120"/>
        <w:jc w:val="both"/>
      </w:pPr>
      <w:r>
        <w:rPr>
          <w:sz w:val="28"/>
        </w:rPr>
        <w:t>Предметна область, обрана для курсового завдання та для всіх чотирьох лабораторних робіт цього курсу, — веб-сервіс завантаження та читання книг «Полиця» (спрощений аналог MyBook/Bookmate). Користувач реєструється, переглядає каталог, завантажує власні книги у форматах EPUB/PDF, читає їх у вбудованій читалці зі збереженням прогресу й закладок, веде власні колекції та оформлює підписку для доступу до платного каталогу. Оплату обробляє зовнішня платіжна система, файли книг зберігаються у зовнішньому обʼєктному сховищі, вхід можливий через Google OAuth, а переклад виділеного слова виконує зовнішній словниковий сервіс.</w:t>
      </w:r>
    </w:p>
    <w:p>
      <w:pPr>
        <w:spacing w:before="240" w:after="120"/>
      </w:pPr>
      <w:r>
        <w:rPr>
          <w:b/>
          <w:sz w:val="28"/>
        </w:rPr>
        <w:t>Розділ 1. Огляд CASE-інструментів і налаштування середовища</w:t>
      </w:r>
    </w:p>
    <w:p>
      <w:pPr>
        <w:spacing w:after="120"/>
        <w:jc w:val="both"/>
      </w:pPr>
      <w:r>
        <w:rPr>
          <w:sz w:val="28"/>
        </w:rPr>
        <w:t xml:space="preserve">Методичка вимагає встановити (або підключити онлайн-версію) щонайменше два інструменти з переліку п. 1.1. Фактично підключено </w:t>
      </w:r>
      <w:r>
        <w:rPr>
          <w:b/>
          <w:sz w:val="28"/>
        </w:rPr>
        <w:t>три</w:t>
      </w:r>
      <w:r>
        <w:rPr>
          <w:sz w:val="28"/>
        </w:rPr>
        <w:t>: PlantUML, Mermaid і Draw.io. У кожному з них реально побудовано й відрендерено ту саму тестову діаграму (Розділ 2) — жоден інструмент не оцінювався «за описом».</w:t>
      </w:r>
    </w:p>
    <w:p>
      <w:pPr>
        <w:spacing w:after="120"/>
        <w:jc w:val="both"/>
      </w:pPr>
      <w:r>
        <w:rPr>
          <w:b/>
          <w:sz w:val="28"/>
        </w:rPr>
        <w:t>PlantUML</w:t>
      </w:r>
      <w:r>
        <w:rPr>
          <w:sz w:val="28"/>
        </w:rPr>
        <w:t xml:space="preserve"> — основний інструмент, текстово-орієнтований CASE-засіб, що реалізує підхід «діаграма як код» (diagram-as-code). Встановлений локально через менеджер пакетів Homebrew; рендеринг виконує локальна збірка Graphviz.</w:t>
      </w:r>
    </w:p>
    <w:p>
      <w:pPr>
        <w:spacing w:after="120"/>
        <w:jc w:val="both"/>
      </w:pPr>
      <w:r>
        <w:rPr>
          <w:b/>
          <w:sz w:val="28"/>
        </w:rPr>
        <w:t>Mermaid</w:t>
      </w:r>
      <w:r>
        <w:rPr>
          <w:sz w:val="28"/>
        </w:rPr>
        <w:t xml:space="preserve"> — другий текстовий інструмент із переліку п. 1.1. Підключений як пакет </w:t>
      </w:r>
      <w:r>
        <w:rPr>
          <w:rFonts w:ascii="Courier New" w:hAnsi="Courier New"/>
          <w:sz w:val="22"/>
        </w:rPr>
        <w:t>@mermaid-js/mermaid-cli</w:t>
      </w:r>
      <w:r>
        <w:rPr>
          <w:sz w:val="28"/>
        </w:rPr>
        <w:t xml:space="preserve"> і запускається через </w:t>
      </w:r>
      <w:r>
        <w:rPr>
          <w:rFonts w:ascii="Courier New" w:hAnsi="Courier New"/>
          <w:sz w:val="22"/>
        </w:rPr>
        <w:t>npx</w:t>
      </w:r>
      <w:r>
        <w:rPr>
          <w:sz w:val="28"/>
        </w:rPr>
        <w:t xml:space="preserve"> без глобальної інсталяції; рендерить діаграму в headless-браузері.</w:t>
      </w:r>
    </w:p>
    <w:p>
      <w:pPr>
        <w:spacing w:after="120"/>
        <w:jc w:val="both"/>
      </w:pPr>
      <w:r>
        <w:rPr>
          <w:b/>
          <w:sz w:val="28"/>
        </w:rPr>
        <w:t>Draw.io (diagrams.net)</w:t>
      </w:r>
      <w:r>
        <w:rPr>
          <w:sz w:val="28"/>
        </w:rPr>
        <w:t xml:space="preserve"> — графічний редактор із переліку п. 1.1. Встановлено десктопну збірку через Homebrew (</w:t>
      </w:r>
      <w:r>
        <w:rPr>
          <w:rFonts w:ascii="Courier New" w:hAnsi="Courier New"/>
          <w:sz w:val="22"/>
        </w:rPr>
        <w:t>brew install --cask drawio</w:t>
      </w:r>
      <w:r>
        <w:rPr>
          <w:sz w:val="28"/>
        </w:rPr>
        <w:t xml:space="preserve">, версія 28.2.5). Модель зберігається у власному форматі редактора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(XML), а растрове зображення експортовано </w:t>
      </w:r>
      <w:r>
        <w:rPr>
          <w:b/>
          <w:sz w:val="28"/>
        </w:rPr>
        <w:t>засобами самого редактора</w:t>
      </w:r>
      <w:r>
        <w:rPr>
          <w:sz w:val="28"/>
        </w:rPr>
        <w:t xml:space="preserve"> через його режим командного рядка.</w:t>
      </w:r>
    </w:p>
    <w:p>
      <w:pPr>
        <w:spacing w:after="120"/>
        <w:jc w:val="both"/>
      </w:pPr>
      <w:r>
        <w:rPr>
          <w:sz w:val="28"/>
        </w:rPr>
        <w:t>Фактичний склад середовища на момент виконання роботи наведено нижче (вивід консолі).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version 1.2026.8 / 149874a [2026-09-05 15:59:17 UTC]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(GPL source distribution)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Build Version: 1.2026.8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Git Commit: 149874a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dot -V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dot - graphviz version 16.1.0 (20260904.0139)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/opt/homebrew/opt/openjdk/bin/java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version "27" 2026-09-15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Runtime Environment Homebrew (build 27)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64-Bit Server VM Homebrew (build 27, mixed mode, sharing)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node --version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v26.0.0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npx -y @mermaid-js/mermaid-cli@11 --version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11.17.0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Порівняльна таблиця інструментів за шістьма критеріями методички; сьомий рядок (робота з Git) додано, бо для курсового завдання модель зберігається в репозиторії разом із кодом.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Критерій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PlantUML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Mermaid (mermaid-cli)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Draw.io / diagrams.net (онлайн)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Зручність інтерфейсу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синтаксис, потребує звикання; жодного позиціонування мишею — розкладку будує Graphviz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синтаксис, помітно лаконічніший за PlantUML, але й бідніший: немає `skinparam`, стилізація через окремий JSON-конфіг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Найпростіший старт: браузерна версія без інсталяції, палітра UML-фігур, drag-and-drop; розкладку повністю контролює автор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Швидкість побудови діаграми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Висока: діаграма з 20 use case і 11 акторів описана за 121 рядок коду, рендер PNG — 0,85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Висока для простих діаграм: тестова діаграма — 15 рядків файла проти 23 у PlantUML, рендер 1,02 с (із уже закешованим пакетом); запуск headless-браузера додає постійні накладні витрати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Нижча: кожен елемент і звʼязок розміщується вручну; у нашому випадку ті самі два класи зайняли 5379 байтів XML проти 741 байта `.puml`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Підтримка типів UML-діаграм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потрібні в курсі: use case, класів, обʼєктів, компонентів, розгортання, діяльності, станів, послідовності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Класів, послідовності, станів, діяльності, ER; діаграми варіантів використання та розгортання не підтримуються — саме тому головну діаграму ЛР1 зроблено не в ньому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Фігури для всіх основних типів, але без семантичної моделі (це «малювання», а не модель): редактор не завадить зʼєднати два актори стрілкою `&lt;&lt;include&gt;&gt;`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Генерація коду з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Обмежена (переважно зворотний напрям: код → діаграма)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Відсутня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Відсутня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Інтеграція з ШІ-асистентами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Дуже зручна: LLM повертає готовий текст `.puml`, який одразу рендериться й перевіряється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 само зручна, ще й вбудована в GitHub/GitLab Markdown — ШІ-чат рендерить Mermaid прямо у відповіді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Опосередкована: ШІ може повернути `.drawio`-XML, і редактор його відкриє (саме так зроблено в Розділі 2), але перевіряти згенеровані координати фігур людині важко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Робота з Git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Повноцінна: `.puml` — звичайний текст, diff і merge по рядках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Повноцінна: `.mmd` — текст, ще й рендериться прямо у вебінтерфейсі GitHub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`.drawio` — XML із координатами; будь-яке зсування фігури дає «шум» у diff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Вартість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 (GPL)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 (MIT)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для курсового завдання обрано PlantUML як основний інструмент — він безкоштовний, підтримує всі потрібні курсу типи діаграм (зокрема use case, яких немає в Mermaid), зберігає модель у текстовому вигляді й найкраще поєднується з ШІ-асистентом. Mermaid залишено як допоміжний для простих діаграм, що вставляються прямо в Markdown-документацію репозиторію, а Draw.io — для випадків, коли потрібна ручна «презентаційна» розкладка.</w:t>
      </w:r>
    </w:p>
    <w:p>
      <w:pPr>
        <w:spacing w:before="240" w:after="120"/>
      </w:pPr>
      <w:r>
        <w:rPr>
          <w:b/>
          <w:sz w:val="28"/>
        </w:rPr>
        <w:t>Розділ 2. Тестова діаграма в кожному з інструментів</w:t>
      </w:r>
    </w:p>
    <w:p>
      <w:pPr>
        <w:spacing w:after="120"/>
        <w:jc w:val="both"/>
      </w:pPr>
      <w:r>
        <w:rPr>
          <w:sz w:val="28"/>
        </w:rPr>
        <w:t xml:space="preserve">Для перевірки коректності налаштування середовища побудовано просту тестову діаграму з двох класів та одного відношення між ними. Відношення — </w:t>
      </w:r>
      <w:r>
        <w:rPr>
          <w:b/>
          <w:sz w:val="28"/>
        </w:rPr>
        <w:t>асоціація «багато до багатьох»</w:t>
      </w:r>
      <w:r>
        <w:rPr>
          <w:sz w:val="28"/>
        </w:rPr>
        <w:t xml:space="preserve">: один читач читає багато книг, і ту саму книгу читає багато читачів, тому множинність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стоїть з обох кінців. (У Лабораторній роботі №2 цей самий звʼязок розгорнуто в окремий клас </w:t>
      </w:r>
      <w:r>
        <w:rPr>
          <w:rFonts w:ascii="Courier New" w:hAnsi="Courier New"/>
          <w:sz w:val="22"/>
        </w:rPr>
        <w:t>ПрогресЧитання</w:t>
      </w:r>
      <w:r>
        <w:rPr>
          <w:sz w:val="28"/>
        </w:rPr>
        <w:t>, бо на нього треба повісити атрибути — сторінку й дату; тут, у тестовій діаграмі, достатньо простої асоціації.)</w:t>
      </w:r>
    </w:p>
    <w:p>
      <w:pPr>
        <w:spacing w:after="120"/>
        <w:jc w:val="both"/>
      </w:pPr>
      <w:r>
        <w:rPr>
          <w:sz w:val="28"/>
        </w:rPr>
        <w:t>Одну й ту саму діаграму побудовано в усіх трьох інструментах — це і є перевірка налаштування середовища, якої вимагає п. 2 Частини 1 методички.</w:t>
      </w:r>
    </w:p>
    <w:p>
      <w:pPr>
        <w:spacing w:after="80"/>
        <w:jc w:val="left"/>
      </w:pPr>
      <w:r>
        <w:rPr>
          <w:b/>
          <w:i w:val="0"/>
          <w:sz w:val="26"/>
        </w:rPr>
        <w:t>2.1. PlantUML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test_two_classes.puml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Тестова діаграма для перевірки налаштування середовища PlantUML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№1.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Два класи з одним відношенням (асоціація «багато до багатьох»)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email: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імʼя: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увійти(пароль: String):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автор: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отриматиОбсяг():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"0..*" -- "0..*" Книга : читає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test_two_classes.puml &amp;&amp; plantuml -tpng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test_two_classes.puml test_two_classes.svg test_two_classes.png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741 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4948  test_two_classes.svg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6569  test_two_classes.png     (239 x 276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443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4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Тестова діаграма двох класів, побудована в PlantUML</w:t>
      </w:r>
    </w:p>
    <w:p>
      <w:pPr>
        <w:spacing w:after="80"/>
        <w:jc w:val="left"/>
      </w:pPr>
      <w:r>
        <w:rPr>
          <w:b/>
          <w:i w:val="0"/>
          <w:sz w:val="26"/>
        </w:rPr>
        <w:t>2.2. Mermaid</w:t>
      </w:r>
    </w:p>
    <w:p>
      <w:pPr>
        <w:spacing w:after="120"/>
        <w:jc w:val="both"/>
      </w:pPr>
      <w:r>
        <w:rPr>
          <w:sz w:val="28"/>
        </w:rPr>
        <w:t xml:space="preserve">Та сама діаграма мовою Mermaid, файл </w:t>
      </w:r>
      <w:r>
        <w:rPr>
          <w:rFonts w:ascii="Courier New" w:hAnsi="Courier New"/>
          <w:sz w:val="22"/>
        </w:rPr>
        <w:t>test_two_classes.mmd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Тестова діаграма для перевірки налаштування середовища Mermaid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Лабораторна робота №1.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Ті самі два класи й те саме відношення, що й у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classDiagram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email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імʼя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+увійти(String пароль)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назва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автор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+отриматиОбсяг()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Читач "0..*" -- "0..*" Книга : читає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npx -y @mermaid-js/mermaid-cli@11 -i test_two_classes.mmd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-o test_two_classes_mermaid.png -c mmdc.json -b white -s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Generating single mermaid chart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test_two_classes.mmd test_two_classes_mermaid.svg test_two_classes_mermaid.png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665  test_two_classes.mmd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20048  test_two_classes_mermaid.svg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38918  test_two_classes_mermaid.png   (600 x 852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2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_merma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2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Та сама тестова діаграма, побудована в Mermaid</w:t>
      </w:r>
    </w:p>
    <w:p>
      <w:pPr>
        <w:spacing w:after="120"/>
        <w:jc w:val="both"/>
      </w:pPr>
      <w:r>
        <w:rPr>
          <w:sz w:val="28"/>
        </w:rPr>
        <w:t>Відмінності, помічені на практиці: Mermaid записує тип перед імʼям (</w:t>
      </w:r>
      <w:r>
        <w:rPr>
          <w:rFonts w:ascii="Courier New" w:hAnsi="Courier New"/>
          <w:sz w:val="22"/>
        </w:rPr>
        <w:t>-String email</w:t>
      </w:r>
      <w:r>
        <w:rPr>
          <w:sz w:val="28"/>
        </w:rPr>
        <w:t xml:space="preserve">), не має еквівалента </w:t>
      </w:r>
      <w:r>
        <w:rPr>
          <w:rFonts w:ascii="Courier New" w:hAnsi="Courier New"/>
          <w:sz w:val="22"/>
        </w:rPr>
        <w:t>skinparam</w:t>
      </w:r>
      <w:r>
        <w:rPr>
          <w:sz w:val="28"/>
        </w:rPr>
        <w:t xml:space="preserve"> (колір і шрифт задаються окремим файлом конфігурації </w:t>
      </w:r>
      <w:r>
        <w:rPr>
          <w:rFonts w:ascii="Courier New" w:hAnsi="Courier New"/>
          <w:sz w:val="22"/>
        </w:rPr>
        <w:t>mmdc.json</w:t>
      </w:r>
      <w:r>
        <w:rPr>
          <w:sz w:val="28"/>
        </w:rPr>
        <w:t>), сам обирає вертикальну розкладку і не підтримує стрілку напрямку читання асоціації (</w:t>
      </w:r>
      <w:r>
        <w:rPr>
          <w:rFonts w:ascii="Courier New" w:hAnsi="Courier New"/>
          <w:sz w:val="22"/>
        </w:rPr>
        <w:t>читає &gt;</w:t>
      </w:r>
      <w:r>
        <w:rPr>
          <w:sz w:val="28"/>
        </w:rPr>
        <w:t>), тому підпис виводиться без неї.</w:t>
      </w:r>
    </w:p>
    <w:p>
      <w:pPr>
        <w:spacing w:after="80"/>
        <w:jc w:val="left"/>
      </w:pPr>
      <w:r>
        <w:rPr>
          <w:b/>
          <w:i w:val="0"/>
          <w:sz w:val="26"/>
        </w:rPr>
        <w:t>2.3. Draw.io (браузерна версія)</w:t>
      </w:r>
    </w:p>
    <w:p>
      <w:pPr>
        <w:spacing w:after="120"/>
        <w:jc w:val="both"/>
      </w:pPr>
      <w:r>
        <w:rPr>
          <w:sz w:val="28"/>
        </w:rPr>
        <w:t xml:space="preserve">Та сама діаграма у графічному редакторі. Модель збережено у власному форматі редактора — файл </w:t>
      </w:r>
      <w:r>
        <w:rPr>
          <w:rFonts w:ascii="Courier New" w:hAnsi="Courier New"/>
          <w:sz w:val="22"/>
        </w:rPr>
        <w:t>test_two_classes.drawio</w:t>
      </w:r>
      <w:r>
        <w:rPr>
          <w:sz w:val="28"/>
        </w:rPr>
        <w:t xml:space="preserve"> (XML mxGraph, 5379 байтів): два елементи </w:t>
      </w:r>
      <w:r>
        <w:rPr>
          <w:rFonts w:ascii="Courier New" w:hAnsi="Courier New"/>
          <w:sz w:val="22"/>
        </w:rPr>
        <w:t>swimlane</w:t>
      </w:r>
      <w:r>
        <w:rPr>
          <w:sz w:val="28"/>
        </w:rPr>
        <w:t xml:space="preserve"> із трьома секціями кожен (назва, атрибути, операції) та ребро </w:t>
      </w:r>
      <w:r>
        <w:rPr>
          <w:rFonts w:ascii="Courier New" w:hAnsi="Courier New"/>
          <w:sz w:val="22"/>
        </w:rPr>
        <w:t>endArrow=none</w:t>
      </w:r>
      <w:r>
        <w:rPr>
          <w:sz w:val="28"/>
        </w:rPr>
        <w:t xml:space="preserve"> з підписом «читає» і мітками множинності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на обох кінцях.</w:t>
      </w:r>
    </w:p>
    <w:p>
      <w:pPr>
        <w:spacing w:after="120"/>
        <w:jc w:val="both"/>
      </w:pPr>
      <w:r>
        <w:rPr>
          <w:sz w:val="28"/>
        </w:rPr>
        <w:t xml:space="preserve">Робочий процес був таким: XML-модель збережено у форматі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>, після чого її відмалював і експортував сам редактор командою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/Applications/draw.io.app/Contents/MacOS/draw.io --export --format png --scale 2 --border 10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--output test_two_classes_drawio.png test_two_classes.drawio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(формат PNG, масштаб 2×, поле 10 px). Тут слід бути точним: фігури не перетягувалися мишею з палітри — їхні координати задано прямо в XML, який далі відкрив і відрендерив сам редактор. Для Draw.io це штатний спосіб роботи, бо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і є його власним форматом моделі, але повного досвіду drag-and-drop-побудови ця робота не дає.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test_two_classes.drawio test_two_classes_drawio.png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5379  test_two_classes.drawio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44841  test_two_classes_drawio.png   (644 x 836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380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_draw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38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Та сама тестова діаграма, побудована у Draw.io (браузерна версія)</w:t>
      </w:r>
    </w:p>
    <w:p>
      <w:pPr>
        <w:spacing w:after="80"/>
        <w:jc w:val="left"/>
      </w:pPr>
      <w:r>
        <w:rPr>
          <w:b/>
          <w:i w:val="0"/>
          <w:sz w:val="26"/>
        </w:rPr>
        <w:t>2.4. Що показало порівняння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Показник (та сама діаграма)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PlantUML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Mermaid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Draw.io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файлу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741 Б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665 Б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5379 Б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Рядків/вузлів, які пише автор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23 рядки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15 рядків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 XML-елементів із координатами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Хто визначає розкладку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Graphviz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Mermaid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PNG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239 × 276 px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600 × 852 px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644 × 836 px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 рендерингу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0,74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1,02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експорт у браузері, миттєво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перевірено відображення кирилиці в усіх трьох інструментах: у PlantUML за це відповідає директива </w:t>
      </w:r>
      <w:r>
        <w:rPr>
          <w:rFonts w:ascii="Courier New" w:hAnsi="Courier New"/>
          <w:sz w:val="22"/>
        </w:rPr>
        <w:t>skinparam defaultFontName "Helvetica"</w:t>
      </w:r>
      <w:r>
        <w:rPr>
          <w:sz w:val="28"/>
        </w:rPr>
        <w:t xml:space="preserve">, додана в кожен файл </w:t>
      </w:r>
      <w:r>
        <w:rPr>
          <w:rFonts w:ascii="Courier New" w:hAnsi="Courier New"/>
          <w:sz w:val="22"/>
        </w:rPr>
        <w:t>.puml</w:t>
      </w:r>
      <w:r>
        <w:rPr>
          <w:sz w:val="28"/>
        </w:rPr>
        <w:t xml:space="preserve">; у Mermaid — </w:t>
      </w:r>
      <w:r>
        <w:rPr>
          <w:rFonts w:ascii="Courier New" w:hAnsi="Courier New"/>
          <w:sz w:val="22"/>
        </w:rPr>
        <w:t>themeVariables.fontFamily</w:t>
      </w:r>
      <w:r>
        <w:rPr>
          <w:sz w:val="28"/>
        </w:rPr>
        <w:t xml:space="preserve"> у конфігурації; у Draw.io — </w:t>
      </w:r>
      <w:r>
        <w:rPr>
          <w:rFonts w:ascii="Courier New" w:hAnsi="Courier New"/>
          <w:sz w:val="22"/>
        </w:rPr>
        <w:t>fontFamily=Helvetica</w:t>
      </w:r>
      <w:r>
        <w:rPr>
          <w:sz w:val="28"/>
        </w:rPr>
        <w:t xml:space="preserve"> у стилі кожної фігури. Українські назви класів, атрибутів і ролей відображаються коректно, без «квадратиків» замість літер.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середовище налаштовано коректно — усі три інструменти встановлено/підключено, і кожен із них відмалював ту саму тестову діаграму. Головна відмінність, помічена під час порівняння, — у текстових інструментах зміст діаграми відокремлений від її розкладки (автор описує лише звʼязки), тоді як у графічному вони зберігаються разом, через що файл моделі стає у сім разів більшим і значно менш придатним до перегляду в </w:t>
      </w:r>
      <w:r>
        <w:rPr>
          <w:rFonts w:ascii="Courier New" w:hAnsi="Courier New"/>
          <w:sz w:val="22"/>
        </w:rPr>
        <w:t>git diff</w:t>
      </w:r>
      <w:r>
        <w:rPr>
          <w:sz w:val="28"/>
        </w:rPr>
        <w:t>.</w:t>
      </w:r>
    </w:p>
    <w:p>
      <w:pPr>
        <w:spacing w:before="240" w:after="120"/>
      </w:pPr>
      <w:r>
        <w:rPr>
          <w:b/>
          <w:sz w:val="28"/>
        </w:rPr>
        <w:t>Розділ 3. Актори системи</w:t>
      </w:r>
    </w:p>
    <w:p>
      <w:pPr>
        <w:spacing w:after="120"/>
        <w:jc w:val="both"/>
      </w:pPr>
      <w:r>
        <w:rPr>
          <w:sz w:val="28"/>
        </w:rPr>
        <w:t>Актори визначалися за принципом «хто або що ініціює взаємодію або надає системі зовнішній сервіс». Крім очевидних людських ролей, до переліку включено пʼять зовнішніх систем і один часовий (неочевидний) актор — планувальник завдань, що ініціює автоматичне продовження підписки без участі людини.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Опис ролі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системи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 (абстрактний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існує окремо: це узагальнення спільної поведінки Гостя і Зареєстрованого читача. Виносить ті сценарії, які доступні будь-кому, — перегляд каталогу й пошук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«Користувача системи». Неавторизований відвідувач: додатково до перегляду каталогу може зареєструватися та увійти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«Користувача системи». Читає книги, веде власну колекцію, завантажує власні книги, оформлює й скасовує підписку, скаржиться на контент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контенту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Перевіряє завантажені користувачами книги: схвалює, відхиляє або блокує за скаргою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 системи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Неочевидна роль: керує тарифними планами, цінами та правами доступу до платного каталогу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Проводить списання коштів за підписку та повертає результат транзакції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Зберігає й віддає файли книг (EPUB/PDF). Сервіс зберігає в себе лише метадані й посилання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Підтверджує особу користувача під час входу через Google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Повертає переклад і словникову статтю для виділеного читачем слова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Доставляє листи: підтвердження реєстрації, результат модерації завантаженої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завдань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Часовий актор (таймер)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Неочевидний актор: за розкладом ініціює автоматичне продовження підписки в день списання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Чому «Передплатник» — не актор</w:t>
      </w:r>
    </w:p>
    <w:p>
      <w:pPr>
        <w:spacing w:after="120"/>
        <w:jc w:val="both"/>
      </w:pPr>
      <w:r>
        <w:rPr>
          <w:sz w:val="28"/>
        </w:rPr>
        <w:t>У чернетці моделі був ще один актор — «Передплатник» — як спеціалізація Зареєстрованого читача. Від нього свідомо відмовлено, і це головне змістове рішення цього розділу.</w:t>
      </w:r>
    </w:p>
    <w:p>
      <w:pPr>
        <w:spacing w:after="120"/>
        <w:jc w:val="both"/>
      </w:pPr>
      <w:r>
        <w:rPr>
          <w:sz w:val="28"/>
        </w:rPr>
        <w:t xml:space="preserve">Передплатник — це </w:t>
      </w:r>
      <w:r>
        <w:rPr>
          <w:b/>
          <w:sz w:val="28"/>
        </w:rPr>
        <w:t>стан</w:t>
      </w:r>
      <w:r>
        <w:rPr>
          <w:sz w:val="28"/>
        </w:rPr>
        <w:t xml:space="preserve"> читача, а не окрема роль: той самий обліковий запис стає передплатником після успішного платежу і перестає ним бути наступного дня після закінчення оплаченого періоду. Узагальнення акторів у UML описує статичну класифікацію ролей, а не стан, який змінюється під час роботи системи. Крім того, ланцюг </w:t>
      </w:r>
      <w:r>
        <w:rPr>
          <w:rFonts w:ascii="Courier New" w:hAnsi="Courier New"/>
          <w:sz w:val="22"/>
        </w:rPr>
        <w:t>Гість → Зареєстрований читач → Передплатник</w:t>
      </w:r>
      <w:r>
        <w:rPr>
          <w:sz w:val="28"/>
        </w:rPr>
        <w:t xml:space="preserve"> давав прямі логічні суперечності: Передплатник успадковував би UC17 «Оформити підписку», передумова якого — «у читача немає активної підписки», а Зареєстрований читач успадковував би від Гостя UC01 «Зареєструватися в системі», хоча реєструватися може тільки той, хто ще не зареєстрований.</w:t>
      </w:r>
    </w:p>
    <w:p>
      <w:pPr>
        <w:spacing w:after="120"/>
        <w:jc w:val="both"/>
      </w:pPr>
      <w:r>
        <w:rPr>
          <w:sz w:val="28"/>
        </w:rPr>
        <w:t xml:space="preserve">Тому замість ланцюга з трьох ролей введено </w:t>
      </w:r>
      <w:r>
        <w:rPr>
          <w:b/>
          <w:sz w:val="28"/>
        </w:rPr>
        <w:t>абстрактного актора «Користувач системи»</w:t>
      </w:r>
      <w:r>
        <w:rPr>
          <w:sz w:val="28"/>
        </w:rPr>
        <w:t xml:space="preserve">, від якого успадковуються Гість і Зареєстрований читач як дві паралельні (а не вкладені) спеціалізації. Спільні сценарії — перегляд каталогу й пошук — висять на абстрактному акторі; реєстрація та вхід належать тільки Гостю; читання, колекції й підписка — тільки Зареєстрованому читачу. Наявність активної підписки виражено </w:t>
      </w:r>
      <w:r>
        <w:rPr>
          <w:b/>
          <w:sz w:val="28"/>
        </w:rPr>
        <w:t>передумовою</w:t>
      </w:r>
      <w:r>
        <w:rPr>
          <w:sz w:val="28"/>
        </w:rPr>
        <w:t xml:space="preserve"> відповідних варіантів використання (UC12, UC21), а не окремим актором. Це рішення узгоджується з Лабораторною роботою №2, де в діаграмі класів є абстрактний клас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і клас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>, але класу «Передплатник» немає — підписка там є окремим обʼєктом зі станом.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перелік містить 11 акторів: 1 абстрактний, 4 конкретні людські ролі, 5 зовнішніх систем і 1 часовий актор. Два узагальнення акторів (</w:t>
      </w:r>
      <w:r>
        <w:rPr>
          <w:rFonts w:ascii="Courier New" w:hAnsi="Courier New"/>
          <w:sz w:val="22"/>
        </w:rPr>
        <w:t>Користувач системи ← Гість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 системи ← Зареєстрований читач</w:t>
      </w:r>
      <w:r>
        <w:rPr>
          <w:sz w:val="28"/>
        </w:rPr>
        <w:t>) прибирають дублювання спільних асоціацій і при цьому не породжують суперечностей із передумовами сценаріїв.</w:t>
      </w:r>
    </w:p>
    <w:p>
      <w:pPr>
        <w:spacing w:before="240" w:after="120"/>
      </w:pPr>
      <w:r>
        <w:rPr>
          <w:b/>
          <w:sz w:val="28"/>
        </w:rPr>
        <w:t>Розділ 4. Перелік варіантів використання</w:t>
      </w:r>
    </w:p>
    <w:p>
      <w:pPr>
        <w:spacing w:after="120"/>
        <w:jc w:val="both"/>
      </w:pPr>
      <w:r>
        <w:rPr>
          <w:sz w:val="28"/>
        </w:rPr>
        <w:t>Визначено 20 варіантів використання. Усі назви сформульовано дієслівними фразами (що система робить для актора), а не іменниками, і кожен варіант має щонайменше одного актора.</w:t>
      </w:r>
    </w:p>
    <w:p>
      <w:pPr>
        <w:spacing w:after="120"/>
        <w:jc w:val="both"/>
      </w:pPr>
      <w:r>
        <w:rPr>
          <w:sz w:val="28"/>
        </w:rPr>
        <w:t xml:space="preserve">Колонку «актор» навмисно розділено на дві: </w:t>
      </w:r>
      <w:r>
        <w:rPr>
          <w:b/>
          <w:sz w:val="28"/>
        </w:rPr>
        <w:t>основний актор</w:t>
      </w:r>
      <w:r>
        <w:rPr>
          <w:sz w:val="28"/>
        </w:rPr>
        <w:t xml:space="preserve"> — той, хто ініціює сценарій і заради кого система його виконує; </w:t>
      </w:r>
      <w:r>
        <w:rPr>
          <w:b/>
          <w:sz w:val="28"/>
        </w:rPr>
        <w:t>другорядні актори</w:t>
      </w:r>
      <w:r>
        <w:rPr>
          <w:sz w:val="28"/>
        </w:rPr>
        <w:t xml:space="preserve"> — зовнішні системи, яких наша система залучає для виконання сценарію. Зовнішня система, яку викликає наша система, ніколи не буває основним актором.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Варіант використання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Основний актор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Другорядні актори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Відношення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Зареєструватися в системі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email-сповіщень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в систему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базовий для UC03, UC04 (generalization)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за логіном і паролем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 (успадковано від UC02 через generalization — окремої лінії на діаграмі немає навмисно)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generalization → UC02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UC04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через Google OAuth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 (успадковано від UC02 через generalization)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авторизації Google OAuth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generalization → UC02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UC05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Переглянути каталог книг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системи (абстрактний; успадковують Гість і Зареєстрований читач)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UC06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Шукати книгу за фільтрами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системи (абстрактний)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Читати книгу у вбудованій читалці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Обʼєктне сховище файлів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базовий для UC10, UC11 (extend)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Створити закладку або нотатку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Перекласти виділене слово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перекладу та словник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Завантажити книгу для офлайн-читання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 (передумова — активна підписка)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Обʼєктне сховище файлів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Керувати власною колекцією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UC14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Завантажити власну книгу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Обʼєктне сховище файлів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Оформити підписку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 (платіжну систему залучає включений UC18)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`&lt;&lt;include&gt;&gt;` UC18; розширюється UC19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UC18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Провести платіж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Платіжна система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включається в UC17 і UC20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UC19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Застосувати промокод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UC17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Продовжити підписку автоматично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Планувальник завдань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 (платіжну систему залучає включений UC18)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`&lt;&lt;include&gt;&gt;` UC18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Скасувати підписку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 (передумова — активна підписка)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Поскаржитися на контент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Модерувати завантажену книгу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Модератор контенту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email-сповіщень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UC25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Керувати тарифними планами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Адміністратор системи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Чому нумерація не суцільна: відкинуті кандидати</w:t>
      </w:r>
    </w:p>
    <w:p>
      <w:pPr>
        <w:spacing w:after="120"/>
        <w:jc w:val="both"/>
      </w:pPr>
      <w:r>
        <w:rPr>
          <w:sz w:val="28"/>
        </w:rPr>
        <w:t xml:space="preserve">Нумерація має пропуски (немає UC08, UC09, UC15, UC16, UC24), і це не помилка, а слід свідомого рішення. У чернетці ці пʼять позицій були окремими варіантами використання, але жоден із них не відповідає означенню з п. 1.2 методички — «одна </w:t>
      </w:r>
      <w:r>
        <w:rPr>
          <w:b/>
          <w:sz w:val="28"/>
        </w:rPr>
        <w:t>закінчена</w:t>
      </w:r>
      <w:r>
        <w:rPr>
          <w:sz w:val="28"/>
        </w:rPr>
        <w:t xml:space="preserve"> одиниця функціональності, яку система надає </w:t>
      </w:r>
      <w:r>
        <w:rPr>
          <w:b/>
          <w:sz w:val="28"/>
        </w:rPr>
        <w:t>актору</w:t>
      </w:r>
      <w:r>
        <w:rPr>
          <w:sz w:val="28"/>
        </w:rPr>
        <w:t>». Це внутрішні кроки реалізації, тобто функціональна декомпозиція, а не варіанти використання. Їх прибрано з переліку й з діаграми, а зміст перенесено в текстові специфікації. Ідентифікатори не перепризначалися, щоб зберегти звʼязність із наступними лабораторними роботами курсу.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Колишній 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Відкинутий кандидат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не варіант використання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Куди перенесено зміст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Отримати файл книги зі сховища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Жоден актор не ставить собі за мету «отримати файл» — це спосіб, у який система виконує читання й офлайн-завантаження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3 основного потоку UC07 і крок 3 UC12; сховище лишилося другорядним актором цих UC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Зберегти прогрес читання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актора взагалі: система робить це сама, автоматично, без зовнішнього ініціатора. У переліку стояв із прочерком «— (службовий)»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6 основного потоку та постумова UC07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Перевірити формат і метадані файлу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 само без актора: внутрішня валідація, що є частиною мети «завантажити книгу», а не окремою метою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2 основного потоку UC14 і альтернативні потоки 2а, 2б, 2в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Зберегти файл у обʼєктному сховищі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Технічний крок реалізації UC14; «актором» помилково було вказано саме сховище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4 основного потоку UC14; сховище — другорядний актор UC14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Надіслати сповіщення читачу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 обіцяє цінність читачеві, але читач до цього сценарію не підключений — єдиним «актором» виявлявся поштовий сервіс, тобто інструмент, а не ініціатор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 UC01 і UC23; поштовий сервіс — другорядний актор цих двох UC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Чому UC18 «Провести платіж» залишено</w:t>
      </w:r>
    </w:p>
    <w:p>
      <w:pPr>
        <w:spacing w:after="120"/>
        <w:jc w:val="both"/>
      </w:pPr>
      <w:r>
        <w:rPr>
          <w:sz w:val="28"/>
        </w:rPr>
        <w:t xml:space="preserve">UC18 — єдиний «системний» варіант використання, який залишено в переліку, і для цього є три підстави. По-перше, у нього є людина-ініціатор: платить читач, саме він отримує цінність (активовану підписку) і саме він бачить відмову картки. По-друге, він справді повторно використовується двома різними базовими сценаріями — UC17 (ручне оформлення) і UC20 (автопродовження за таймером), а винесення спільної повторюваної поведінки і є прямим призначенням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за п. 1.2 методички. По-третє, методичка сама наводить такий звʼязок як зразок: «Оформити замовлення» завжди включає «Оплатити замовлення». На відміну від відкинутих пʼяти кандидатів, UC18 має власні альтернативні потоки (відхилення платежу, таймаут провайдера) і власну постумову — тобто є закінченим сценарієм, а не кроком.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перелік із 20 позицій удвічі перевищує мінімальну вимогу методички (8–10) і містить усі три обовʼязкові типи відношень: 2 звʼязки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, 3 звʼязки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та 4 узагальнення (2 між акторами і 2 між варіантами використання). Кількість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свідомо зменшено з девʼяти до двох — сім із них насправді були функціональною декомпозицією.</w:t>
      </w:r>
    </w:p>
    <w:p>
      <w:pPr>
        <w:spacing w:before="240" w:after="120"/>
      </w:pPr>
      <w:r>
        <w:rPr>
          <w:b/>
          <w:sz w:val="28"/>
        </w:rPr>
        <w:t>Розділ 5. Діаграма варіантів використання</w:t>
      </w:r>
    </w:p>
    <w:p>
      <w:pPr>
        <w:spacing w:after="120"/>
        <w:jc w:val="both"/>
      </w:pPr>
      <w:r>
        <w:rPr>
          <w:sz w:val="28"/>
        </w:rPr>
        <w:t xml:space="preserve">Діаграму побудовано в PlantUML, файл </w:t>
      </w:r>
      <w:r>
        <w:rPr>
          <w:rFonts w:ascii="Courier New" w:hAnsi="Courier New"/>
          <w:sz w:val="22"/>
        </w:rPr>
        <w:t>usecase.puml</w:t>
      </w:r>
      <w:r>
        <w:rPr>
          <w:sz w:val="28"/>
        </w:rPr>
        <w:t xml:space="preserve">. Межу системи задано конструкцією </w:t>
      </w:r>
      <w:r>
        <w:rPr>
          <w:rFonts w:ascii="Courier New" w:hAnsi="Courier New"/>
          <w:sz w:val="22"/>
        </w:rPr>
        <w:t>rectangle "Веб-сервіс читання книг «Полиця»" { ... }</w:t>
      </w:r>
      <w:r>
        <w:rPr>
          <w:sz w:val="28"/>
        </w:rPr>
        <w:t>: усі 20 варіантів використання розміщено всередині прямокутника, усі 11 акторів — зовні.</w:t>
      </w:r>
    </w:p>
    <w:p>
      <w:pPr>
        <w:spacing w:after="120"/>
        <w:jc w:val="both"/>
      </w:pPr>
      <w:r>
        <w:rPr>
          <w:sz w:val="28"/>
        </w:rPr>
        <w:t xml:space="preserve">Асоціації «актор — варіант використання» намальовано </w:t>
      </w:r>
      <w:r>
        <w:rPr>
          <w:b/>
          <w:sz w:val="28"/>
        </w:rPr>
        <w:t>простою лінією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--</w:t>
      </w:r>
      <w:r>
        <w:rPr>
          <w:sz w:val="28"/>
        </w:rPr>
        <w:t xml:space="preserve"> без стрілок, як того вимагає таблиця нотації п. 1.2 методички (у чернетці тут помилково стояли напрямлені стрілки </w:t>
      </w:r>
      <w:r>
        <w:rPr>
          <w:rFonts w:ascii="Courier New" w:hAnsi="Courier New"/>
          <w:sz w:val="22"/>
        </w:rPr>
        <w:t>--&gt;</w:t>
      </w:r>
      <w:r>
        <w:rPr>
          <w:sz w:val="28"/>
        </w:rPr>
        <w:t xml:space="preserve">, до того ж із непослідовним напрямком). Напрямок залишено тільки там, де він несе зміст: трикутна головка </w:t>
      </w:r>
      <w:r>
        <w:rPr>
          <w:rFonts w:ascii="Courier New" w:hAnsi="Courier New"/>
          <w:sz w:val="22"/>
        </w:rPr>
        <w:t>&lt;|--</w:t>
      </w:r>
      <w:r>
        <w:rPr>
          <w:sz w:val="28"/>
        </w:rPr>
        <w:t xml:space="preserve"> в узагальненнях і пунктирна стрілка </w:t>
      </w:r>
      <w:r>
        <w:rPr>
          <w:rFonts w:ascii="Courier New" w:hAnsi="Courier New"/>
          <w:sz w:val="22"/>
        </w:rPr>
        <w:t>..&gt;</w:t>
      </w:r>
      <w:r>
        <w:rPr>
          <w:sz w:val="28"/>
        </w:rPr>
        <w:t xml:space="preserve"> у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>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№1. Діаграма варіантів використання (Use Case diagram)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90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packageStyle rectangle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usecase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actor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left to right direction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АКТОРИ-ЛЮДИ (ліворуч від межі системи)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"Користувач системи" as User &lt;&lt;абстрактний&gt;&gt;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"Гість" as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"Зареєстрований читач" as Reader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"Модератор контенту" as Moderator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"Адміністратор системи" as Admin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ЗОВНІШНІ СИСТЕМИ ТА ЧАСОВИЙ АКТОР (праворуч від межі системи)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авторизації\nGoogle OAuth" as OAuth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"Платіжна система" as PaySys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"Обʼєктне сховище файлів" as Storage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перекладу\nта словник" as Translate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email-сповіщень" as Mailer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"Планувальник завдань" as Scheduler &lt;&lt;таймер&gt;&gt;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АКТОРІВ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&lt;|--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&lt;|-- Reader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МЕЖА СИСТЕМИ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rectangle "Веб-сервіс читання книг «Полиця»"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доступ до системи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"UC01\nЗареєструватися в системі" as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"UC02\nУвійти в систему" as UC02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"UC03\nУвійти за логіном і паролем" as UC03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"UC04\nУвійти через Google OAuth" as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каталог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"UC05\nПереглянути каталог книг" as UC05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"UC06\nШукати книгу за фільтрами" as UC06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читання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"UC07\nЧитати книгу у вбудованій читалці" as UC07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"UC10\nСтворити закладку або нотатку" as UC10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"UC11\nПерекласти виділене слово" as UC11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"UC12\nЗавантажити книгу для офлайн-читання" as UC12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власний контент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"UC13\nКерувати власною колекцією" as UC13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"UC14\nЗавантажити власну книгу" as UC14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підписка та оплата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"UC17\nОформити підписку" as UC17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"UC18\nПровести платіж" as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"UC19\nЗастосувати промокод" as UC19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"UC20\nПродовжити підписку автоматично" as UC20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"UC21\nСкасувати підписку" as UC21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модерація та адміністрування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"UC22\nПоскаржитися на контент" as UC22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"UC23\nМодерувати завантажену книгу" as UC23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"UC25\nКерувати тарифними планами" as UC25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АКТОРІВ-ЛЮДЕЙ (проста лінія, без напрямку)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-- UC05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-- UC06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Guest --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Guest -- UC02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UC21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UC22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Moderator -- UC23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Admin -- UC25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Scheduler -- UC20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ЗОВНІШНІХ СИСТЕМ (другорядні актори)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UC01 -- Mailer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UC04 -- 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UC07 -- Storage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UC11 -- 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UC12 -- Storage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UC14 -- Storage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UC18 -- PaySys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UC23 -- Mailer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ВАРІАНТІВ ВИКОРИСТАННЯ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UC02 &lt;|-- UC03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UC02 &lt;|--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ВІДНОШЕННЯ &lt;&lt;include&gt;&gt; (від базового до включеного)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UC17 ..&gt; UC18 : &lt;&lt;include&gt;&gt;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UC20 ..&gt; UC18 : &lt;&lt;include&gt;&gt;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ВІДНОШЕННЯ &lt;&lt;extend&gt;&gt; (від розширювального до базового)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UC10 ..&gt; UC07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UC11 ..&gt; UC07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UC19 ..&gt; UC17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Результат рендерингу: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usecase.puml &amp;&amp; plantuml -tpng usecase.puml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usecase.puml usecase.svg usecase.png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4808  usecase.puml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35289  usecase.svg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112509  usecase.png     (1699 x 1444 px)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час рендерингу PNG: 0,85 с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7425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42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Повна діаграма варіантів використання веб-сервісу читання книг «Полиця»</w:t>
      </w:r>
    </w:p>
    <w:p>
      <w:pPr>
        <w:spacing w:after="80"/>
        <w:jc w:val="left"/>
      </w:pPr>
      <w:r>
        <w:rPr>
          <w:b/>
          <w:i w:val="0"/>
          <w:sz w:val="26"/>
        </w:rPr>
        <w:t>Читабельність: дві тематичні проєкції тієї самої моделі</w:t>
      </w:r>
    </w:p>
    <w:p>
      <w:pPr>
        <w:spacing w:after="120"/>
        <w:jc w:val="both"/>
      </w:pPr>
      <w:r>
        <w:rPr>
          <w:sz w:val="28"/>
        </w:rPr>
        <w:t xml:space="preserve">Перша версія діаграми була нечитабельною: з директивою </w:t>
      </w:r>
      <w:r>
        <w:rPr>
          <w:rFonts w:ascii="Courier New" w:hAnsi="Courier New"/>
          <w:sz w:val="22"/>
        </w:rPr>
        <w:t>skinparam linetype ortho</w:t>
      </w:r>
      <w:r>
        <w:rPr>
          <w:sz w:val="28"/>
        </w:rPr>
        <w:t xml:space="preserve"> і 25 овалами лінії перетинали все полотно, а нижня чверть зображення лишалася порожньою. Виправлено трьома кроками: прибрано ортогональну маршрутизацію, задано щільнішу розкладку (</w:t>
      </w:r>
      <w:r>
        <w:rPr>
          <w:rFonts w:ascii="Courier New" w:hAnsi="Courier New"/>
          <w:sz w:val="22"/>
        </w:rPr>
        <w:t>nodesep 12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ranksep 90</w:t>
      </w:r>
      <w:r>
        <w:rPr>
          <w:sz w:val="28"/>
        </w:rPr>
        <w:t>) і зменшено кількість овалів із 25 до 20. Висота зображення скоротилася з 1735 до 1444 px при більшій ширині, людські актори зібралися ліворуч, зовнішні системи — вгорі та праворуч.</w:t>
      </w:r>
    </w:p>
    <w:p>
      <w:pPr>
        <w:spacing w:after="120"/>
        <w:jc w:val="both"/>
      </w:pPr>
      <w:r>
        <w:rPr>
          <w:sz w:val="28"/>
        </w:rPr>
        <w:t>Додатково, за прикладом Лабораторної роботи №2 (де діаграму класів подано повною й «ядерною» версіями), ту саму модель подано двома тематичними проєкціями. Це не інші моделі: кожен елемент фрагментів дослівно збігається з повною діаграмою, разом вони дають рівно ті самі 20 варіантів використання.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779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_r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77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5 — Фрагмент 1: доступ до системи, каталог і читання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960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_subscrip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6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6 — Фрагмент 2: підписка, модерація та адміністрування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Діаграма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Варіанти використання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Актори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PNG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Повна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`usecase.puml`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усі 20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усі 11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1699 × 1444 px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Фрагмент 1 «Доступ, каталог і читання»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`usecase_reading.puml`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UC01–UC07, UC10–UC14 (12)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1417 × 934 px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Фрагмент 2 «Підписка, модерація, адміністрування»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`usecase_subscription.puml`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UC17–UC23, UC25 (8)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1393 × 698 px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Обґрунтування вибору типів відношень</w:t>
      </w:r>
    </w:p>
    <w:p>
      <w:pPr>
        <w:spacing w:after="120"/>
        <w:jc w:val="both"/>
      </w:pPr>
      <w:r>
        <w:rPr>
          <w:sz w:val="28"/>
        </w:rPr>
        <w:t>Найбільшу кількість балів у критеріях оцінювання має саме коректність відношень, тому кожне рішення обґрунтовано окремо.</w:t>
      </w:r>
    </w:p>
    <w:p>
      <w:pPr>
        <w:spacing w:after="120"/>
        <w:jc w:val="both"/>
      </w:pPr>
      <w:r>
        <w:rPr>
          <w:b/>
          <w:sz w:val="28"/>
        </w:rPr>
        <w:t>Чому `&lt;&lt;include&gt;&gt;`, а не `&lt;&lt;extend&gt;&gt;`.</w:t>
      </w:r>
      <w:r>
        <w:rPr>
          <w:sz w:val="28"/>
        </w:rPr>
        <w:t xml:space="preserve"> Відношення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застосовано там, де включений сценарій виконується </w:t>
      </w:r>
      <w:r>
        <w:rPr>
          <w:b/>
          <w:sz w:val="28"/>
        </w:rPr>
        <w:t>завжди</w:t>
      </w:r>
      <w:r>
        <w:rPr>
          <w:sz w:val="28"/>
        </w:rPr>
        <w:t xml:space="preserve"> і без нього базовий варіант не досягає своєї мети. «Оформити підписку» (UC17) без успішного платежу (UC18) не має сенсу: підписка не активується, тому це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. Другий і не менш важливий аргумент — повторне використання: той самий UC18 включається і в UC17 (читач оформлює підписку руками), і в UC20 (планувальник продовжує її автоматично). Саме винесення спільної повторюваної поведінки є призначенням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. Там, де повторного використання немає і крок є суто внутрішнім,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свідомо не застосовано — такі кроки описано в основному потоці текстової специфікації (див. таблицю відкинутих кандидатів у Розділі 4).</w:t>
      </w:r>
    </w:p>
    <w:p>
      <w:pPr>
        <w:spacing w:after="120"/>
        <w:jc w:val="both"/>
      </w:pPr>
      <w:r>
        <w:rPr>
          <w:b/>
          <w:sz w:val="28"/>
        </w:rPr>
        <w:t>Чому `&lt;&lt;extend&gt;&gt;`, а не `&lt;&lt;include&gt;&gt;`.</w:t>
      </w:r>
      <w:r>
        <w:rPr>
          <w:sz w:val="28"/>
        </w:rPr>
        <w:t xml:space="preserve"> Відношення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застосовано там, де додаткова поведінка спрацьовує </w:t>
      </w:r>
      <w:r>
        <w:rPr>
          <w:b/>
          <w:sz w:val="28"/>
        </w:rPr>
        <w:t>лише за умови</w:t>
      </w:r>
      <w:r>
        <w:rPr>
          <w:sz w:val="28"/>
        </w:rPr>
        <w:t xml:space="preserve"> і її відсутність не ламає основний сценарій. «Перекласти виділене слово» (UC11) виконується тільки тоді, коли читач виділив слово і натиснув «Переклад»; переважна більшість сеансів читання завершується успішно без жодного звернення до словника. Додатковий аргумент: UC11 залежить від зовнішнього сервісу перекладу, і якщо той недоступний, базовий сценарій читання має продовжуватись — семантика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цього не дозволила б. Аналогічно «Застосувати промокод» (UC19) розширює оформлення підписки лише за наявності в читача промокоду, а «Створити закладку або нотатку» (UC10) — лише за бажанням читача. Зверніть увагу на напрямок стрілки: при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вона йде </w:t>
      </w:r>
      <w:r>
        <w:rPr>
          <w:b/>
          <w:sz w:val="28"/>
        </w:rPr>
        <w:t>від розширювального варіанта до базового</w:t>
      </w:r>
      <w:r>
        <w:rPr>
          <w:sz w:val="28"/>
        </w:rPr>
        <w:t xml:space="preserve"> (UC19 → UC17), тоді як при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— </w:t>
      </w:r>
      <w:r>
        <w:rPr>
          <w:b/>
          <w:sz w:val="28"/>
        </w:rPr>
        <w:t>від базового до включеного</w:t>
      </w:r>
      <w:r>
        <w:rPr>
          <w:sz w:val="28"/>
        </w:rPr>
        <w:t xml:space="preserve"> (UC17 → UC18). Це дзеркальні напрямки, і їх плутання є однією з найтиповіших помилок.</w:t>
      </w:r>
    </w:p>
    <w:p>
      <w:pPr>
        <w:spacing w:after="120"/>
        <w:jc w:val="both"/>
      </w:pPr>
      <w:r>
        <w:rPr>
          <w:b/>
          <w:sz w:val="28"/>
        </w:rPr>
        <w:t>Чому в усіх трьох розширень є власний актор.</w:t>
      </w:r>
      <w:r>
        <w:rPr>
          <w:sz w:val="28"/>
        </w:rPr>
        <w:t xml:space="preserve"> UC10, UC11 і UC19 зʼєднані простою лінією із Зареєстрованим читачем, бо саме він вирішує, чи спрацює розширення. Трактування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тут послідовне: жоден розширювальний варіант не лишився «висіти» без актора.</w:t>
      </w:r>
    </w:p>
    <w:p>
      <w:pPr>
        <w:spacing w:after="120"/>
        <w:jc w:val="both"/>
      </w:pPr>
      <w:r>
        <w:rPr>
          <w:b/>
          <w:sz w:val="28"/>
        </w:rPr>
        <w:t>Чому generalization.</w:t>
      </w:r>
      <w:r>
        <w:rPr>
          <w:sz w:val="28"/>
        </w:rPr>
        <w:t xml:space="preserve"> Узагальнення акторів </w:t>
      </w:r>
      <w:r>
        <w:rPr>
          <w:rFonts w:ascii="Courier New" w:hAnsi="Courier New"/>
          <w:sz w:val="22"/>
        </w:rPr>
        <w:t>Користувач системи ← Гість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 системи ← Зареєстрований читач</w:t>
      </w:r>
      <w:r>
        <w:rPr>
          <w:sz w:val="28"/>
        </w:rPr>
        <w:t xml:space="preserve"> відображає спільну частину їхньої поведінки — перегляд каталогу й пошук книги. Обидві спеціалізації паралельні, а не вкладені одна в одну, тому Зареєстрований читач не успадковує «Зареєструватися в системі» (логічна суперечність, яку давала чернетка). Узагальнення варіантів використання </w:t>
      </w:r>
      <w:r>
        <w:rPr>
          <w:rFonts w:ascii="Courier New" w:hAnsi="Courier New"/>
          <w:sz w:val="22"/>
        </w:rPr>
        <w:t>UC02 ← UC03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UC02 ← UC04</w:t>
      </w:r>
      <w:r>
        <w:rPr>
          <w:sz w:val="28"/>
        </w:rPr>
        <w:t xml:space="preserve"> показує два способи досягти однієї мети «увійти в систему»: власним паролем або через Google. Тому UC03 і UC04 не зʼєднані власною лінією з Гостем — актора вони успадковують від UC02, і дублювати асоціацію було б помилкою.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діаграма містить коректну межу системи, 20 варіантів використання, 11 акторів, 26 асоціацій і всі три обовʼязкові типи відношень; кожен звʼязок обґрунтовано критерієм обовʼязковості/опційності, а не інтуїцією, і кожен варіант використання має щонайменше одного актора — безпосередньо або через успадкування.</w:t>
      </w:r>
    </w:p>
    <w:p>
      <w:pPr>
        <w:spacing w:before="240" w:after="120"/>
      </w:pPr>
      <w:r>
        <w:rPr>
          <w:b/>
          <w:sz w:val="28"/>
        </w:rPr>
        <w:t>Розділ 6. Текстові специфікації ключових варіантів використання</w:t>
      </w:r>
    </w:p>
    <w:p>
      <w:pPr>
        <w:spacing w:after="120"/>
        <w:jc w:val="both"/>
      </w:pPr>
      <w:r>
        <w:rPr>
          <w:sz w:val="28"/>
        </w:rPr>
        <w:t>Для трьох найважливіших варіантів використання — читання книги (ядро продукту), завантаження власної книги (основне джерело контенту) та оформлення підписки (джерело доходу) — складено повні текстові специфікації за структурою п. 1.3 методички. Саме сюди перенесено ті внутрішні кроки, які в чернетці помилково були окремими варіантами використання.</w:t>
      </w:r>
    </w:p>
    <w:p>
      <w:pPr>
        <w:spacing w:after="80"/>
        <w:jc w:val="left"/>
      </w:pPr>
      <w:r>
        <w:rPr>
          <w:b/>
          <w:i w:val="0"/>
          <w:sz w:val="26"/>
        </w:rPr>
        <w:t>UC07 — Читати книгу у вбудованій читалці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 — Читати книгу у вбудованій читалці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 (основний); Обʼєктне сховище файлів, Сервіс перекладу та словник (другорядні)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авторизований; книга наявна в каталозі та доступна читачеві (безкоштовна, завантажена ним самим або відкрита за активною підпискою)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Читач обирає книгу й натискає «Читати». 2. Система перевіряє право доступу до книги. 3. Система звертається до обʼєктного сховища за посиланням на файл і отримує його вміст. 4. Система визначає останню збережену позицію читання і відкриває книгу на ній (для першого відкриття — на першій сторінці). 5. Читач гортає сторінки. 6. Після кожної зміни сторінки система зберігає поточну позицію читання у профілі читача. 7. Читач закриває читалку.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2а. Доступ заборонено (книга платна, підписка неактивна) — система пропонує «Оформити підписку» (UC17), сценарій завершується. 3а. Сховище недоступне або файл пошкоджено — система показує повідомлення «Книга тимчасово недоступна» і реєструє інцидент; сценарій завершується невдало. 5а. Читач виділяє слово й викликає переклад — виконується «Перекласти виділене слово» (`&lt;&lt;extend&gt;&gt;` UC11); якщо зовнішній словник недоступний, показується попередження, а читання триває. 5б. Читач створює закладку або нотатку — виконується «Створити закладку або нотатку» (`&lt;&lt;extend&gt;&gt;` UC10). 6а. Звʼязок із сервером втрачено — позиція накопичується локально й надсилається після відновлення звʼязку.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читання збережена в профілі читача; створені під час сеансу закладки й нотатки збережені; книга позначена як «читається» у власній колекції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UC14 — Завантажити власну книгу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 — Завантажити власну книгу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 (основний); Обʼєктне сховище файлів (другорядний); результат сценарію формує чергу для Модератора контенту (UC23)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авторизований; не перевищено ліміт завантажень для його тарифу; файл має формат EPUB або PDF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Читач відкриває форму «Завантажити книгу» і обирає файл. 2. Система перевіряє формат і метадані файлу: MIME-тип, розмір, цілісність архіву EPUB, витягує назву й автора. 3. Система показує розпізнані метадані; читач за потреби виправляє назву, автора, мову, обкладинку. 4. Система вивантажує файл в обʼєктне сховище і зберігає в себе лише метадані та посилання. 5. Система створює запис книги зі статусом «На модерації» й додає завдання в чергу модератора. 6. Система повідомляє читачеві, що книга прийнята й очікує перевірки.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2а. Формат не підтримується або файл пошкоджено — система відхиляє завантаження з поясненням, файл не зберігається. 2б. Розмір перевищує ліміт — завантаження відхилено. 2в. За хешем файла виявлено дублікат уже завантаженої книги — система пропонує відкрити наявну книгу замість повторного завантаження. 4а. Сховище недоступне — система повторює вивантаження тричі з наростальною паузою; після третьої невдачі завантаження скасовується, запис у базі не створюється.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збережено в обʼєктному сховищі; у базі створено запис книги зі статусом «На модерації»; завдання додано в чергу модератора; завантажувач має доступ до своєї книги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UC17 — Оформити підписку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— Оформити підписку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 (основний); Платіжна система (другорядний, залучається через включений UC18); Сервіс email-сповіщень (другорядний)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авторизований; у нього немає активної підписки; адміністратор налаштував щонайменше один тарифний план (UC25)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Читач відкриває розділ «Підписка» і обирає тарифний план. 2. Система показує вартість, період і умови автопродовження. 3. Читач підтверджує оформлення. 4. Система виконує «Провести платіж» (`&lt;&lt;include&gt;&gt;` UC18). 5. Отримавши успішний результат, система активує підписку: фіксує її термін дії та дату наступного списання. 6. Система надсилає читачеві лист-підтвердження через сервіс email-сповіщень.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2а. Читач уводить промокод — виконується «Застосувати промокод» (`&lt;&lt;extend&gt;&gt;` UC19): система перевіряє чинність коду та перераховує суму; якщо код недійсний або прострочений, показується попередження, а оформлення триває за повною ціною. 4а. Платіж відхилено (недостатньо коштів, помилка картки) — підписка не активується, читачеві показано причину відмови й запропоновано інший спосіб оплати. 4б. Платіжна система не відповідає — транзакцію позначено як «невизначена», підписка не активується, читачеві запропоновано повторити спробу пізніше.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Підписку активовано, її термін дії й дата наступного списання збережені; платіжну транзакцію зафіксовано; у профілі читача зʼявляється стан «активна підписка», що відкриває доступ до платного каталогу (UC12) і можливість скасування (UC21). Нової ролі читач при цьому не набуває — змінюється лише стан його підписки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текстові специфікації показують те, чого графічна діаграма не передає: порядок кроків, умови спрацювання розширень і поведінку системи у відмовних ситуаціях — зокрема при недоступності зовнішніх сервісів, яких у цій предметній області аж пʼять. Саме сюди, а не на діаграму, перенесено внутрішні кроки системи (звернення до сховища, збереження прогресу, валідація файла, надсилання листа).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Чернетку діаграми було згенеровано ШІ-асистентом за текстовим описом предметної області, після чого проведено ручну перевірку на відповідність реальній логіці сервісу й означенням з методички. Нижче — шість реальних помилок саме цієї чернетки та внесені виправлення.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Функціональна декомпозиція замість варіантів використання. Чернетка видала 25 овалів, серед яких «Отримати файл книги зі сховища», «Зберегти прогрес читання», «Перевірити формат і метадані файлу», «Зберегти файл у обʼєктному сховищі», «Надіслати сповіщення читачу»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Це внутрішні кроки системи, а не «закінчена одиниця функціональності, яку система надає актору» (п. 1.2). Двоє з них («Зберегти прогрес», «Перевірити формат») узагалі не мали жодного актора і висіли на діаграмі без асоціацій. ШІ оптимізує кількість елементів, а не їхню змістовність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Пʼять кандидатів прибрано з діаграми й перенесено в основні потоки специфікацій UC07, UC12 і UC14 (перелік — у таблиці Розділу 4); залишилося 20 варіантів використання, кожен із власним актором. UC18 «Провести платіж» залишено свідомо — він має ініціатора-людину й повторно використовується двома базовими сценаріями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 замість `&lt;&lt;include&gt;&gt;` на оплаті підписки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без успішного платежу не активується — це обовʼязкова, а не опційна поведінка. `&lt;&lt;extend&gt;&gt;` тут семантично допускав би активну підписку без оплати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`&lt;&lt;include&gt;&gt;` (UC17 → UC18) і додатково перевикористано той самий UC18 у сценарії автопродовження UC20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`&lt;&lt;include&gt;&gt;` замість `&lt;&lt;extend&gt;&gt;` на перекладі слова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Переклад спрацьовує лише за умови «читач виділив слово»; більшість сеансів читання обходиться без нього. До того ж `&lt;&lt;include&gt;&gt;` зробив би читання неможливим при недоступності зовнішнього словника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`&lt;&lt;extend&gt;&gt;` із правильним напрямком стрілки (UC11 → UC07); у специфікації UC07 додано альтернативний потік 5а на випадок відмови словника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Пропущено неочевидних акторів: обʼєктне сховище файлів і планувальник завдань. ШІ вважав, що файли книг лежать «усередині системи», а автопродовження підписки «виконується само собою»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Для сервісу з EPUB/PDF зберігання файлів є окремою зовнішньою підсистемою; без цього актора в ЛР3 не буде вузла сховища на діаграмі розгортання. Автоматичне списання ніхто з людей не ініціює, але ініціатор у сценарію бути мусить, інакше UC20 висить без актора і неможливо визначити тригер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Додано «Обʼєктне сховище файлів» як другорядного актора UC07, UC12 і UC14, та неочевидного актора «Планувальник завдань» зі стереотипом `&lt;&lt;таймер&gt;&gt;` як основного актора UC20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 системи записано «основними акторами». У чернетці основним актором «Провести платіж» була платіжна система, «Надіслати сповіщення» — поштовий сервіс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актор — той, хто ініціює сценарій і заради кого система його виконує. Зовнішня система, яку викликає наша система, завжди є другорядним (supporting) актором. Інакше модель стверджує, що платіж ініціює банк, а не читач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Колонку таблиці розділено на «Основний актор» і «Другорядні актори»; людину проставлено основним скрізь, де ініціатор — людина; зовнішні системи переведено у другорядні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Ланцюг узагальнення акторів `Гість → Зареєстрований читач → Передплатник`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Ланцюг дає дві суперечності з власними передумовами: Читач успадковує «Зареєструватися в системі», хоча реєструється лише незареєстрований, а Передплатник успадковує «Оформити підписку», передумова якого — «немає активної підписки». Крім того, «Передплатник» — це стан, що змінюється в рантаймі, а не статична роль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Актора «Передплатник» прибрано, наявність підписки виражено передумовою UC12 і UC21. Введено абстрактного актора «Користувач системи» з двома паралельними спеціалізаціями — Гість і Зареєстрований читач; спільні UC05/UC06 піднято на абстрактного актора, реєстрація і вхід лишилися тільки в Гостя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ШІ-асистент справді прискорив роботу — чернетка з приблизним переліком акторів і варіантів використання зʼявилася за кілька хвилин замість години ручного переліку. Проте жодне з шести наведених виправлень не могло бути зроблене без розуміння саме цієї предметної області та без звіряння з означеннями методички. Найнебезпечнішою виявилася не плутанина стереотипів (її видно одразу), а функціональна декомпозиція: ШІ охоче перетворює кроки алгоритму на «варіанти використання», і діаграма з 25 овалів виглядає солідніше за правильну з 20, хоча насправді описує не вимоги, а реалізацію.</w:t>
      </w:r>
    </w:p>
    <w:p>
      <w:pPr>
        <w:spacing w:before="240" w:after="120"/>
      </w:pPr>
      <w:r>
        <w:rPr>
          <w:b/>
          <w:sz w:val="28"/>
        </w:rPr>
        <w:t>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1. Чим текстова специфікація Use Case доповнює графічну діаграму?</w:t>
      </w:r>
    </w:p>
    <w:p>
      <w:pPr>
        <w:spacing w:after="120"/>
        <w:jc w:val="both"/>
      </w:pPr>
      <w:r>
        <w:rPr>
          <w:sz w:val="28"/>
        </w:rPr>
        <w:t xml:space="preserve">Діаграма відповідає лише на питання «хто» і «що»: які ролі взаємодіють із системою і які закінчені функції система надає. Вона принципово не показує «як саме» розгортається сценарій. Текстова специфікація додає: порядок кроків основного потоку, передумови, за яких сценарій взагалі може початися, конкретні умови спрацювання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>, поведінку у відмовних ситуаціях та постумови. У цій роботі специфікації виконали ще одну роль: саме в них переїхали внутрішні кроки системи (звернення до сховища, валідація файла, надсилання листа), які не мають бути окремими овалами на діаграмі, але без яких сценарій неповний.</w:t>
      </w:r>
    </w:p>
    <w:p>
      <w:pPr>
        <w:spacing w:after="80"/>
        <w:jc w:val="left"/>
      </w:pPr>
      <w:r>
        <w:rPr>
          <w:b/>
          <w:i w:val="0"/>
          <w:sz w:val="26"/>
        </w:rPr>
        <w:t>2. Наведіть власний приклад, коли доцільно використати `&lt;&lt;include&gt;&gt;`, а коли — `&lt;&lt;extend&gt;&gt;`</w:t>
      </w:r>
    </w:p>
    <w:p>
      <w:pPr>
        <w:spacing w:after="120"/>
        <w:jc w:val="both"/>
      </w:pPr>
      <w:r>
        <w:rPr>
          <w:sz w:val="28"/>
        </w:rPr>
        <w:t xml:space="preserve">З моєї предметної області: «Оформити підписку» (UC17) </w:t>
      </w:r>
      <w:r>
        <w:rPr>
          <w:b/>
          <w:sz w:val="28"/>
        </w:rPr>
        <w:t>включає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«Провести платіж» (UC18) — без успішного списання підписка не активується, крок виконується завжди і є частиною мети базового сценарію; до того ж той самий UC18 повторно використовується сценарієм автопродовження UC20, а винесення спільної поведінки і є призначенням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. Натомість «Застосувати промокод» (UC19) </w:t>
      </w:r>
      <w:r>
        <w:rPr>
          <w:b/>
          <w:sz w:val="28"/>
        </w:rPr>
        <w:t>розширює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ту саму «Оформити підписку» — читач може оформити підписку, не маючи жодного промокоду, і відсутність цього кроку нічого не ламає. Важливо, що стрілки при цьому дивляться в протилежні боки: UC17 → UC18 для включення і UC19 → UC17 для розширення.</w:t>
      </w:r>
    </w:p>
    <w:p>
      <w:pPr>
        <w:spacing w:after="80"/>
        <w:jc w:val="left"/>
      </w:pPr>
      <w:r>
        <w:rPr>
          <w:b/>
          <w:i w:val="0"/>
          <w:sz w:val="26"/>
        </w:rPr>
        <w:t>3. Чи може актором Use Case діаграми бути інша інформаційна система? Наведіть приклад</w:t>
      </w:r>
    </w:p>
    <w:p>
      <w:pPr>
        <w:spacing w:after="120"/>
        <w:jc w:val="both"/>
      </w:pPr>
      <w:r>
        <w:rPr>
          <w:sz w:val="28"/>
        </w:rPr>
        <w:t xml:space="preserve">Так. Актор — це будь-яка зовнішня сутність, що взаємодіє із системою через її межу, незалежно від того, людина це чи програма. У моїй діаграмі таких акторів пʼять: платіжна система (проводить списання і повертає результат транзакції в UC18), обʼєктне сховище файлів (віддає й приймає файли книг у UC07, UC12, UC14), сервіс авторизації Google OAuth (підтверджує особу користувача в UC04), зовнішній сервіс перекладу (UC11) і сервіс email-сповіщень (UC01, UC23). Є ще й шостий, неочевидний нелюдський актор — планувальник завдань зі стереотипом </w:t>
      </w:r>
      <w:r>
        <w:rPr>
          <w:rFonts w:ascii="Courier New" w:hAnsi="Courier New"/>
          <w:sz w:val="22"/>
        </w:rPr>
        <w:t>&lt;&lt;таймер&gt;&gt;</w:t>
      </w:r>
      <w:r>
        <w:rPr>
          <w:sz w:val="28"/>
        </w:rPr>
        <w:t xml:space="preserve">, який ініціює UC20 за розкладом. Важлива деталь: усі пʼять зовнішніх сервісів є </w:t>
      </w:r>
      <w:r>
        <w:rPr>
          <w:b/>
          <w:sz w:val="28"/>
        </w:rPr>
        <w:t>другорядними</w:t>
      </w:r>
      <w:r>
        <w:rPr>
          <w:sz w:val="28"/>
        </w:rPr>
        <w:t xml:space="preserve"> акторами — їх викликає наша система, а ініціатором сценарію лишається людина. Основним актором нелюдський учасник є лише в UC20, де сценарій справді запускає таймер, а не користувач.</w:t>
      </w:r>
    </w:p>
    <w:p>
      <w:pPr>
        <w:spacing w:after="80"/>
        <w:jc w:val="left"/>
      </w:pPr>
      <w:r>
        <w:rPr>
          <w:b/>
          <w:i w:val="0"/>
          <w:sz w:val="26"/>
        </w:rPr>
        <w:t>4. Які ризики виникають при бездумному використанні ШІ-згенерованої Use Case діаграми без подальшої перевірки?</w:t>
      </w:r>
    </w:p>
    <w:p>
      <w:pPr>
        <w:spacing w:after="120"/>
        <w:jc w:val="both"/>
      </w:pPr>
      <w:r>
        <w:rPr>
          <w:sz w:val="28"/>
        </w:rPr>
        <w:t xml:space="preserve">Найнебезпечніший ризик — не синтаксичні помилки (вони одразу видно при рендерингу), а правдоподібні смислові. По-перше, функціональна декомпозиція: ШІ перетворює кроки алгоритму на окремі «варіанти використання», і модель починає описувати реалізацію замість вимог — у моїй чернетці таких псевдоваріантів було пʼять із двадцяти пʼяти, причому два взагалі без акторів. По-друге, втрата акторів: ШІ схильний «розчиняти» зовнішні системи всередині системи, і чернетка не мала ні обʼєктного сховища, ні планувальника — ці прогалини потім перейшли б у діаграми компонентів і розгортання. По-третє, підміна типу відношення: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замість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виглядає нешкідливо на картинці, але означає зовсім інші вимоги до реалізації. По-четверте, структурні суперечності, які ШІ не помічає, бо не звіряє діаграму з передумовами: ланцюг узагальнення акторів у чернетці дозволяв зареєстрованому читачеві «зареєструватися», а передплатнику — «оформити підписку» за відсутності підписки.</w:t>
      </w:r>
    </w:p>
    <w:p>
      <w:pPr>
        <w:spacing w:after="80"/>
        <w:jc w:val="left"/>
      </w:pPr>
      <w:r>
        <w:rPr>
          <w:b/>
          <w:i w:val="0"/>
          <w:sz w:val="26"/>
        </w:rPr>
        <w:t>5. У чому переваги текстово-орієнтованих CASE-інструментів (PlantUML, Mermaid) над графічними при роботі в команді з системою контролю версій (Git)?</w:t>
      </w:r>
    </w:p>
    <w:p>
      <w:pPr>
        <w:spacing w:after="120"/>
        <w:jc w:val="both"/>
      </w:pPr>
      <w:r>
        <w:rPr>
          <w:sz w:val="28"/>
        </w:rPr>
        <w:t xml:space="preserve">Модель зберігається як звичайний текст, тому працюють усі механізми Git: </w:t>
      </w:r>
      <w:r>
        <w:rPr>
          <w:rFonts w:ascii="Courier New" w:hAnsi="Courier New"/>
          <w:sz w:val="22"/>
        </w:rPr>
        <w:t>diff</w:t>
      </w:r>
      <w:r>
        <w:rPr>
          <w:sz w:val="28"/>
        </w:rPr>
        <w:t xml:space="preserve"> показує змістовну зміну по рядках («додано звʼязок UC17 → UC18»), а не факт зміни бінарного файла; конфлікти при злитті розвʼязуються вручну на рівні рядків; </w:t>
      </w:r>
      <w:r>
        <w:rPr>
          <w:rFonts w:ascii="Courier New" w:hAnsi="Courier New"/>
          <w:sz w:val="22"/>
        </w:rPr>
        <w:t>git blame</w:t>
      </w:r>
      <w:r>
        <w:rPr>
          <w:sz w:val="28"/>
        </w:rPr>
        <w:t xml:space="preserve"> показує, хто і в якому комміті додав конкретного актора. У графічних редакторах файл </w:t>
      </w:r>
      <w:r>
        <w:rPr>
          <w:rFonts w:ascii="Courier New" w:hAnsi="Courier New"/>
          <w:sz w:val="22"/>
        </w:rPr>
        <w:t>.mdj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зберігає ще й координати фігур, тому навіть просте пересування елемента мишею дає великий «шум» у diff. Це видно й на цифрах цієї роботи: та сама тестова діаграма займає 741 байт у PlantUML, 665 байтів у Mermaid і 5379 байтів XML у Draw.io, причому в останньому більша частина вмісту — координати й стилі, а не зміст моделі.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 xml:space="preserve">У ході лабораторної роботи налаштовано робоче середовище моделювання й підключено </w:t>
      </w:r>
      <w:r>
        <w:rPr>
          <w:b/>
          <w:sz w:val="28"/>
        </w:rPr>
        <w:t>три</w:t>
      </w:r>
      <w:r>
        <w:rPr>
          <w:sz w:val="28"/>
        </w:rPr>
        <w:t xml:space="preserve"> CASE-інструменти з переліку методички замість обовʼязкових двох: PlantUML 1.2026.8 з локальним Graphviz 16.1.0 та OpenJDK 27 (встановлено через Homebrew), Mermaid CLI 11.17.0 на Node.js v26 (запускається через </w:t>
      </w:r>
      <w:r>
        <w:rPr>
          <w:rFonts w:ascii="Courier New" w:hAnsi="Courier New"/>
          <w:sz w:val="22"/>
        </w:rPr>
        <w:t>npx</w:t>
      </w:r>
      <w:r>
        <w:rPr>
          <w:sz w:val="28"/>
        </w:rPr>
        <w:t>) і десктопний Draw.io 28.2.5 (встановлено через Homebrew). Працездатність кожного з них підтверджено практично: одну й ту саму тестову діаграму з двох класів і асоціації «багато до багатьох» реально побудовано й відрендерено в усіх трьох (рисунки 1–3), в усіх трьох перевірено коректність відображення кирилиці. Складено порівняльну таблицю за шістьма критеріями методички з додатковим сьомим — придатністю до роботи в Git.</w:t>
      </w:r>
    </w:p>
    <w:p>
      <w:pPr>
        <w:spacing w:after="120"/>
        <w:jc w:val="both"/>
      </w:pPr>
      <w:r>
        <w:rPr>
          <w:sz w:val="28"/>
        </w:rPr>
        <w:t xml:space="preserve">Для предметної області курсового проєкту — веб-сервісу завантаження та читання книг «Полиця» — визначено 11 акторів і 20 варіантів використання. Крім очевидних ролей, до моделі включено неочевидних учасників: адміністратора тарифних планів, пʼять зовнішніх систем (платіжну, обʼєктне сховище, Google OAuth, сервіс перекладу, сервіс email-сповіщень) і часового актора «Планувальник завдань». Усі зовнішні системи послідовно проведено як </w:t>
      </w:r>
      <w:r>
        <w:rPr>
          <w:b/>
          <w:sz w:val="28"/>
        </w:rPr>
        <w:t>другорядних</w:t>
      </w:r>
      <w:r>
        <w:rPr>
          <w:sz w:val="28"/>
        </w:rPr>
        <w:t xml:space="preserve"> акторів: основним актором скрізь, де сценарій ініціює людина, лишається людина.</w:t>
      </w:r>
    </w:p>
    <w:p>
      <w:pPr>
        <w:spacing w:after="120"/>
        <w:jc w:val="both"/>
      </w:pPr>
      <w:r>
        <w:rPr>
          <w:sz w:val="28"/>
        </w:rPr>
        <w:t xml:space="preserve">Продемонстровано всі три обовʼязкові типи відношень і обґрунтовано кожне рішення: 2 звʼязки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для обовʼязкової та повторно використовуваної поведінки, 3 звʼязки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для опційної поведінки з явною умовою спрацювання, узагальнення акторів від абстрактного «Користувача системи» до Гостя і Зареєстрованого читача та узагальнення варіантів використання «Увійти в систему» ← «Увійти за логіном і паролем» / «Увійти через Google OAuth». Окремо перевірено напрямки стереотипів (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— від базового до включеного,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— від розширювального до базового) і те, що кожен варіант використання має актора — безпосередньо або через успадкування.</w:t>
      </w:r>
    </w:p>
    <w:p>
      <w:pPr>
        <w:spacing w:after="120"/>
        <w:jc w:val="both"/>
      </w:pPr>
      <w:r>
        <w:rPr>
          <w:sz w:val="28"/>
        </w:rPr>
        <w:t xml:space="preserve">Найціннішим результатом роботи виявився не перелік як такий, а два свідомі скорочення моделі. Перше — відмова від функціональної декомпозиції: пʼять «варіантів використання», які насправді були внутрішніми кроками системи, прибрано з діаграми й перенесено в основні потоки текстових специфікацій, через що перелік зменшився з 25 до 20 позицій, а кількість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— з девʼяти до двох. Друге — відмова від актора «Передплатник»: це стан облікового запису, а не роль, і ланцюг узагальнення </w:t>
      </w:r>
      <w:r>
        <w:rPr>
          <w:rFonts w:ascii="Courier New" w:hAnsi="Courier New"/>
          <w:sz w:val="22"/>
        </w:rPr>
        <w:t>Гість → Читач → Передплатник</w:t>
      </w:r>
      <w:r>
        <w:rPr>
          <w:sz w:val="28"/>
        </w:rPr>
        <w:t xml:space="preserve"> прямо суперечив передумовам власних специфікацій. Обидва рішення зафіксовано в критичному аналізі ШІ-чернетки разом із чотирма іншими реальними помилками, які довелося виправляти вручну.</w:t>
      </w:r>
    </w:p>
    <w:p>
      <w:pPr>
        <w:spacing w:after="120"/>
        <w:jc w:val="both"/>
      </w:pPr>
      <w:r>
        <w:rPr>
          <w:sz w:val="28"/>
        </w:rPr>
        <w:t xml:space="preserve">Отримана модель є узгодженою основою для наступних лабораторних робіт курсу. Імена акторів («Користувач системи», «Зареєстрований читач», «Модератор контенту», «Адміністратор системи», «Платіжна система», «Обʼєктне сховище файлів») і сутності, що стоять за варіантами використання (книга, файл книги, прогрес читання, закладка, колекція, підписка, платіж, скарга), стануть основою для відображення на класи в ЛР2 — саме основою, а не прямим перенесенням: частина акторів перетвориться на класи (абстрактний «Користувач системи» → абстрактний клас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>), частина зовнішніх систем — на інтерфейси та вузли розгортання в ЛР3, а стан «активна підписка», який у цій роботі свідомо не став окремим актором, у ЛР2 буде виражений окремим класом підписки з полем статусу.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