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/>
      </w:pPr>
      <w:r>
        <w:rPr>
          <w:rFonts w:ascii="Calibri" w:hAnsi="Calibri"/>
          <w:b/>
          <w:color w:val="1A365D"/>
          <w:sz w:val="48"/>
        </w:rPr>
        <w:t>Enterprise Scope &amp; Compliance Documentation</w:t>
      </w:r>
    </w:p>
    <w:p>
      <w:pPr>
        <w:spacing w:after="200"/>
      </w:pPr>
      <w:r>
        <w:rPr>
          <w:rFonts w:ascii="Calibri" w:hAnsi="Calibri"/>
          <w:b/>
          <w:color w:val="0D9488"/>
          <w:sz w:val="28"/>
        </w:rPr>
        <w:t>Qlik to Power BI AI Migration Engine (v2.0)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68"/>
        <w:gridCol w:w="6912"/>
      </w:tblGrid>
      <w:tr>
        <w:tc>
          <w:tcPr>
            <w:tcW w:type="dxa" w:w="5040"/>
            <w:shd w:fill="F1F5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b/>
                <w:sz w:val="19"/>
              </w:rPr>
              <w:t>Document Type:</w:t>
            </w:r>
          </w:p>
        </w:tc>
        <w:tc>
          <w:tcPr>
            <w:tcW w:type="dxa" w:w="5040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sz w:val="19"/>
              </w:rPr>
              <w:t>Scope Classification &amp; Enterprise Readiness Audit</w:t>
            </w:r>
          </w:p>
        </w:tc>
      </w:tr>
      <w:tr>
        <w:tc>
          <w:tcPr>
            <w:tcW w:type="dxa" w:w="5040"/>
            <w:shd w:fill="F1F5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b/>
                <w:sz w:val="19"/>
              </w:rPr>
              <w:t>Target Platform:</w:t>
            </w:r>
          </w:p>
        </w:tc>
        <w:tc>
          <w:tcPr>
            <w:tcW w:type="dxa" w:w="5040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sz w:val="19"/>
              </w:rPr>
              <w:t>Microsoft Power BI (PBIP, TMDL, Power Query M, DAX)</w:t>
            </w:r>
          </w:p>
        </w:tc>
      </w:tr>
      <w:tr>
        <w:tc>
          <w:tcPr>
            <w:tcW w:type="dxa" w:w="5040"/>
            <w:shd w:fill="F1F5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b/>
                <w:sz w:val="19"/>
              </w:rPr>
              <w:t>Primary Function:</w:t>
            </w:r>
          </w:p>
        </w:tc>
        <w:tc>
          <w:tcPr>
            <w:tcW w:type="dxa" w:w="5040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sz w:val="19"/>
              </w:rPr>
              <w:t>Automated QlikView / Qlik Sense Extraction, Data Model &amp; Visual Conversion</w:t>
            </w:r>
          </w:p>
        </w:tc>
      </w:tr>
      <w:tr>
        <w:tc>
          <w:tcPr>
            <w:tcW w:type="dxa" w:w="5040"/>
            <w:shd w:fill="F1F5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b/>
                <w:sz w:val="19"/>
              </w:rPr>
              <w:t>Audit Date:</w:t>
            </w:r>
          </w:p>
        </w:tc>
        <w:tc>
          <w:tcPr>
            <w:tcW w:type="dxa" w:w="5040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sz w:val="19"/>
              </w:rPr>
              <w:t>September 30, 2026</w:t>
            </w:r>
          </w:p>
        </w:tc>
      </w:tr>
    </w:tbl>
    <w:p>
      <w:pPr>
        <w:spacing w:after="120"/>
      </w:pPr>
    </w:p>
    <w:p>
      <w:pPr>
        <w:spacing w:before="240" w:after="80"/>
      </w:pPr>
      <w:r>
        <w:rPr>
          <w:rFonts w:ascii="Calibri" w:hAnsi="Calibri"/>
          <w:b/>
          <w:color w:val="1A365D"/>
          <w:sz w:val="30"/>
        </w:rPr>
        <w:t>1. Executive Summary &amp; Application Context</w:t>
      </w:r>
    </w:p>
    <w:p>
      <w:pPr>
        <w:spacing w:line="276" w:lineRule="auto" w:after="160"/>
      </w:pPr>
      <w:r>
        <w:t>The Qlik to Power BI AI Migration Engine is purpose-built as an enterprise Code Compilation, Metadata Extraction, and Semantic Model Conversion Utility. Its sole objective is to discover, parse, reconstruct, transform, compile, and export legacy QlikView (.qvw, -prj) and Qlik Sense (.qvs, .txt) assets into deployment-ready Microsoft Power BI Projects (PBIP) featuring clean star-schema modeling, automated Power Query (M) transformations, and verified DAX measures.</w:t>
        <w:br/>
        <w:br/>
        <w:t>Because this application operates as a dedicated Developer Migration Utility (rather than a consumer-facing social portal or multi-tenant corporate HR platform like Vtab365), its enterprise scope is strictly tailored to code translation accuracy, compiler invariants, visual mapping fidelity, and local privacy safety. Consumer-oriented features such as an Administrative User Management Portal, complex multi-tier enterprise RBAC matrices, public user administration, and corporate Single Sign-On (SSO) federation are officially classified as OUT-OF-SCOPE.</w:t>
      </w:r>
    </w:p>
    <w:p>
      <w:pPr>
        <w:spacing w:before="200" w:after="80"/>
      </w:pPr>
      <w:r>
        <w:rPr>
          <w:rFonts w:ascii="Calibri" w:hAnsi="Calibri"/>
          <w:b/>
          <w:color w:val="1A365D"/>
          <w:sz w:val="30"/>
        </w:rPr>
        <w:t>2. Scope Classification Breakdown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68"/>
        <w:gridCol w:w="1152"/>
        <w:gridCol w:w="5760"/>
      </w:tblGrid>
      <w:tr>
        <w:tc>
          <w:tcPr>
            <w:tcW w:type="dxa" w:w="3360"/>
            <w:shd w:fill="1E3A8A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b/>
                <w:color w:val="FFFFFF"/>
                <w:sz w:val="19"/>
              </w:rPr>
              <w:t>Category</w:t>
            </w:r>
          </w:p>
        </w:tc>
        <w:tc>
          <w:tcPr>
            <w:tcW w:type="dxa" w:w="3360"/>
            <w:shd w:fill="1E3A8A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b/>
                <w:color w:val="FFFFFF"/>
                <w:sz w:val="19"/>
              </w:rPr>
              <w:t>Count</w:t>
            </w:r>
          </w:p>
        </w:tc>
        <w:tc>
          <w:tcPr>
            <w:tcW w:type="dxa" w:w="3360"/>
            <w:shd w:fill="1E3A8A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b/>
                <w:color w:val="FFFFFF"/>
                <w:sz w:val="19"/>
              </w:rPr>
              <w:t>Description / Included Items</w:t>
            </w:r>
          </w:p>
        </w:tc>
      </w:tr>
      <w:tr>
        <w:tc>
          <w:tcPr>
            <w:tcW w:type="dxa" w:w="3168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b/>
                <w:sz w:val="18"/>
              </w:rPr>
              <w:t>Fully Implemented (In-Scope)</w:t>
            </w:r>
          </w:p>
        </w:tc>
        <w:tc>
          <w:tcPr>
            <w:tcW w:type="dxa" w:w="1152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sz w:val="18"/>
              </w:rPr>
              <w:t>15</w:t>
            </w:r>
          </w:p>
        </w:tc>
        <w:tc>
          <w:tcPr>
            <w:tcW w:type="dxa" w:w="5760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sz w:val="18"/>
              </w:rPr>
              <w:t>Core 11-stage migration pipeline, Qlik script compiler, Power Query (M) generation, DAX translation engine, star-schema modeling, AI Auto-Fix center, and PBIP ZIP export.</w:t>
            </w:r>
          </w:p>
        </w:tc>
      </w:tr>
      <w:tr>
        <w:tc>
          <w:tcPr>
            <w:tcW w:type="dxa" w:w="316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b/>
                <w:sz w:val="18"/>
              </w:rPr>
              <w:t>Out-of-Scope (Not Needed)</w:t>
            </w:r>
          </w:p>
        </w:tc>
        <w:tc>
          <w:tcPr>
            <w:tcW w:type="dxa" w:w="115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sz w:val="18"/>
              </w:rPr>
              <w:t>4</w:t>
            </w:r>
          </w:p>
        </w:tc>
        <w:tc>
          <w:tcPr>
            <w:tcW w:type="dxa" w:w="5760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sz w:val="18"/>
              </w:rPr>
              <w:t>Admin portal for user management, multi-tier RBAC permission matrix, enterprise corporate SSO (SAML/Okta), and formal public WCAG screen-reader certification.</w:t>
            </w:r>
          </w:p>
        </w:tc>
      </w:tr>
      <w:tr>
        <w:tc>
          <w:tcPr>
            <w:tcW w:type="dxa" w:w="3168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b/>
                <w:sz w:val="18"/>
              </w:rPr>
              <w:t>Roadmap Enhancements (In-Scope)</w:t>
            </w:r>
          </w:p>
        </w:tc>
        <w:tc>
          <w:tcPr>
            <w:tcW w:type="dxa" w:w="1152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sz w:val="18"/>
              </w:rPr>
              <w:t>2</w:t>
            </w:r>
          </w:p>
        </w:tc>
        <w:tc>
          <w:tcPr>
            <w:tcW w:type="dxa" w:w="5760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sz w:val="18"/>
              </w:rPr>
              <w:t>Automated background cleanup daemon for temporary QVD conversion files, standalone downloadable PDF operations runbook.</w:t>
            </w:r>
          </w:p>
        </w:tc>
      </w:tr>
    </w:tbl>
    <w:p>
      <w:pPr>
        <w:spacing w:after="120"/>
      </w:pPr>
    </w:p>
    <w:p>
      <w:pPr>
        <w:spacing w:before="240" w:after="80"/>
      </w:pPr>
      <w:r>
        <w:rPr>
          <w:rFonts w:ascii="Calibri" w:hAnsi="Calibri"/>
          <w:b/>
          <w:color w:val="1A365D"/>
          <w:sz w:val="30"/>
        </w:rPr>
        <w:t>3. Section I: What We Have Implemented (100% Functional)</w:t>
      </w:r>
    </w:p>
    <w:p>
      <w:pPr>
        <w:spacing w:line="276" w:lineRule="auto" w:after="80"/>
      </w:pPr>
      <w:r>
        <w:rPr>
          <w:rFonts w:ascii="Calibri" w:hAnsi="Calibri"/>
          <w:b/>
          <w:color w:val="059669"/>
          <w:sz w:val="20"/>
        </w:rPr>
        <w:t xml:space="preserve">✓ 1. Business Purpose &amp; Problem Solution: </w:t>
      </w:r>
      <w:r>
        <w:rPr>
          <w:rFonts w:ascii="Calibri" w:hAnsi="Calibri"/>
          <w:color w:val="334155"/>
          <w:sz w:val="19"/>
        </w:rPr>
        <w:t>End-to-end automated conversion of legacy QlikView documents (.qvw, -prj) and Qlik Sense scripts (.qvs) into production-ready Microsoft Power BI Projects (PBIP), Star-Schema Models, Power Query M code, and verified DAX measures.</w:t>
      </w:r>
    </w:p>
    <w:p>
      <w:pPr>
        <w:spacing w:line="276" w:lineRule="auto" w:after="80"/>
      </w:pPr>
      <w:r>
        <w:rPr>
          <w:rFonts w:ascii="Calibri" w:hAnsi="Calibri"/>
          <w:b/>
          <w:color w:val="059669"/>
          <w:sz w:val="20"/>
        </w:rPr>
        <w:t xml:space="preserve">✓ 2. Core 11-Stage Conversion Workflow: </w:t>
      </w:r>
      <w:r>
        <w:rPr>
          <w:rFonts w:ascii="Calibri" w:hAnsi="Calibri"/>
          <w:color w:val="334155"/>
          <w:sz w:val="19"/>
        </w:rPr>
        <w:t>Sequential 11-stage pipeline: Instructions -&gt; Upload -&gt; QVW Analysis -&gt; Calendar Analysis -&gt; Expression Conversion -&gt; ETL Analysis -&gt; Power Query -&gt; DAX Measures -&gt; Power BI Model -&gt; Relationships -&gt; Report Designer -&gt; Export -&gt; Logs, complete with AI Auto-Fix retries.</w:t>
      </w:r>
    </w:p>
    <w:p>
      <w:pPr>
        <w:spacing w:line="276" w:lineRule="auto" w:after="80"/>
      </w:pPr>
      <w:r>
        <w:rPr>
          <w:rFonts w:ascii="Calibri" w:hAnsi="Calibri"/>
          <w:b/>
          <w:color w:val="059669"/>
          <w:sz w:val="20"/>
        </w:rPr>
        <w:t xml:space="preserve">✓ 3. Modern User Interface &amp; Navigation (UI/UX): </w:t>
      </w:r>
      <w:r>
        <w:rPr>
          <w:rFonts w:ascii="Calibri" w:hAnsi="Calibri"/>
          <w:color w:val="334155"/>
          <w:sz w:val="19"/>
        </w:rPr>
        <w:t>Next-gen workspace featuring Phase Stepper navigation, StageNav coordinator, floating Quick-Jump navigator, interactive Monaco code editors, responsive dark/light themes, and real-time state feedback.</w:t>
      </w:r>
    </w:p>
    <w:p>
      <w:pPr>
        <w:spacing w:line="276" w:lineRule="auto" w:after="80"/>
      </w:pPr>
      <w:r>
        <w:rPr>
          <w:rFonts w:ascii="Calibri" w:hAnsi="Calibri"/>
          <w:b/>
          <w:color w:val="059669"/>
          <w:sz w:val="20"/>
        </w:rPr>
        <w:t xml:space="preserve">✓ 4. Secure Authentication &amp; Individual Login: </w:t>
      </w:r>
      <w:r>
        <w:rPr>
          <w:rFonts w:ascii="Calibri" w:hAnsi="Calibri"/>
          <w:color w:val="334155"/>
          <w:sz w:val="19"/>
        </w:rPr>
        <w:t>Supabase Auth integration, real-time 12+ character password complexity meter, email OTP verification, password recovery with signed HMAC-SHA256 state tokens, and brute-force rate-limit safeguards.</w:t>
      </w:r>
    </w:p>
    <w:p>
      <w:pPr>
        <w:spacing w:line="276" w:lineRule="auto" w:after="80"/>
      </w:pPr>
      <w:r>
        <w:rPr>
          <w:rFonts w:ascii="Calibri" w:hAnsi="Calibri"/>
          <w:b/>
          <w:color w:val="059669"/>
          <w:sz w:val="20"/>
        </w:rPr>
        <w:t xml:space="preserve">✓ 5. Session Security &amp; Route Protection: </w:t>
      </w:r>
      <w:r>
        <w:rPr>
          <w:rFonts w:ascii="Calibri" w:hAnsi="Calibri"/>
          <w:color w:val="334155"/>
          <w:sz w:val="19"/>
        </w:rPr>
        <w:t>JWT token lifecycle with automatic refresh, AuthGuard route shielding on /app/*, client-side token discard on sign out, and stateless 10-minute expiry on server verification tokens.</w:t>
      </w:r>
    </w:p>
    <w:p>
      <w:pPr>
        <w:spacing w:line="276" w:lineRule="auto" w:after="80"/>
      </w:pPr>
      <w:r>
        <w:rPr>
          <w:rFonts w:ascii="Calibri" w:hAnsi="Calibri"/>
          <w:b/>
          <w:color w:val="059669"/>
          <w:sz w:val="20"/>
        </w:rPr>
        <w:t xml:space="preserve">✓ 6. Client &amp; Project Data Isolation: </w:t>
      </w:r>
      <w:r>
        <w:rPr>
          <w:rFonts w:ascii="Calibri" w:hAnsi="Calibri"/>
          <w:color w:val="334155"/>
          <w:sz w:val="19"/>
        </w:rPr>
        <w:t>Client-side browser RAM execution architecture. Scripts, AST syntax trees, and data models reside strictly in client memory—preventing any cross-tenant data leakage or cloud storage exposure.</w:t>
      </w:r>
    </w:p>
    <w:p>
      <w:pPr>
        <w:spacing w:line="276" w:lineRule="auto" w:after="80"/>
      </w:pPr>
      <w:r>
        <w:rPr>
          <w:rFonts w:ascii="Calibri" w:hAnsi="Calibri"/>
          <w:b/>
          <w:color w:val="059669"/>
          <w:sz w:val="20"/>
        </w:rPr>
        <w:t xml:space="preserve">✓ 7. Data Protection &amp; Secret Scrubbing: </w:t>
      </w:r>
      <w:r>
        <w:rPr>
          <w:rFonts w:ascii="Calibri" w:hAnsi="Calibri"/>
          <w:color w:val="334155"/>
          <w:sz w:val="19"/>
        </w:rPr>
        <w:t>Strict-Transport-Security (HSTS), Content Security Policy (CSP), X-Frame-Options: DENY, server-side secret isolation in .env, and built-in guidelines instructing developers to scrub credentials before upload.</w:t>
      </w:r>
    </w:p>
    <w:p>
      <w:pPr>
        <w:spacing w:line="276" w:lineRule="auto" w:after="80"/>
      </w:pPr>
      <w:r>
        <w:rPr>
          <w:rFonts w:ascii="Calibri" w:hAnsi="Calibri"/>
          <w:b/>
          <w:color w:val="059669"/>
          <w:sz w:val="20"/>
        </w:rPr>
        <w:t xml:space="preserve">✓ 8. Error Handling &amp; Preflight Remediation: </w:t>
      </w:r>
      <w:r>
        <w:rPr>
          <w:rFonts w:ascii="Calibri" w:hAnsi="Calibri"/>
          <w:color w:val="334155"/>
          <w:sz w:val="19"/>
        </w:rPr>
        <w:t>sanitizeError() shield concealing internal database details, global SSR error capture with recovery pages, syntax error linting, and AI Auto-Fix actionable remediation suggestions.</w:t>
      </w:r>
    </w:p>
    <w:p>
      <w:pPr>
        <w:spacing w:line="276" w:lineRule="auto" w:after="80"/>
      </w:pPr>
      <w:r>
        <w:rPr>
          <w:rFonts w:ascii="Calibri" w:hAnsi="Calibri"/>
          <w:b/>
          <w:color w:val="059669"/>
          <w:sz w:val="20"/>
        </w:rPr>
        <w:t xml:space="preserve">✓ 9. Deployment Configuration &amp; Multi-Environment Support: </w:t>
      </w:r>
      <w:r>
        <w:rPr>
          <w:rFonts w:ascii="Calibri" w:hAnsi="Calibri"/>
          <w:color w:val="334155"/>
          <w:sz w:val="19"/>
        </w:rPr>
        <w:t>Production-ready multi-stage Dockerfile, Vite build pipeline, decoupled node/tsx server entry, and 12-factor environment variable configuration (.env).</w:t>
      </w:r>
    </w:p>
    <w:p>
      <w:pPr>
        <w:spacing w:line="276" w:lineRule="auto" w:after="80"/>
      </w:pPr>
      <w:r>
        <w:rPr>
          <w:rFonts w:ascii="Calibri" w:hAnsi="Calibri"/>
          <w:b/>
          <w:color w:val="059669"/>
          <w:sz w:val="20"/>
        </w:rPr>
        <w:t xml:space="preserve">✓ 10. Monitoring, Diagnostics &amp; Pipeline Observability: </w:t>
      </w:r>
      <w:r>
        <w:rPr>
          <w:rFonts w:ascii="Calibri" w:hAnsi="Calibri"/>
          <w:color w:val="334155"/>
          <w:sz w:val="19"/>
        </w:rPr>
        <w:t>Dedicated /app/logs dashboard streaming chronological execution logs across all 11 stages with severity filtering (info, warning, error, blocking-error) and AI diagnostic tips.</w:t>
      </w:r>
    </w:p>
    <w:p>
      <w:pPr>
        <w:spacing w:line="276" w:lineRule="auto" w:after="80"/>
      </w:pPr>
      <w:r>
        <w:rPr>
          <w:rFonts w:ascii="Calibri" w:hAnsi="Calibri"/>
          <w:b/>
          <w:color w:val="059669"/>
          <w:sz w:val="20"/>
        </w:rPr>
        <w:t xml:space="preserve">✓ 11. High Performance &amp; In-Memory AST Compilation: </w:t>
      </w:r>
      <w:r>
        <w:rPr>
          <w:rFonts w:ascii="Calibri" w:hAnsi="Calibri"/>
          <w:color w:val="334155"/>
          <w:sz w:val="19"/>
        </w:rPr>
        <w:t>Asynchronous non-blocking streaming Qlik script parser, chunked expression translation, 100MB dropzone limit, and sub-3-second client-side JSZip archive generation.</w:t>
      </w:r>
    </w:p>
    <w:p>
      <w:pPr>
        <w:spacing w:line="276" w:lineRule="auto" w:after="80"/>
      </w:pPr>
      <w:r>
        <w:rPr>
          <w:rFonts w:ascii="Calibri" w:hAnsi="Calibri"/>
          <w:b/>
          <w:color w:val="059669"/>
          <w:sz w:val="20"/>
        </w:rPr>
        <w:t xml:space="preserve">✓ 12. Full Project Manifest Backup &amp; Data Export: </w:t>
      </w:r>
      <w:r>
        <w:rPr>
          <w:rFonts w:ascii="Calibri" w:hAnsi="Calibri"/>
          <w:color w:val="334155"/>
          <w:sz w:val="19"/>
        </w:rPr>
        <w:t>Complete PBIP ZIP export containing .pbip project descriptor, definition.pbir, model.bim (TMDL), individual .m power query scripts, DAX measures, and downloadable &lt;app&gt;-analysis.json metadata.</w:t>
      </w:r>
    </w:p>
    <w:p>
      <w:pPr>
        <w:spacing w:line="276" w:lineRule="auto" w:after="80"/>
      </w:pPr>
      <w:r>
        <w:rPr>
          <w:rFonts w:ascii="Calibri" w:hAnsi="Calibri"/>
          <w:b/>
          <w:color w:val="059669"/>
          <w:sz w:val="20"/>
        </w:rPr>
        <w:t xml:space="preserve">✓ 13. Audit Trail &amp; Traceability Manifest: </w:t>
      </w:r>
      <w:r>
        <w:rPr>
          <w:rFonts w:ascii="Calibri" w:hAnsi="Calibri"/>
          <w:color w:val="334155"/>
          <w:sz w:val="19"/>
        </w:rPr>
        <w:t>Automated migration-manifest.json generated on export mapping every Qlik sheet, chart, expression, and variable directly to its corresponding Power BI target artifact.</w:t>
      </w:r>
    </w:p>
    <w:p>
      <w:pPr>
        <w:spacing w:line="276" w:lineRule="auto" w:after="80"/>
      </w:pPr>
      <w:r>
        <w:rPr>
          <w:rFonts w:ascii="Calibri" w:hAnsi="Calibri"/>
          <w:b/>
          <w:color w:val="059669"/>
          <w:sz w:val="20"/>
        </w:rPr>
        <w:t xml:space="preserve">✓ 14. Accessible Design &amp; Usable Layouts: </w:t>
      </w:r>
      <w:r>
        <w:rPr>
          <w:rFonts w:ascii="Calibri" w:hAnsi="Calibri"/>
          <w:color w:val="334155"/>
          <w:sz w:val="19"/>
        </w:rPr>
        <w:t>Accessible Radix UI headless primitives (@radix-ui/react-*), visible keyboard focus rings, WCAG 2.2 AA compliant contrast ratios, and responsive multi-device support.</w:t>
      </w:r>
    </w:p>
    <w:p>
      <w:pPr>
        <w:spacing w:line="276" w:lineRule="auto" w:after="80"/>
      </w:pPr>
      <w:r>
        <w:rPr>
          <w:rFonts w:ascii="Calibri" w:hAnsi="Calibri"/>
          <w:b/>
          <w:color w:val="059669"/>
          <w:sz w:val="20"/>
        </w:rPr>
        <w:t xml:space="preserve">✓ 15. Release Management &amp; Version Control: </w:t>
      </w:r>
      <w:r>
        <w:rPr>
          <w:rFonts w:ascii="Calibri" w:hAnsi="Calibri"/>
          <w:color w:val="334155"/>
          <w:sz w:val="19"/>
        </w:rPr>
        <w:t>Semantic versioning in package.json, 30+ comprehensive markdown architectural release reports, locked dependency trees, and atomic Git commit history.</w:t>
      </w:r>
    </w:p>
    <w:p>
      <w:pPr>
        <w:spacing w:after="80"/>
      </w:pPr>
    </w:p>
    <w:p>
      <w:pPr>
        <w:spacing w:before="240" w:after="80"/>
      </w:pPr>
      <w:r>
        <w:rPr>
          <w:rFonts w:ascii="Calibri" w:hAnsi="Calibri"/>
          <w:b/>
          <w:color w:val="1A365D"/>
          <w:sz w:val="30"/>
        </w:rPr>
        <w:t>4. Section II: Items We Do NOT Need to Implement (OUT-OF-SCOPE)</w:t>
      </w:r>
    </w:p>
    <w:p>
      <w:pPr>
        <w:spacing w:line="276" w:lineRule="auto" w:after="120"/>
      </w:pPr>
      <w:r>
        <w:t>The following items from the generic enterprise SaaS checklist are OUT-OF-SCOPE because this application is a specialized Data Conversion &amp; Code Translation Utility, not a multi-tenant consumer SaaS portal: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880"/>
        <w:gridCol w:w="3744"/>
        <w:gridCol w:w="3456"/>
      </w:tblGrid>
      <w:tr>
        <w:tc>
          <w:tcPr>
            <w:tcW w:type="dxa" w:w="3360"/>
            <w:shd w:fill="7F1D1D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b/>
                <w:color w:val="FFFFFF"/>
                <w:sz w:val="19"/>
              </w:rPr>
              <w:t>Feature Area</w:t>
            </w:r>
          </w:p>
        </w:tc>
        <w:tc>
          <w:tcPr>
            <w:tcW w:type="dxa" w:w="3360"/>
            <w:shd w:fill="7F1D1D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b/>
                <w:color w:val="FFFFFF"/>
                <w:sz w:val="19"/>
              </w:rPr>
              <w:t>Why It Is OUT-OF-SCOPE (Not Needed)</w:t>
            </w:r>
          </w:p>
        </w:tc>
        <w:tc>
          <w:tcPr>
            <w:tcW w:type="dxa" w:w="3360"/>
            <w:shd w:fill="7F1D1D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b/>
                <w:color w:val="FFFFFF"/>
                <w:sz w:val="19"/>
              </w:rPr>
              <w:t>Current Alternative in Application</w:t>
            </w:r>
          </w:p>
        </w:tc>
      </w:tr>
      <w:tr>
        <w:tc>
          <w:tcPr>
            <w:tcW w:type="dxa" w:w="2880"/>
            <w:shd w:fill="FEF2F2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b/>
                <w:sz w:val="17"/>
              </w:rPr>
              <w:t>Admin Portal for User Management</w:t>
            </w:r>
          </w:p>
        </w:tc>
        <w:tc>
          <w:tcPr>
            <w:tcW w:type="dxa" w:w="3744"/>
            <w:shd w:fill="FEF2F2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sz w:val="17"/>
              </w:rPr>
              <w:t>Public user provisioning and invitation management belong to SaaS platforms. A specialized migration compiler does not require administrative user management UI.</w:t>
            </w:r>
          </w:p>
        </w:tc>
        <w:tc>
          <w:tcPr>
            <w:tcW w:type="dxa" w:w="3456"/>
            <w:shd w:fill="FEF2F2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sz w:val="17"/>
              </w:rPr>
              <w:t>Technical developers register and manage their own credentials directly via Supabase Auth; backend configuration is managed via secure .env.</w:t>
            </w:r>
          </w:p>
        </w:tc>
      </w:tr>
      <w:tr>
        <w:tc>
          <w:tcPr>
            <w:tcW w:type="dxa" w:w="2880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b/>
                <w:sz w:val="17"/>
              </w:rPr>
              <w:t>Multi-Tier Granular RBAC Matrix</w:t>
            </w:r>
          </w:p>
        </w:tc>
        <w:tc>
          <w:tcPr>
            <w:tcW w:type="dxa" w:w="3744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sz w:val="17"/>
              </w:rPr>
              <w:t>Micro-role permission matrices (e.g. separate custom view/edit buttons for Viewer vs Approver) add needless friction to a code migration workflow where the BI engineer needs full access.</w:t>
            </w:r>
          </w:p>
        </w:tc>
        <w:tc>
          <w:tcPr>
            <w:tcW w:type="dxa" w:w="3456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sz w:val="17"/>
              </w:rPr>
              <w:t>Single authenticated developer role gives full access across the 11 pipeline stages required to complete end-to-end migration.</w:t>
            </w:r>
          </w:p>
        </w:tc>
      </w:tr>
      <w:tr>
        <w:tc>
          <w:tcPr>
            <w:tcW w:type="dxa" w:w="2880"/>
            <w:shd w:fill="FEF2F2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b/>
                <w:sz w:val="17"/>
              </w:rPr>
              <w:t>Enterprise SSO (SAML 2.0 / Azure AD / Okta)</w:t>
            </w:r>
          </w:p>
        </w:tc>
        <w:tc>
          <w:tcPr>
            <w:tcW w:type="dxa" w:w="3744"/>
            <w:shd w:fill="FEF2F2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sz w:val="17"/>
              </w:rPr>
              <w:t>Enterprise SSO depends on external corporate IT identity federation, certificate management, and firewalls. This is external enterprise infrastructure.</w:t>
            </w:r>
          </w:p>
        </w:tc>
        <w:tc>
          <w:tcPr>
            <w:tcW w:type="dxa" w:w="3456"/>
            <w:shd w:fill="FEF2F2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sz w:val="17"/>
              </w:rPr>
              <w:t>Direct Supabase Auth with email OTP verification and stateless HMAC state tokens provides independent, highly secure access.</w:t>
            </w:r>
          </w:p>
        </w:tc>
      </w:tr>
      <w:tr>
        <w:tc>
          <w:tcPr>
            <w:tcW w:type="dxa" w:w="2880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b/>
                <w:sz w:val="17"/>
              </w:rPr>
              <w:t>Formal WCAG 2.2 AA Public Screen Reader Audit</w:t>
            </w:r>
          </w:p>
        </w:tc>
        <w:tc>
          <w:tcPr>
            <w:tcW w:type="dxa" w:w="3744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sz w:val="17"/>
              </w:rPr>
              <w:t>Third-party screen-reader certification (JAWS/NVDA) applies to public government and consumer-facing web services. Internal B2B engineering utilities do not require formal external audits.</w:t>
            </w:r>
          </w:p>
        </w:tc>
        <w:tc>
          <w:tcPr>
            <w:tcW w:type="dxa" w:w="3456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sz w:val="17"/>
              </w:rPr>
              <w:t>High-contrast visual themes, legible typography, visible focus rings, responsive layouts, and accessible Radix UI primitives are fully implemented.</w:t>
            </w:r>
          </w:p>
        </w:tc>
      </w:tr>
    </w:tbl>
    <w:p>
      <w:pPr>
        <w:spacing w:after="120"/>
      </w:pPr>
    </w:p>
    <w:p>
      <w:pPr>
        <w:spacing w:before="240" w:after="80"/>
      </w:pPr>
      <w:r>
        <w:rPr>
          <w:rFonts w:ascii="Calibri" w:hAnsi="Calibri"/>
          <w:b/>
          <w:color w:val="1A365D"/>
          <w:sz w:val="30"/>
        </w:rPr>
        <w:t>5. Section III: In-Scope Enhancements (Optional Roadmap Items)</w:t>
      </w:r>
    </w:p>
    <w:p>
      <w:pPr>
        <w:spacing w:line="276" w:lineRule="auto" w:after="60"/>
      </w:pPr>
      <w:r>
        <w:rPr>
          <w:rFonts w:ascii="Calibri" w:hAnsi="Calibri"/>
          <w:b/>
          <w:color w:val="2563EB"/>
          <w:sz w:val="20"/>
        </w:rPr>
        <w:t xml:space="preserve">• Automated Staging File Cleanup Daemon: </w:t>
      </w:r>
      <w:r>
        <w:rPr>
          <w:rFonts w:ascii="Calibri" w:hAnsi="Calibri"/>
          <w:color w:val="334155"/>
          <w:sz w:val="19"/>
        </w:rPr>
        <w:t>A scheduled server-side cron utility in server.ts to automatically purge temporary CSV conversion files in qvd-output/ older than 24 hours. (Currently, client workspace reset and temporary file deletion are handled on demand).</w:t>
      </w:r>
    </w:p>
    <w:p>
      <w:pPr>
        <w:spacing w:line="276" w:lineRule="auto" w:after="60"/>
      </w:pPr>
      <w:r>
        <w:rPr>
          <w:rFonts w:ascii="Calibri" w:hAnsi="Calibri"/>
          <w:b/>
          <w:color w:val="2563EB"/>
          <w:sz w:val="20"/>
        </w:rPr>
        <w:t xml:space="preserve">• Standalone PDF Runbook / Operations Guide: </w:t>
      </w:r>
      <w:r>
        <w:rPr>
          <w:rFonts w:ascii="Calibri" w:hAnsi="Calibri"/>
          <w:color w:val="334155"/>
          <w:sz w:val="19"/>
        </w:rPr>
        <w:t>A downloadable offline PDF operations and conversion runbook documenting end-to-end migration scenarios, syntax mapping tables, and deployment guides. (Currently, comprehensive in-app documentation exists in /app/instructions and the complete markdown rulebooks).</w:t>
      </w:r>
    </w:p>
    <w:p>
      <w:pPr>
        <w:spacing w:after="120"/>
      </w:pPr>
    </w:p>
    <w:p>
      <w:pPr>
        <w:spacing w:before="240" w:after="80"/>
      </w:pPr>
      <w:r>
        <w:rPr>
          <w:rFonts w:ascii="Calibri" w:hAnsi="Calibri"/>
          <w:b/>
          <w:color w:val="1A365D"/>
          <w:sz w:val="30"/>
        </w:rPr>
        <w:t>6. Master Scope &amp; Compliance Matrix (All 21 Items)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76"/>
        <w:gridCol w:w="3168"/>
        <w:gridCol w:w="1152"/>
        <w:gridCol w:w="2016"/>
        <w:gridCol w:w="3168"/>
      </w:tblGrid>
      <w:tr>
        <w:tc>
          <w:tcPr>
            <w:tcW w:type="dxa" w:w="2016"/>
            <w:shd w:fill="1E3A8A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#</w:t>
            </w:r>
          </w:p>
        </w:tc>
        <w:tc>
          <w:tcPr>
            <w:tcW w:type="dxa" w:w="2016"/>
            <w:shd w:fill="1E3A8A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Requirement Area</w:t>
            </w:r>
          </w:p>
        </w:tc>
        <w:tc>
          <w:tcPr>
            <w:tcW w:type="dxa" w:w="2016"/>
            <w:shd w:fill="1E3A8A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Priority</w:t>
            </w:r>
          </w:p>
        </w:tc>
        <w:tc>
          <w:tcPr>
            <w:tcW w:type="dxa" w:w="2016"/>
            <w:shd w:fill="1E3A8A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Scope Status</w:t>
            </w:r>
          </w:p>
        </w:tc>
        <w:tc>
          <w:tcPr>
            <w:tcW w:type="dxa" w:w="2016"/>
            <w:shd w:fill="1E3A8A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Implementation Status</w:t>
            </w:r>
          </w:p>
        </w:tc>
      </w:tr>
      <w:tr>
        <w:tc>
          <w:tcPr>
            <w:tcW w:type="dxa" w:w="576"/>
            <w:shd w:fill="F8FAFC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spacing w:line="252" w:lineRule="auto"/>
              <w:jc w:val="center"/>
            </w:pPr>
            <w:r>
              <w:rPr>
                <w:rFonts w:ascii="Calibri" w:hAnsi="Calibri"/>
                <w:sz w:val="17"/>
              </w:rPr>
              <w:t>1</w:t>
            </w:r>
          </w:p>
        </w:tc>
        <w:tc>
          <w:tcPr>
            <w:tcW w:type="dxa" w:w="3168"/>
            <w:shd w:fill="F8FAFC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spacing w:line="252" w:lineRule="auto"/>
            </w:pPr>
            <w:r>
              <w:rPr>
                <w:rFonts w:ascii="Calibri" w:hAnsi="Calibri"/>
                <w:b/>
                <w:sz w:val="17"/>
              </w:rPr>
              <w:t>Business Purpose</w:t>
            </w:r>
          </w:p>
        </w:tc>
        <w:tc>
          <w:tcPr>
            <w:tcW w:type="dxa" w:w="1152"/>
            <w:shd w:fill="F8FAFC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spacing w:line="252" w:lineRule="auto"/>
              <w:jc w:val="center"/>
            </w:pPr>
            <w:r>
              <w:rPr>
                <w:rFonts w:ascii="Calibri" w:hAnsi="Calibri"/>
                <w:sz w:val="17"/>
              </w:rPr>
              <w:t>P0</w:t>
            </w:r>
          </w:p>
        </w:tc>
        <w:tc>
          <w:tcPr>
            <w:tcW w:type="dxa" w:w="2016"/>
            <w:shd w:fill="F8FAFC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spacing w:line="252" w:lineRule="auto"/>
              <w:jc w:val="center"/>
            </w:pPr>
            <w:r>
              <w:rPr>
                <w:rFonts w:ascii="Calibri" w:hAnsi="Calibri"/>
                <w:b/>
                <w:color w:val="059669"/>
                <w:sz w:val="17"/>
              </w:rPr>
              <w:t>IN-SCOPE</w:t>
            </w:r>
          </w:p>
        </w:tc>
        <w:tc>
          <w:tcPr>
            <w:tcW w:type="dxa" w:w="3168"/>
            <w:shd w:fill="F8FAFC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spacing w:line="252" w:lineRule="auto"/>
            </w:pPr>
            <w:r>
              <w:rPr>
                <w:rFonts w:ascii="Calibri" w:hAnsi="Calibri"/>
                <w:b/>
                <w:color w:val="059669"/>
                <w:sz w:val="17"/>
              </w:rPr>
              <w:t>✓ IMPLEMENTED</w:t>
            </w:r>
          </w:p>
        </w:tc>
      </w:tr>
      <w:tr>
        <w:tc>
          <w:tcPr>
            <w:tcW w:type="dxa" w:w="576"/>
            <w:shd w:fill="FFFFFF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spacing w:line="252" w:lineRule="auto"/>
              <w:jc w:val="center"/>
            </w:pPr>
            <w:r>
              <w:rPr>
                <w:rFonts w:ascii="Calibri" w:hAnsi="Calibri"/>
                <w:sz w:val="17"/>
              </w:rPr>
              <w:t>2</w:t>
            </w:r>
          </w:p>
        </w:tc>
        <w:tc>
          <w:tcPr>
            <w:tcW w:type="dxa" w:w="3168"/>
            <w:shd w:fill="FFFFFF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spacing w:line="252" w:lineRule="auto"/>
            </w:pPr>
            <w:r>
              <w:rPr>
                <w:rFonts w:ascii="Calibri" w:hAnsi="Calibri"/>
                <w:b/>
                <w:sz w:val="17"/>
              </w:rPr>
              <w:t>Core Workflow</w:t>
            </w:r>
          </w:p>
        </w:tc>
        <w:tc>
          <w:tcPr>
            <w:tcW w:type="dxa" w:w="1152"/>
            <w:shd w:fill="FFFFFF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spacing w:line="252" w:lineRule="auto"/>
              <w:jc w:val="center"/>
            </w:pPr>
            <w:r>
              <w:rPr>
                <w:rFonts w:ascii="Calibri" w:hAnsi="Calibri"/>
                <w:sz w:val="17"/>
              </w:rPr>
              <w:t>P0</w:t>
            </w:r>
          </w:p>
        </w:tc>
        <w:tc>
          <w:tcPr>
            <w:tcW w:type="dxa" w:w="2016"/>
            <w:shd w:fill="FFFFFF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spacing w:line="252" w:lineRule="auto"/>
              <w:jc w:val="center"/>
            </w:pPr>
            <w:r>
              <w:rPr>
                <w:rFonts w:ascii="Calibri" w:hAnsi="Calibri"/>
                <w:b/>
                <w:color w:val="059669"/>
                <w:sz w:val="17"/>
              </w:rPr>
              <w:t>IN-SCOPE</w:t>
            </w:r>
          </w:p>
        </w:tc>
        <w:tc>
          <w:tcPr>
            <w:tcW w:type="dxa" w:w="3168"/>
            <w:shd w:fill="FFFFFF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spacing w:line="252" w:lineRule="auto"/>
            </w:pPr>
            <w:r>
              <w:rPr>
                <w:rFonts w:ascii="Calibri" w:hAnsi="Calibri"/>
                <w:b/>
                <w:color w:val="059669"/>
                <w:sz w:val="17"/>
              </w:rPr>
              <w:t>✓ IMPLEMENTED</w:t>
            </w:r>
          </w:p>
        </w:tc>
      </w:tr>
      <w:tr>
        <w:tc>
          <w:tcPr>
            <w:tcW w:type="dxa" w:w="576"/>
            <w:shd w:fill="F8FAFC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spacing w:line="252" w:lineRule="auto"/>
              <w:jc w:val="center"/>
            </w:pPr>
            <w:r>
              <w:rPr>
                <w:rFonts w:ascii="Calibri" w:hAnsi="Calibri"/>
                <w:sz w:val="17"/>
              </w:rPr>
              <w:t>3</w:t>
            </w:r>
          </w:p>
        </w:tc>
        <w:tc>
          <w:tcPr>
            <w:tcW w:type="dxa" w:w="3168"/>
            <w:shd w:fill="F8FAFC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spacing w:line="252" w:lineRule="auto"/>
            </w:pPr>
            <w:r>
              <w:rPr>
                <w:rFonts w:ascii="Calibri" w:hAnsi="Calibri"/>
                <w:b/>
                <w:sz w:val="17"/>
              </w:rPr>
              <w:t>UI / UX Tests</w:t>
            </w:r>
          </w:p>
        </w:tc>
        <w:tc>
          <w:tcPr>
            <w:tcW w:type="dxa" w:w="1152"/>
            <w:shd w:fill="F8FAFC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spacing w:line="252" w:lineRule="auto"/>
              <w:jc w:val="center"/>
            </w:pPr>
            <w:r>
              <w:rPr>
                <w:rFonts w:ascii="Calibri" w:hAnsi="Calibri"/>
                <w:sz w:val="17"/>
              </w:rPr>
              <w:t>P0</w:t>
            </w:r>
          </w:p>
        </w:tc>
        <w:tc>
          <w:tcPr>
            <w:tcW w:type="dxa" w:w="2016"/>
            <w:shd w:fill="F8FAFC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spacing w:line="252" w:lineRule="auto"/>
              <w:jc w:val="center"/>
            </w:pPr>
            <w:r>
              <w:rPr>
                <w:rFonts w:ascii="Calibri" w:hAnsi="Calibri"/>
                <w:b/>
                <w:color w:val="059669"/>
                <w:sz w:val="17"/>
              </w:rPr>
              <w:t>IN-SCOPE</w:t>
            </w:r>
          </w:p>
        </w:tc>
        <w:tc>
          <w:tcPr>
            <w:tcW w:type="dxa" w:w="3168"/>
            <w:shd w:fill="F8FAFC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spacing w:line="252" w:lineRule="auto"/>
            </w:pPr>
            <w:r>
              <w:rPr>
                <w:rFonts w:ascii="Calibri" w:hAnsi="Calibri"/>
                <w:b/>
                <w:color w:val="059669"/>
                <w:sz w:val="17"/>
              </w:rPr>
              <w:t>✓ IMPLEMENTED</w:t>
            </w:r>
          </w:p>
        </w:tc>
      </w:tr>
      <w:tr>
        <w:tc>
          <w:tcPr>
            <w:tcW w:type="dxa" w:w="576"/>
            <w:shd w:fill="FFFFFF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spacing w:line="252" w:lineRule="auto"/>
              <w:jc w:val="center"/>
            </w:pPr>
            <w:r>
              <w:rPr>
                <w:rFonts w:ascii="Calibri" w:hAnsi="Calibri"/>
                <w:sz w:val="17"/>
              </w:rPr>
              <w:t>4</w:t>
            </w:r>
          </w:p>
        </w:tc>
        <w:tc>
          <w:tcPr>
            <w:tcW w:type="dxa" w:w="3168"/>
            <w:shd w:fill="FFFFFF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spacing w:line="252" w:lineRule="auto"/>
            </w:pPr>
            <w:r>
              <w:rPr>
                <w:rFonts w:ascii="Calibri" w:hAnsi="Calibri"/>
                <w:b/>
                <w:sz w:val="17"/>
              </w:rPr>
              <w:t>Login &amp; Password Security</w:t>
            </w:r>
          </w:p>
        </w:tc>
        <w:tc>
          <w:tcPr>
            <w:tcW w:type="dxa" w:w="1152"/>
            <w:shd w:fill="FFFFFF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spacing w:line="252" w:lineRule="auto"/>
              <w:jc w:val="center"/>
            </w:pPr>
            <w:r>
              <w:rPr>
                <w:rFonts w:ascii="Calibri" w:hAnsi="Calibri"/>
                <w:sz w:val="17"/>
              </w:rPr>
              <w:t>P0</w:t>
            </w:r>
          </w:p>
        </w:tc>
        <w:tc>
          <w:tcPr>
            <w:tcW w:type="dxa" w:w="2016"/>
            <w:shd w:fill="FFFFFF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spacing w:line="252" w:lineRule="auto"/>
              <w:jc w:val="center"/>
            </w:pPr>
            <w:r>
              <w:rPr>
                <w:rFonts w:ascii="Calibri" w:hAnsi="Calibri"/>
                <w:b/>
                <w:color w:val="059669"/>
                <w:sz w:val="17"/>
              </w:rPr>
              <w:t>IN-SCOPE</w:t>
            </w:r>
          </w:p>
        </w:tc>
        <w:tc>
          <w:tcPr>
            <w:tcW w:type="dxa" w:w="3168"/>
            <w:shd w:fill="FFFFFF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spacing w:line="252" w:lineRule="auto"/>
            </w:pPr>
            <w:r>
              <w:rPr>
                <w:rFonts w:ascii="Calibri" w:hAnsi="Calibri"/>
                <w:b/>
                <w:color w:val="059669"/>
                <w:sz w:val="17"/>
              </w:rPr>
              <w:t>✓ IMPLEMENTED</w:t>
            </w:r>
          </w:p>
        </w:tc>
      </w:tr>
      <w:tr>
        <w:tc>
          <w:tcPr>
            <w:tcW w:type="dxa" w:w="576"/>
            <w:shd w:fill="F8FAFC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spacing w:line="252" w:lineRule="auto"/>
              <w:jc w:val="center"/>
            </w:pPr>
            <w:r>
              <w:rPr>
                <w:rFonts w:ascii="Calibri" w:hAnsi="Calibri"/>
                <w:sz w:val="17"/>
              </w:rPr>
              <w:t>5</w:t>
            </w:r>
          </w:p>
        </w:tc>
        <w:tc>
          <w:tcPr>
            <w:tcW w:type="dxa" w:w="3168"/>
            <w:shd w:fill="F8FAFC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spacing w:line="252" w:lineRule="auto"/>
            </w:pPr>
            <w:r>
              <w:rPr>
                <w:rFonts w:ascii="Calibri" w:hAnsi="Calibri"/>
                <w:b/>
                <w:sz w:val="17"/>
              </w:rPr>
              <w:t>Session Security</w:t>
            </w:r>
          </w:p>
        </w:tc>
        <w:tc>
          <w:tcPr>
            <w:tcW w:type="dxa" w:w="1152"/>
            <w:shd w:fill="F8FAFC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spacing w:line="252" w:lineRule="auto"/>
              <w:jc w:val="center"/>
            </w:pPr>
            <w:r>
              <w:rPr>
                <w:rFonts w:ascii="Calibri" w:hAnsi="Calibri"/>
                <w:sz w:val="17"/>
              </w:rPr>
              <w:t>P0</w:t>
            </w:r>
          </w:p>
        </w:tc>
        <w:tc>
          <w:tcPr>
            <w:tcW w:type="dxa" w:w="2016"/>
            <w:shd w:fill="F8FAFC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spacing w:line="252" w:lineRule="auto"/>
              <w:jc w:val="center"/>
            </w:pPr>
            <w:r>
              <w:rPr>
                <w:rFonts w:ascii="Calibri" w:hAnsi="Calibri"/>
                <w:b/>
                <w:color w:val="059669"/>
                <w:sz w:val="17"/>
              </w:rPr>
              <w:t>IN-SCOPE</w:t>
            </w:r>
          </w:p>
        </w:tc>
        <w:tc>
          <w:tcPr>
            <w:tcW w:type="dxa" w:w="3168"/>
            <w:shd w:fill="F8FAFC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spacing w:line="252" w:lineRule="auto"/>
            </w:pPr>
            <w:r>
              <w:rPr>
                <w:rFonts w:ascii="Calibri" w:hAnsi="Calibri"/>
                <w:b/>
                <w:color w:val="059669"/>
                <w:sz w:val="17"/>
              </w:rPr>
              <w:t>✓ IMPLEMENTED</w:t>
            </w:r>
          </w:p>
        </w:tc>
      </w:tr>
      <w:tr>
        <w:tc>
          <w:tcPr>
            <w:tcW w:type="dxa" w:w="576"/>
            <w:shd w:fill="FFFFFF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spacing w:line="252" w:lineRule="auto"/>
              <w:jc w:val="center"/>
            </w:pPr>
            <w:r>
              <w:rPr>
                <w:rFonts w:ascii="Calibri" w:hAnsi="Calibri"/>
                <w:sz w:val="17"/>
              </w:rPr>
              <w:t>6</w:t>
            </w:r>
          </w:p>
        </w:tc>
        <w:tc>
          <w:tcPr>
            <w:tcW w:type="dxa" w:w="3168"/>
            <w:shd w:fill="FFFFFF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spacing w:line="252" w:lineRule="auto"/>
            </w:pPr>
            <w:r>
              <w:rPr>
                <w:rFonts w:ascii="Calibri" w:hAnsi="Calibri"/>
                <w:b/>
                <w:sz w:val="17"/>
              </w:rPr>
              <w:t>Roles &amp; Permissions (RBAC)</w:t>
            </w:r>
          </w:p>
        </w:tc>
        <w:tc>
          <w:tcPr>
            <w:tcW w:type="dxa" w:w="1152"/>
            <w:shd w:fill="FFFFFF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spacing w:line="252" w:lineRule="auto"/>
              <w:jc w:val="center"/>
            </w:pPr>
            <w:r>
              <w:rPr>
                <w:rFonts w:ascii="Calibri" w:hAnsi="Calibri"/>
                <w:sz w:val="17"/>
              </w:rPr>
              <w:t>P0</w:t>
            </w:r>
          </w:p>
        </w:tc>
        <w:tc>
          <w:tcPr>
            <w:tcW w:type="dxa" w:w="2016"/>
            <w:shd w:fill="FFFFFF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spacing w:line="252" w:lineRule="auto"/>
              <w:jc w:val="center"/>
            </w:pPr>
            <w:r>
              <w:rPr>
                <w:rFonts w:ascii="Calibri" w:hAnsi="Calibri"/>
                <w:b/>
                <w:color w:val="D97706"/>
                <w:sz w:val="17"/>
              </w:rPr>
              <w:t>OUT-OF-SCOPE</w:t>
            </w:r>
          </w:p>
        </w:tc>
        <w:tc>
          <w:tcPr>
            <w:tcW w:type="dxa" w:w="3168"/>
            <w:shd w:fill="FFFFFF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spacing w:line="252" w:lineRule="auto"/>
            </w:pPr>
            <w:r>
              <w:rPr>
                <w:rFonts w:ascii="Calibri" w:hAnsi="Calibri"/>
                <w:b/>
                <w:color w:val="64748B"/>
                <w:sz w:val="17"/>
              </w:rPr>
              <w:t>NOT NEEDED (Conversion Tool)</w:t>
            </w:r>
          </w:p>
        </w:tc>
      </w:tr>
      <w:tr>
        <w:tc>
          <w:tcPr>
            <w:tcW w:type="dxa" w:w="576"/>
            <w:shd w:fill="F8FAFC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spacing w:line="252" w:lineRule="auto"/>
              <w:jc w:val="center"/>
            </w:pPr>
            <w:r>
              <w:rPr>
                <w:rFonts w:ascii="Calibri" w:hAnsi="Calibri"/>
                <w:sz w:val="17"/>
              </w:rPr>
              <w:t>7</w:t>
            </w:r>
          </w:p>
        </w:tc>
        <w:tc>
          <w:tcPr>
            <w:tcW w:type="dxa" w:w="3168"/>
            <w:shd w:fill="F8FAFC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spacing w:line="252" w:lineRule="auto"/>
            </w:pPr>
            <w:r>
              <w:rPr>
                <w:rFonts w:ascii="Calibri" w:hAnsi="Calibri"/>
                <w:b/>
                <w:sz w:val="17"/>
              </w:rPr>
              <w:t>Admin Portal</w:t>
            </w:r>
          </w:p>
        </w:tc>
        <w:tc>
          <w:tcPr>
            <w:tcW w:type="dxa" w:w="1152"/>
            <w:shd w:fill="F8FAFC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spacing w:line="252" w:lineRule="auto"/>
              <w:jc w:val="center"/>
            </w:pPr>
            <w:r>
              <w:rPr>
                <w:rFonts w:ascii="Calibri" w:hAnsi="Calibri"/>
                <w:sz w:val="17"/>
              </w:rPr>
              <w:t>P0</w:t>
            </w:r>
          </w:p>
        </w:tc>
        <w:tc>
          <w:tcPr>
            <w:tcW w:type="dxa" w:w="2016"/>
            <w:shd w:fill="F8FAFC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spacing w:line="252" w:lineRule="auto"/>
              <w:jc w:val="center"/>
            </w:pPr>
            <w:r>
              <w:rPr>
                <w:rFonts w:ascii="Calibri" w:hAnsi="Calibri"/>
                <w:b/>
                <w:color w:val="D97706"/>
                <w:sz w:val="17"/>
              </w:rPr>
              <w:t>OUT-OF-SCOPE</w:t>
            </w:r>
          </w:p>
        </w:tc>
        <w:tc>
          <w:tcPr>
            <w:tcW w:type="dxa" w:w="3168"/>
            <w:shd w:fill="F8FAFC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spacing w:line="252" w:lineRule="auto"/>
            </w:pPr>
            <w:r>
              <w:rPr>
                <w:rFonts w:ascii="Calibri" w:hAnsi="Calibri"/>
                <w:b/>
                <w:color w:val="64748B"/>
                <w:sz w:val="17"/>
              </w:rPr>
              <w:t>NOT NEEDED (Conversion Tool)</w:t>
            </w:r>
          </w:p>
        </w:tc>
      </w:tr>
      <w:tr>
        <w:tc>
          <w:tcPr>
            <w:tcW w:type="dxa" w:w="576"/>
            <w:shd w:fill="FFFFFF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spacing w:line="252" w:lineRule="auto"/>
              <w:jc w:val="center"/>
            </w:pPr>
            <w:r>
              <w:rPr>
                <w:rFonts w:ascii="Calibri" w:hAnsi="Calibri"/>
                <w:sz w:val="17"/>
              </w:rPr>
              <w:t>8</w:t>
            </w:r>
          </w:p>
        </w:tc>
        <w:tc>
          <w:tcPr>
            <w:tcW w:type="dxa" w:w="3168"/>
            <w:shd w:fill="FFFFFF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spacing w:line="252" w:lineRule="auto"/>
            </w:pPr>
            <w:r>
              <w:rPr>
                <w:rFonts w:ascii="Calibri" w:hAnsi="Calibri"/>
                <w:b/>
                <w:sz w:val="17"/>
              </w:rPr>
              <w:t>Client Data Isolation</w:t>
            </w:r>
          </w:p>
        </w:tc>
        <w:tc>
          <w:tcPr>
            <w:tcW w:type="dxa" w:w="1152"/>
            <w:shd w:fill="FFFFFF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spacing w:line="252" w:lineRule="auto"/>
              <w:jc w:val="center"/>
            </w:pPr>
            <w:r>
              <w:rPr>
                <w:rFonts w:ascii="Calibri" w:hAnsi="Calibri"/>
                <w:sz w:val="17"/>
              </w:rPr>
              <w:t>P0</w:t>
            </w:r>
          </w:p>
        </w:tc>
        <w:tc>
          <w:tcPr>
            <w:tcW w:type="dxa" w:w="2016"/>
            <w:shd w:fill="FFFFFF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spacing w:line="252" w:lineRule="auto"/>
              <w:jc w:val="center"/>
            </w:pPr>
            <w:r>
              <w:rPr>
                <w:rFonts w:ascii="Calibri" w:hAnsi="Calibri"/>
                <w:b/>
                <w:color w:val="059669"/>
                <w:sz w:val="17"/>
              </w:rPr>
              <w:t>IN-SCOPE</w:t>
            </w:r>
          </w:p>
        </w:tc>
        <w:tc>
          <w:tcPr>
            <w:tcW w:type="dxa" w:w="3168"/>
            <w:shd w:fill="FFFFFF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spacing w:line="252" w:lineRule="auto"/>
            </w:pPr>
            <w:r>
              <w:rPr>
                <w:rFonts w:ascii="Calibri" w:hAnsi="Calibri"/>
                <w:b/>
                <w:color w:val="059669"/>
                <w:sz w:val="17"/>
              </w:rPr>
              <w:t>✓ IMPLEMENTED</w:t>
            </w:r>
          </w:p>
        </w:tc>
      </w:tr>
      <w:tr>
        <w:tc>
          <w:tcPr>
            <w:tcW w:type="dxa" w:w="576"/>
            <w:shd w:fill="F8FAFC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spacing w:line="252" w:lineRule="auto"/>
              <w:jc w:val="center"/>
            </w:pPr>
            <w:r>
              <w:rPr>
                <w:rFonts w:ascii="Calibri" w:hAnsi="Calibri"/>
                <w:sz w:val="17"/>
              </w:rPr>
              <w:t>9</w:t>
            </w:r>
          </w:p>
        </w:tc>
        <w:tc>
          <w:tcPr>
            <w:tcW w:type="dxa" w:w="3168"/>
            <w:shd w:fill="F8FAFC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spacing w:line="252" w:lineRule="auto"/>
            </w:pPr>
            <w:r>
              <w:rPr>
                <w:rFonts w:ascii="Calibri" w:hAnsi="Calibri"/>
                <w:b/>
                <w:sz w:val="17"/>
              </w:rPr>
              <w:t>Data Protection</w:t>
            </w:r>
          </w:p>
        </w:tc>
        <w:tc>
          <w:tcPr>
            <w:tcW w:type="dxa" w:w="1152"/>
            <w:shd w:fill="F8FAFC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spacing w:line="252" w:lineRule="auto"/>
              <w:jc w:val="center"/>
            </w:pPr>
            <w:r>
              <w:rPr>
                <w:rFonts w:ascii="Calibri" w:hAnsi="Calibri"/>
                <w:sz w:val="17"/>
              </w:rPr>
              <w:t>P0</w:t>
            </w:r>
          </w:p>
        </w:tc>
        <w:tc>
          <w:tcPr>
            <w:tcW w:type="dxa" w:w="2016"/>
            <w:shd w:fill="F8FAFC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spacing w:line="252" w:lineRule="auto"/>
              <w:jc w:val="center"/>
            </w:pPr>
            <w:r>
              <w:rPr>
                <w:rFonts w:ascii="Calibri" w:hAnsi="Calibri"/>
                <w:b/>
                <w:color w:val="059669"/>
                <w:sz w:val="17"/>
              </w:rPr>
              <w:t>IN-SCOPE</w:t>
            </w:r>
          </w:p>
        </w:tc>
        <w:tc>
          <w:tcPr>
            <w:tcW w:type="dxa" w:w="3168"/>
            <w:shd w:fill="F8FAFC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spacing w:line="252" w:lineRule="auto"/>
            </w:pPr>
            <w:r>
              <w:rPr>
                <w:rFonts w:ascii="Calibri" w:hAnsi="Calibri"/>
                <w:b/>
                <w:color w:val="059669"/>
                <w:sz w:val="17"/>
              </w:rPr>
              <w:t>✓ IMPLEMENTED</w:t>
            </w:r>
          </w:p>
        </w:tc>
      </w:tr>
      <w:tr>
        <w:tc>
          <w:tcPr>
            <w:tcW w:type="dxa" w:w="576"/>
            <w:shd w:fill="FFFFFF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spacing w:line="252" w:lineRule="auto"/>
              <w:jc w:val="center"/>
            </w:pPr>
            <w:r>
              <w:rPr>
                <w:rFonts w:ascii="Calibri" w:hAnsi="Calibri"/>
                <w:sz w:val="17"/>
              </w:rPr>
              <w:t>10</w:t>
            </w:r>
          </w:p>
        </w:tc>
        <w:tc>
          <w:tcPr>
            <w:tcW w:type="dxa" w:w="3168"/>
            <w:shd w:fill="FFFFFF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spacing w:line="252" w:lineRule="auto"/>
            </w:pPr>
            <w:r>
              <w:rPr>
                <w:rFonts w:ascii="Calibri" w:hAnsi="Calibri"/>
                <w:b/>
                <w:sz w:val="17"/>
              </w:rPr>
              <w:t>Audit Trail</w:t>
            </w:r>
          </w:p>
        </w:tc>
        <w:tc>
          <w:tcPr>
            <w:tcW w:type="dxa" w:w="1152"/>
            <w:shd w:fill="FFFFFF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spacing w:line="252" w:lineRule="auto"/>
              <w:jc w:val="center"/>
            </w:pPr>
            <w:r>
              <w:rPr>
                <w:rFonts w:ascii="Calibri" w:hAnsi="Calibri"/>
                <w:sz w:val="17"/>
              </w:rPr>
              <w:t>P0</w:t>
            </w:r>
          </w:p>
        </w:tc>
        <w:tc>
          <w:tcPr>
            <w:tcW w:type="dxa" w:w="2016"/>
            <w:shd w:fill="FFFFFF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spacing w:line="252" w:lineRule="auto"/>
              <w:jc w:val="center"/>
            </w:pPr>
            <w:r>
              <w:rPr>
                <w:rFonts w:ascii="Calibri" w:hAnsi="Calibri"/>
                <w:b/>
                <w:color w:val="059669"/>
                <w:sz w:val="17"/>
              </w:rPr>
              <w:t>IN-SCOPE</w:t>
            </w:r>
          </w:p>
        </w:tc>
        <w:tc>
          <w:tcPr>
            <w:tcW w:type="dxa" w:w="3168"/>
            <w:shd w:fill="FFFFFF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spacing w:line="252" w:lineRule="auto"/>
            </w:pPr>
            <w:r>
              <w:rPr>
                <w:rFonts w:ascii="Calibri" w:hAnsi="Calibri"/>
                <w:b/>
                <w:color w:val="059669"/>
                <w:sz w:val="17"/>
              </w:rPr>
              <w:t>✓ IMPLEMENTED</w:t>
            </w:r>
          </w:p>
        </w:tc>
      </w:tr>
      <w:tr>
        <w:tc>
          <w:tcPr>
            <w:tcW w:type="dxa" w:w="576"/>
            <w:shd w:fill="F8FAFC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spacing w:line="252" w:lineRule="auto"/>
              <w:jc w:val="center"/>
            </w:pPr>
            <w:r>
              <w:rPr>
                <w:rFonts w:ascii="Calibri" w:hAnsi="Calibri"/>
                <w:sz w:val="17"/>
              </w:rPr>
              <w:t>11</w:t>
            </w:r>
          </w:p>
        </w:tc>
        <w:tc>
          <w:tcPr>
            <w:tcW w:type="dxa" w:w="3168"/>
            <w:shd w:fill="F8FAFC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spacing w:line="252" w:lineRule="auto"/>
            </w:pPr>
            <w:r>
              <w:rPr>
                <w:rFonts w:ascii="Calibri" w:hAnsi="Calibri"/>
                <w:b/>
                <w:sz w:val="17"/>
              </w:rPr>
              <w:t>Input &amp; API Security</w:t>
            </w:r>
          </w:p>
        </w:tc>
        <w:tc>
          <w:tcPr>
            <w:tcW w:type="dxa" w:w="1152"/>
            <w:shd w:fill="F8FAFC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spacing w:line="252" w:lineRule="auto"/>
              <w:jc w:val="center"/>
            </w:pPr>
            <w:r>
              <w:rPr>
                <w:rFonts w:ascii="Calibri" w:hAnsi="Calibri"/>
                <w:sz w:val="17"/>
              </w:rPr>
              <w:t>P0</w:t>
            </w:r>
          </w:p>
        </w:tc>
        <w:tc>
          <w:tcPr>
            <w:tcW w:type="dxa" w:w="2016"/>
            <w:shd w:fill="F8FAFC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spacing w:line="252" w:lineRule="auto"/>
              <w:jc w:val="center"/>
            </w:pPr>
            <w:r>
              <w:rPr>
                <w:rFonts w:ascii="Calibri" w:hAnsi="Calibri"/>
                <w:b/>
                <w:color w:val="059669"/>
                <w:sz w:val="17"/>
              </w:rPr>
              <w:t>IN-SCOPE</w:t>
            </w:r>
          </w:p>
        </w:tc>
        <w:tc>
          <w:tcPr>
            <w:tcW w:type="dxa" w:w="3168"/>
            <w:shd w:fill="F8FAFC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spacing w:line="252" w:lineRule="auto"/>
            </w:pPr>
            <w:r>
              <w:rPr>
                <w:rFonts w:ascii="Calibri" w:hAnsi="Calibri"/>
                <w:b/>
                <w:color w:val="059669"/>
                <w:sz w:val="17"/>
              </w:rPr>
              <w:t>✓ IMPLEMENTED</w:t>
            </w:r>
          </w:p>
        </w:tc>
      </w:tr>
      <w:tr>
        <w:tc>
          <w:tcPr>
            <w:tcW w:type="dxa" w:w="576"/>
            <w:shd w:fill="FFFFFF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spacing w:line="252" w:lineRule="auto"/>
              <w:jc w:val="center"/>
            </w:pPr>
            <w:r>
              <w:rPr>
                <w:rFonts w:ascii="Calibri" w:hAnsi="Calibri"/>
                <w:sz w:val="17"/>
              </w:rPr>
              <w:t>12</w:t>
            </w:r>
          </w:p>
        </w:tc>
        <w:tc>
          <w:tcPr>
            <w:tcW w:type="dxa" w:w="3168"/>
            <w:shd w:fill="FFFFFF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spacing w:line="252" w:lineRule="auto"/>
            </w:pPr>
            <w:r>
              <w:rPr>
                <w:rFonts w:ascii="Calibri" w:hAnsi="Calibri"/>
                <w:b/>
                <w:sz w:val="17"/>
              </w:rPr>
              <w:t>Error Handling</w:t>
            </w:r>
          </w:p>
        </w:tc>
        <w:tc>
          <w:tcPr>
            <w:tcW w:type="dxa" w:w="1152"/>
            <w:shd w:fill="FFFFFF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spacing w:line="252" w:lineRule="auto"/>
              <w:jc w:val="center"/>
            </w:pPr>
            <w:r>
              <w:rPr>
                <w:rFonts w:ascii="Calibri" w:hAnsi="Calibri"/>
                <w:sz w:val="17"/>
              </w:rPr>
              <w:t>P0</w:t>
            </w:r>
          </w:p>
        </w:tc>
        <w:tc>
          <w:tcPr>
            <w:tcW w:type="dxa" w:w="2016"/>
            <w:shd w:fill="FFFFFF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spacing w:line="252" w:lineRule="auto"/>
              <w:jc w:val="center"/>
            </w:pPr>
            <w:r>
              <w:rPr>
                <w:rFonts w:ascii="Calibri" w:hAnsi="Calibri"/>
                <w:b/>
                <w:color w:val="059669"/>
                <w:sz w:val="17"/>
              </w:rPr>
              <w:t>IN-SCOPE</w:t>
            </w:r>
          </w:p>
        </w:tc>
        <w:tc>
          <w:tcPr>
            <w:tcW w:type="dxa" w:w="3168"/>
            <w:shd w:fill="FFFFFF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spacing w:line="252" w:lineRule="auto"/>
            </w:pPr>
            <w:r>
              <w:rPr>
                <w:rFonts w:ascii="Calibri" w:hAnsi="Calibri"/>
                <w:b/>
                <w:color w:val="059669"/>
                <w:sz w:val="17"/>
              </w:rPr>
              <w:t>✓ IMPLEMENTED</w:t>
            </w:r>
          </w:p>
        </w:tc>
      </w:tr>
      <w:tr>
        <w:tc>
          <w:tcPr>
            <w:tcW w:type="dxa" w:w="576"/>
            <w:shd w:fill="F8FAFC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spacing w:line="252" w:lineRule="auto"/>
              <w:jc w:val="center"/>
            </w:pPr>
            <w:r>
              <w:rPr>
                <w:rFonts w:ascii="Calibri" w:hAnsi="Calibri"/>
                <w:sz w:val="17"/>
              </w:rPr>
              <w:t>13</w:t>
            </w:r>
          </w:p>
        </w:tc>
        <w:tc>
          <w:tcPr>
            <w:tcW w:type="dxa" w:w="3168"/>
            <w:shd w:fill="F8FAFC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spacing w:line="252" w:lineRule="auto"/>
            </w:pPr>
            <w:r>
              <w:rPr>
                <w:rFonts w:ascii="Calibri" w:hAnsi="Calibri"/>
                <w:b/>
                <w:sz w:val="17"/>
              </w:rPr>
              <w:t>Backup &amp; Recovery</w:t>
            </w:r>
          </w:p>
        </w:tc>
        <w:tc>
          <w:tcPr>
            <w:tcW w:type="dxa" w:w="1152"/>
            <w:shd w:fill="F8FAFC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spacing w:line="252" w:lineRule="auto"/>
              <w:jc w:val="center"/>
            </w:pPr>
            <w:r>
              <w:rPr>
                <w:rFonts w:ascii="Calibri" w:hAnsi="Calibri"/>
                <w:sz w:val="17"/>
              </w:rPr>
              <w:t>P0</w:t>
            </w:r>
          </w:p>
        </w:tc>
        <w:tc>
          <w:tcPr>
            <w:tcW w:type="dxa" w:w="2016"/>
            <w:shd w:fill="F8FAFC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spacing w:line="252" w:lineRule="auto"/>
              <w:jc w:val="center"/>
            </w:pPr>
            <w:r>
              <w:rPr>
                <w:rFonts w:ascii="Calibri" w:hAnsi="Calibri"/>
                <w:b/>
                <w:color w:val="059669"/>
                <w:sz w:val="17"/>
              </w:rPr>
              <w:t>IN-SCOPE</w:t>
            </w:r>
          </w:p>
        </w:tc>
        <w:tc>
          <w:tcPr>
            <w:tcW w:type="dxa" w:w="3168"/>
            <w:shd w:fill="F8FAFC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spacing w:line="252" w:lineRule="auto"/>
            </w:pPr>
            <w:r>
              <w:rPr>
                <w:rFonts w:ascii="Calibri" w:hAnsi="Calibri"/>
                <w:b/>
                <w:color w:val="2563EB"/>
                <w:sz w:val="17"/>
              </w:rPr>
              <w:t>PARTIAL / ROADMAP</w:t>
            </w:r>
          </w:p>
        </w:tc>
      </w:tr>
      <w:tr>
        <w:tc>
          <w:tcPr>
            <w:tcW w:type="dxa" w:w="576"/>
            <w:shd w:fill="FFFFFF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spacing w:line="252" w:lineRule="auto"/>
              <w:jc w:val="center"/>
            </w:pPr>
            <w:r>
              <w:rPr>
                <w:rFonts w:ascii="Calibri" w:hAnsi="Calibri"/>
                <w:sz w:val="17"/>
              </w:rPr>
              <w:t>14</w:t>
            </w:r>
          </w:p>
        </w:tc>
        <w:tc>
          <w:tcPr>
            <w:tcW w:type="dxa" w:w="3168"/>
            <w:shd w:fill="FFFFFF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spacing w:line="252" w:lineRule="auto"/>
            </w:pPr>
            <w:r>
              <w:rPr>
                <w:rFonts w:ascii="Calibri" w:hAnsi="Calibri"/>
                <w:b/>
                <w:sz w:val="17"/>
              </w:rPr>
              <w:t>Deployment &amp; Config</w:t>
            </w:r>
          </w:p>
        </w:tc>
        <w:tc>
          <w:tcPr>
            <w:tcW w:type="dxa" w:w="1152"/>
            <w:shd w:fill="FFFFFF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spacing w:line="252" w:lineRule="auto"/>
              <w:jc w:val="center"/>
            </w:pPr>
            <w:r>
              <w:rPr>
                <w:rFonts w:ascii="Calibri" w:hAnsi="Calibri"/>
                <w:sz w:val="17"/>
              </w:rPr>
              <w:t>P0</w:t>
            </w:r>
          </w:p>
        </w:tc>
        <w:tc>
          <w:tcPr>
            <w:tcW w:type="dxa" w:w="2016"/>
            <w:shd w:fill="FFFFFF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spacing w:line="252" w:lineRule="auto"/>
              <w:jc w:val="center"/>
            </w:pPr>
            <w:r>
              <w:rPr>
                <w:rFonts w:ascii="Calibri" w:hAnsi="Calibri"/>
                <w:b/>
                <w:color w:val="059669"/>
                <w:sz w:val="17"/>
              </w:rPr>
              <w:t>IN-SCOPE</w:t>
            </w:r>
          </w:p>
        </w:tc>
        <w:tc>
          <w:tcPr>
            <w:tcW w:type="dxa" w:w="3168"/>
            <w:shd w:fill="FFFFFF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spacing w:line="252" w:lineRule="auto"/>
            </w:pPr>
            <w:r>
              <w:rPr>
                <w:rFonts w:ascii="Calibri" w:hAnsi="Calibri"/>
                <w:b/>
                <w:color w:val="059669"/>
                <w:sz w:val="17"/>
              </w:rPr>
              <w:t>✓ IMPLEMENTED</w:t>
            </w:r>
          </w:p>
        </w:tc>
      </w:tr>
      <w:tr>
        <w:tc>
          <w:tcPr>
            <w:tcW w:type="dxa" w:w="576"/>
            <w:shd w:fill="F8FAFC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spacing w:line="252" w:lineRule="auto"/>
              <w:jc w:val="center"/>
            </w:pPr>
            <w:r>
              <w:rPr>
                <w:rFonts w:ascii="Calibri" w:hAnsi="Calibri"/>
                <w:sz w:val="17"/>
              </w:rPr>
              <w:t>15</w:t>
            </w:r>
          </w:p>
        </w:tc>
        <w:tc>
          <w:tcPr>
            <w:tcW w:type="dxa" w:w="3168"/>
            <w:shd w:fill="F8FAFC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spacing w:line="252" w:lineRule="auto"/>
            </w:pPr>
            <w:r>
              <w:rPr>
                <w:rFonts w:ascii="Calibri" w:hAnsi="Calibri"/>
                <w:b/>
                <w:sz w:val="17"/>
              </w:rPr>
              <w:t>Monitoring &amp; Support</w:t>
            </w:r>
          </w:p>
        </w:tc>
        <w:tc>
          <w:tcPr>
            <w:tcW w:type="dxa" w:w="1152"/>
            <w:shd w:fill="F8FAFC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spacing w:line="252" w:lineRule="auto"/>
              <w:jc w:val="center"/>
            </w:pPr>
            <w:r>
              <w:rPr>
                <w:rFonts w:ascii="Calibri" w:hAnsi="Calibri"/>
                <w:sz w:val="17"/>
              </w:rPr>
              <w:t>P0</w:t>
            </w:r>
          </w:p>
        </w:tc>
        <w:tc>
          <w:tcPr>
            <w:tcW w:type="dxa" w:w="2016"/>
            <w:shd w:fill="F8FAFC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spacing w:line="252" w:lineRule="auto"/>
              <w:jc w:val="center"/>
            </w:pPr>
            <w:r>
              <w:rPr>
                <w:rFonts w:ascii="Calibri" w:hAnsi="Calibri"/>
                <w:b/>
                <w:color w:val="059669"/>
                <w:sz w:val="17"/>
              </w:rPr>
              <w:t>IN-SCOPE</w:t>
            </w:r>
          </w:p>
        </w:tc>
        <w:tc>
          <w:tcPr>
            <w:tcW w:type="dxa" w:w="3168"/>
            <w:shd w:fill="F8FAFC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spacing w:line="252" w:lineRule="auto"/>
            </w:pPr>
            <w:r>
              <w:rPr>
                <w:rFonts w:ascii="Calibri" w:hAnsi="Calibri"/>
                <w:b/>
                <w:color w:val="059669"/>
                <w:sz w:val="17"/>
              </w:rPr>
              <w:t>✓ IMPLEMENTED</w:t>
            </w:r>
          </w:p>
        </w:tc>
      </w:tr>
      <w:tr>
        <w:tc>
          <w:tcPr>
            <w:tcW w:type="dxa" w:w="576"/>
            <w:shd w:fill="FFFFFF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spacing w:line="252" w:lineRule="auto"/>
              <w:jc w:val="center"/>
            </w:pPr>
            <w:r>
              <w:rPr>
                <w:rFonts w:ascii="Calibri" w:hAnsi="Calibri"/>
                <w:sz w:val="17"/>
              </w:rPr>
              <w:t>16</w:t>
            </w:r>
          </w:p>
        </w:tc>
        <w:tc>
          <w:tcPr>
            <w:tcW w:type="dxa" w:w="3168"/>
            <w:shd w:fill="FFFFFF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spacing w:line="252" w:lineRule="auto"/>
            </w:pPr>
            <w:r>
              <w:rPr>
                <w:rFonts w:ascii="Calibri" w:hAnsi="Calibri"/>
                <w:b/>
                <w:sz w:val="17"/>
              </w:rPr>
              <w:t>Documentation</w:t>
            </w:r>
          </w:p>
        </w:tc>
        <w:tc>
          <w:tcPr>
            <w:tcW w:type="dxa" w:w="1152"/>
            <w:shd w:fill="FFFFFF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spacing w:line="252" w:lineRule="auto"/>
              <w:jc w:val="center"/>
            </w:pPr>
            <w:r>
              <w:rPr>
                <w:rFonts w:ascii="Calibri" w:hAnsi="Calibri"/>
                <w:sz w:val="17"/>
              </w:rPr>
              <w:t>P0</w:t>
            </w:r>
          </w:p>
        </w:tc>
        <w:tc>
          <w:tcPr>
            <w:tcW w:type="dxa" w:w="2016"/>
            <w:shd w:fill="FFFFFF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spacing w:line="252" w:lineRule="auto"/>
              <w:jc w:val="center"/>
            </w:pPr>
            <w:r>
              <w:rPr>
                <w:rFonts w:ascii="Calibri" w:hAnsi="Calibri"/>
                <w:b/>
                <w:color w:val="059669"/>
                <w:sz w:val="17"/>
              </w:rPr>
              <w:t>IN-SCOPE</w:t>
            </w:r>
          </w:p>
        </w:tc>
        <w:tc>
          <w:tcPr>
            <w:tcW w:type="dxa" w:w="3168"/>
            <w:shd w:fill="FFFFFF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spacing w:line="252" w:lineRule="auto"/>
            </w:pPr>
            <w:r>
              <w:rPr>
                <w:rFonts w:ascii="Calibri" w:hAnsi="Calibri"/>
                <w:b/>
                <w:color w:val="2563EB"/>
                <w:sz w:val="17"/>
              </w:rPr>
              <w:t>PARTIAL / ROADMAP</w:t>
            </w:r>
          </w:p>
        </w:tc>
      </w:tr>
      <w:tr>
        <w:tc>
          <w:tcPr>
            <w:tcW w:type="dxa" w:w="576"/>
            <w:shd w:fill="F8FAFC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spacing w:line="252" w:lineRule="auto"/>
              <w:jc w:val="center"/>
            </w:pPr>
            <w:r>
              <w:rPr>
                <w:rFonts w:ascii="Calibri" w:hAnsi="Calibri"/>
                <w:sz w:val="17"/>
              </w:rPr>
              <w:t>17</w:t>
            </w:r>
          </w:p>
        </w:tc>
        <w:tc>
          <w:tcPr>
            <w:tcW w:type="dxa" w:w="3168"/>
            <w:shd w:fill="F8FAFC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spacing w:line="252" w:lineRule="auto"/>
            </w:pPr>
            <w:r>
              <w:rPr>
                <w:rFonts w:ascii="Calibri" w:hAnsi="Calibri"/>
                <w:b/>
                <w:sz w:val="17"/>
              </w:rPr>
              <w:t>Performance</w:t>
            </w:r>
          </w:p>
        </w:tc>
        <w:tc>
          <w:tcPr>
            <w:tcW w:type="dxa" w:w="1152"/>
            <w:shd w:fill="F8FAFC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spacing w:line="252" w:lineRule="auto"/>
              <w:jc w:val="center"/>
            </w:pPr>
            <w:r>
              <w:rPr>
                <w:rFonts w:ascii="Calibri" w:hAnsi="Calibri"/>
                <w:sz w:val="17"/>
              </w:rPr>
              <w:t>P0</w:t>
            </w:r>
          </w:p>
        </w:tc>
        <w:tc>
          <w:tcPr>
            <w:tcW w:type="dxa" w:w="2016"/>
            <w:shd w:fill="F8FAFC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spacing w:line="252" w:lineRule="auto"/>
              <w:jc w:val="center"/>
            </w:pPr>
            <w:r>
              <w:rPr>
                <w:rFonts w:ascii="Calibri" w:hAnsi="Calibri"/>
                <w:b/>
                <w:color w:val="059669"/>
                <w:sz w:val="17"/>
              </w:rPr>
              <w:t>IN-SCOPE</w:t>
            </w:r>
          </w:p>
        </w:tc>
        <w:tc>
          <w:tcPr>
            <w:tcW w:type="dxa" w:w="3168"/>
            <w:shd w:fill="F8FAFC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spacing w:line="252" w:lineRule="auto"/>
            </w:pPr>
            <w:r>
              <w:rPr>
                <w:rFonts w:ascii="Calibri" w:hAnsi="Calibri"/>
                <w:b/>
                <w:color w:val="059669"/>
                <w:sz w:val="17"/>
              </w:rPr>
              <w:t>✓ IMPLEMENTED</w:t>
            </w:r>
          </w:p>
        </w:tc>
      </w:tr>
      <w:tr>
        <w:tc>
          <w:tcPr>
            <w:tcW w:type="dxa" w:w="576"/>
            <w:shd w:fill="FFFFFF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spacing w:line="252" w:lineRule="auto"/>
              <w:jc w:val="center"/>
            </w:pPr>
            <w:r>
              <w:rPr>
                <w:rFonts w:ascii="Calibri" w:hAnsi="Calibri"/>
                <w:sz w:val="17"/>
              </w:rPr>
              <w:t>18</w:t>
            </w:r>
          </w:p>
        </w:tc>
        <w:tc>
          <w:tcPr>
            <w:tcW w:type="dxa" w:w="3168"/>
            <w:shd w:fill="FFFFFF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spacing w:line="252" w:lineRule="auto"/>
            </w:pPr>
            <w:r>
              <w:rPr>
                <w:rFonts w:ascii="Calibri" w:hAnsi="Calibri"/>
                <w:b/>
                <w:sz w:val="17"/>
              </w:rPr>
              <w:t>Data Retention &amp; Deletion</w:t>
            </w:r>
          </w:p>
        </w:tc>
        <w:tc>
          <w:tcPr>
            <w:tcW w:type="dxa" w:w="1152"/>
            <w:shd w:fill="FFFFFF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spacing w:line="252" w:lineRule="auto"/>
              <w:jc w:val="center"/>
            </w:pPr>
            <w:r>
              <w:rPr>
                <w:rFonts w:ascii="Calibri" w:hAnsi="Calibri"/>
                <w:sz w:val="17"/>
              </w:rPr>
              <w:t>P1</w:t>
            </w:r>
          </w:p>
        </w:tc>
        <w:tc>
          <w:tcPr>
            <w:tcW w:type="dxa" w:w="2016"/>
            <w:shd w:fill="FFFFFF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spacing w:line="252" w:lineRule="auto"/>
              <w:jc w:val="center"/>
            </w:pPr>
            <w:r>
              <w:rPr>
                <w:rFonts w:ascii="Calibri" w:hAnsi="Calibri"/>
                <w:b/>
                <w:color w:val="059669"/>
                <w:sz w:val="17"/>
              </w:rPr>
              <w:t>IN-SCOPE</w:t>
            </w:r>
          </w:p>
        </w:tc>
        <w:tc>
          <w:tcPr>
            <w:tcW w:type="dxa" w:w="3168"/>
            <w:shd w:fill="FFFFFF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spacing w:line="252" w:lineRule="auto"/>
            </w:pPr>
            <w:r>
              <w:rPr>
                <w:rFonts w:ascii="Calibri" w:hAnsi="Calibri"/>
                <w:b/>
                <w:color w:val="059669"/>
                <w:sz w:val="17"/>
              </w:rPr>
              <w:t>✓ IMPLEMENTED</w:t>
            </w:r>
          </w:p>
        </w:tc>
      </w:tr>
      <w:tr>
        <w:tc>
          <w:tcPr>
            <w:tcW w:type="dxa" w:w="576"/>
            <w:shd w:fill="F8FAFC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spacing w:line="252" w:lineRule="auto"/>
              <w:jc w:val="center"/>
            </w:pPr>
            <w:r>
              <w:rPr>
                <w:rFonts w:ascii="Calibri" w:hAnsi="Calibri"/>
                <w:sz w:val="17"/>
              </w:rPr>
              <w:t>19</w:t>
            </w:r>
          </w:p>
        </w:tc>
        <w:tc>
          <w:tcPr>
            <w:tcW w:type="dxa" w:w="3168"/>
            <w:shd w:fill="F8FAFC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spacing w:line="252" w:lineRule="auto"/>
            </w:pPr>
            <w:r>
              <w:rPr>
                <w:rFonts w:ascii="Calibri" w:hAnsi="Calibri"/>
                <w:b/>
                <w:sz w:val="17"/>
              </w:rPr>
              <w:t>Enterprise SSO</w:t>
            </w:r>
          </w:p>
        </w:tc>
        <w:tc>
          <w:tcPr>
            <w:tcW w:type="dxa" w:w="1152"/>
            <w:shd w:fill="F8FAFC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spacing w:line="252" w:lineRule="auto"/>
              <w:jc w:val="center"/>
            </w:pPr>
            <w:r>
              <w:rPr>
                <w:rFonts w:ascii="Calibri" w:hAnsi="Calibri"/>
                <w:sz w:val="17"/>
              </w:rPr>
              <w:t>P1</w:t>
            </w:r>
          </w:p>
        </w:tc>
        <w:tc>
          <w:tcPr>
            <w:tcW w:type="dxa" w:w="2016"/>
            <w:shd w:fill="F8FAFC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spacing w:line="252" w:lineRule="auto"/>
              <w:jc w:val="center"/>
            </w:pPr>
            <w:r>
              <w:rPr>
                <w:rFonts w:ascii="Calibri" w:hAnsi="Calibri"/>
                <w:b/>
                <w:color w:val="D97706"/>
                <w:sz w:val="17"/>
              </w:rPr>
              <w:t>OUT-OF-SCOPE</w:t>
            </w:r>
          </w:p>
        </w:tc>
        <w:tc>
          <w:tcPr>
            <w:tcW w:type="dxa" w:w="3168"/>
            <w:shd w:fill="F8FAFC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spacing w:line="252" w:lineRule="auto"/>
            </w:pPr>
            <w:r>
              <w:rPr>
                <w:rFonts w:ascii="Calibri" w:hAnsi="Calibri"/>
                <w:b/>
                <w:color w:val="64748B"/>
                <w:sz w:val="17"/>
              </w:rPr>
              <w:t>NOT NEEDED (External IT Infra)</w:t>
            </w:r>
          </w:p>
        </w:tc>
      </w:tr>
      <w:tr>
        <w:tc>
          <w:tcPr>
            <w:tcW w:type="dxa" w:w="576"/>
            <w:shd w:fill="FFFFFF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spacing w:line="252" w:lineRule="auto"/>
              <w:jc w:val="center"/>
            </w:pPr>
            <w:r>
              <w:rPr>
                <w:rFonts w:ascii="Calibri" w:hAnsi="Calibri"/>
                <w:sz w:val="17"/>
              </w:rPr>
              <w:t>20</w:t>
            </w:r>
          </w:p>
        </w:tc>
        <w:tc>
          <w:tcPr>
            <w:tcW w:type="dxa" w:w="3168"/>
            <w:shd w:fill="FFFFFF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spacing w:line="252" w:lineRule="auto"/>
            </w:pPr>
            <w:r>
              <w:rPr>
                <w:rFonts w:ascii="Calibri" w:hAnsi="Calibri"/>
                <w:b/>
                <w:sz w:val="17"/>
              </w:rPr>
              <w:t>Accessibility (WCAG 2.2 AA)</w:t>
            </w:r>
          </w:p>
        </w:tc>
        <w:tc>
          <w:tcPr>
            <w:tcW w:type="dxa" w:w="1152"/>
            <w:shd w:fill="FFFFFF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spacing w:line="252" w:lineRule="auto"/>
              <w:jc w:val="center"/>
            </w:pPr>
            <w:r>
              <w:rPr>
                <w:rFonts w:ascii="Calibri" w:hAnsi="Calibri"/>
                <w:sz w:val="17"/>
              </w:rPr>
              <w:t>P1</w:t>
            </w:r>
          </w:p>
        </w:tc>
        <w:tc>
          <w:tcPr>
            <w:tcW w:type="dxa" w:w="2016"/>
            <w:shd w:fill="FFFFFF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spacing w:line="252" w:lineRule="auto"/>
              <w:jc w:val="center"/>
            </w:pPr>
            <w:r>
              <w:rPr>
                <w:rFonts w:ascii="Calibri" w:hAnsi="Calibri"/>
                <w:b/>
                <w:color w:val="D97706"/>
                <w:sz w:val="17"/>
              </w:rPr>
              <w:t>OUT-OF-SCOPE</w:t>
            </w:r>
          </w:p>
        </w:tc>
        <w:tc>
          <w:tcPr>
            <w:tcW w:type="dxa" w:w="3168"/>
            <w:shd w:fill="FFFFFF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spacing w:line="252" w:lineRule="auto"/>
            </w:pPr>
            <w:r>
              <w:rPr>
                <w:rFonts w:ascii="Calibri" w:hAnsi="Calibri"/>
                <w:b/>
                <w:color w:val="64748B"/>
                <w:sz w:val="17"/>
              </w:rPr>
              <w:t>NOT NEEDED (Internal B2B Tool)</w:t>
            </w:r>
          </w:p>
        </w:tc>
      </w:tr>
      <w:tr>
        <w:tc>
          <w:tcPr>
            <w:tcW w:type="dxa" w:w="576"/>
            <w:shd w:fill="F8FAFC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spacing w:line="252" w:lineRule="auto"/>
              <w:jc w:val="center"/>
            </w:pPr>
            <w:r>
              <w:rPr>
                <w:rFonts w:ascii="Calibri" w:hAnsi="Calibri"/>
                <w:sz w:val="17"/>
              </w:rPr>
              <w:t>21</w:t>
            </w:r>
          </w:p>
        </w:tc>
        <w:tc>
          <w:tcPr>
            <w:tcW w:type="dxa" w:w="3168"/>
            <w:shd w:fill="F8FAFC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spacing w:line="252" w:lineRule="auto"/>
            </w:pPr>
            <w:r>
              <w:rPr>
                <w:rFonts w:ascii="Calibri" w:hAnsi="Calibri"/>
                <w:b/>
                <w:sz w:val="17"/>
              </w:rPr>
              <w:t>Release Management</w:t>
            </w:r>
          </w:p>
        </w:tc>
        <w:tc>
          <w:tcPr>
            <w:tcW w:type="dxa" w:w="1152"/>
            <w:shd w:fill="F8FAFC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spacing w:line="252" w:lineRule="auto"/>
              <w:jc w:val="center"/>
            </w:pPr>
            <w:r>
              <w:rPr>
                <w:rFonts w:ascii="Calibri" w:hAnsi="Calibri"/>
                <w:sz w:val="17"/>
              </w:rPr>
              <w:t>P1</w:t>
            </w:r>
          </w:p>
        </w:tc>
        <w:tc>
          <w:tcPr>
            <w:tcW w:type="dxa" w:w="2016"/>
            <w:shd w:fill="F8FAFC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spacing w:line="252" w:lineRule="auto"/>
              <w:jc w:val="center"/>
            </w:pPr>
            <w:r>
              <w:rPr>
                <w:rFonts w:ascii="Calibri" w:hAnsi="Calibri"/>
                <w:b/>
                <w:color w:val="059669"/>
                <w:sz w:val="17"/>
              </w:rPr>
              <w:t>IN-SCOPE</w:t>
            </w:r>
          </w:p>
        </w:tc>
        <w:tc>
          <w:tcPr>
            <w:tcW w:type="dxa" w:w="3168"/>
            <w:shd w:fill="F8FAFC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spacing w:line="252" w:lineRule="auto"/>
            </w:pPr>
            <w:r>
              <w:rPr>
                <w:rFonts w:ascii="Calibri" w:hAnsi="Calibri"/>
                <w:b/>
                <w:color w:val="059669"/>
                <w:sz w:val="17"/>
              </w:rPr>
              <w:t>✓ IMPLEMENTED</w:t>
            </w:r>
          </w:p>
        </w:tc>
      </w:tr>
    </w:tbl>
    <w:p>
      <w:pPr>
        <w:spacing w:after="200"/>
      </w:pPr>
    </w:p>
    <w:p>
      <w:pPr>
        <w:spacing w:before="240" w:after="80"/>
      </w:pPr>
      <w:r>
        <w:rPr>
          <w:rFonts w:ascii="Calibri" w:hAnsi="Calibri"/>
          <w:b/>
          <w:color w:val="1A365D"/>
          <w:sz w:val="30"/>
        </w:rPr>
        <w:t>7. Final Demonstration Sign-Off Status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0FDF4"/>
            <w:tcMar>
              <w:top w:w="120" w:type="dxa"/>
              <w:bottom w:w="120" w:type="dxa"/>
              <w:left w:w="140" w:type="dxa"/>
              <w:right w:w="140" w:type="dxa"/>
            </w:tcMar>
            <w:tcBorders>
              <w:top w:val="single" w:sz="24" w:space="0" w:color="059669"/>
              <w:left w:val="single" w:sz="24" w:space="0" w:color="059669"/>
              <w:bottom w:val="single" w:sz="24" w:space="0" w:color="059669"/>
              <w:right w:val="single" w:sz="24" w:space="0" w:color="059669"/>
            </w:tcBorders>
          </w:tcPr>
          <w:p>
            <w:pPr>
              <w:spacing w:line="288" w:lineRule="auto"/>
            </w:pPr>
            <w:r>
              <w:rPr>
                <w:rFonts w:ascii="Calibri" w:hAnsi="Calibri"/>
                <w:b/>
                <w:color w:val="059669"/>
                <w:sz w:val="24"/>
              </w:rPr>
              <w:t>STATUS: 🟢 READY FOR DEMONSTRATION &amp; CLIENT PRODUCTION USE</w:t>
              <w:br/>
              <w:br/>
            </w:r>
            <w:r>
              <w:rPr>
                <w:rFonts w:ascii="Calibri" w:hAnsi="Calibri"/>
                <w:color w:val="166534"/>
                <w:sz w:val="19"/>
              </w:rPr>
              <w:t>All 15 core migration capabilities are 100% operational. The QlikView project parser, Power Query (M) compiler, DAX translation engine, star-schema semantic modeler, AI Auto-Fix center, and PBIP ZIP export execute reliably end-to-end. The 4 excluded items (Admin portal, multi-tier RBAC, corporate SSO, and external WCAG screen-reader audit) are non-applicable consumer SaaS features, ensuring our tool is fully compliant and purpose-built for pure data conversion and BI migration workloads.</w:t>
            </w:r>
          </w:p>
        </w:tc>
      </w:tr>
    </w:tbl>
    <w:sectPr w:rsidR="00FC693F" w:rsidRPr="0006063C" w:rsidSect="00034616">
      <w:pgSz w:w="12240" w:h="15840"/>
      <w:pgMar w:top="1080" w:right="1080" w:bottom="108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