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color w:val="0F172A"/>
          <w:sz w:val="44"/>
        </w:rPr>
        <w:t>Enterprise Readiness &amp; Essential Requirements Audit Report</w:t>
      </w:r>
    </w:p>
    <w:p>
      <w:pPr>
        <w:spacing w:after="240"/>
      </w:pPr>
      <w:r>
        <w:rPr>
          <w:rFonts w:ascii="Calibri" w:hAnsi="Calibri"/>
          <w:b/>
          <w:color w:val="0D9488"/>
          <w:sz w:val="24"/>
        </w:rPr>
        <w:t>Comprehensive Gap Analysis &amp; Implementation Evaluation for Qlik-to-Power BI Migration Platform</w:t>
      </w:r>
    </w:p>
    <w:p>
      <w:pPr>
        <w:spacing w:after="320"/>
      </w:pPr>
      <w:r>
        <w:rPr>
          <w:rFonts w:ascii="Calibri" w:hAnsi="Calibri"/>
          <w:b/>
          <w:color w:val="64748B"/>
          <w:sz w:val="19"/>
        </w:rPr>
        <w:t xml:space="preserve">Application: </w:t>
      </w:r>
      <w:r>
        <w:rPr>
          <w:rFonts w:ascii="Calibri" w:hAnsi="Calibri"/>
          <w:b w:val="0"/>
          <w:color w:val="64748B"/>
          <w:sz w:val="19"/>
        </w:rPr>
        <w:t xml:space="preserve">VTAB Square — Qlik to Power BI Migration (qliktopowerbi_balasir)  |  </w:t>
      </w:r>
      <w:r>
        <w:rPr>
          <w:rFonts w:ascii="Calibri" w:hAnsi="Calibri"/>
          <w:b/>
          <w:color w:val="64748B"/>
          <w:sz w:val="19"/>
        </w:rPr>
        <w:t xml:space="preserve">Evaluation Date: </w:t>
      </w:r>
      <w:r>
        <w:rPr>
          <w:rFonts w:ascii="Calibri" w:hAnsi="Calibri"/>
          <w:b w:val="0"/>
          <w:color w:val="64748B"/>
          <w:sz w:val="19"/>
        </w:rPr>
        <w:t xml:space="preserve">September 2026  |  </w:t>
      </w:r>
      <w:r>
        <w:rPr>
          <w:rFonts w:ascii="Calibri" w:hAnsi="Calibri"/>
          <w:b/>
          <w:color w:val="64748B"/>
          <w:sz w:val="19"/>
        </w:rPr>
        <w:t xml:space="preserve">Assessment Scope: </w:t>
      </w:r>
      <w:r>
        <w:rPr>
          <w:rFonts w:ascii="Calibri" w:hAnsi="Calibri"/>
          <w:b w:val="0"/>
          <w:color w:val="64748B"/>
          <w:sz w:val="19"/>
        </w:rPr>
        <w:t>Full-stack (UI, TanStack Router, Zustand Store, Server APIs, Supabase Auth, Compiler Engine)</w:t>
      </w:r>
    </w:p>
    <w:p>
      <w:pPr>
        <w:pStyle w:val="Heading1"/>
      </w:pPr>
      <w:r>
        <w:t>1. Executive Summary</w:t>
      </w:r>
    </w:p>
    <w:p>
      <w:pPr>
        <w:spacing w:line="276" w:lineRule="auto" w:after="160"/>
      </w:pPr>
      <w:r>
        <w:t>An exhaustive technical audit of the 21 Essential Requirements was performed against the current codebase. Every single requirement was evaluated for its intended business outcome, technical validation criteria, live codebase presence (frontend UI, client store, backend APIs, and database schemas), security posture, and production readiness.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E293B"/>
            <w:tcMar>
              <w:top w:w="80" w:type="dxa"/>
              <w:bottom w:w="80" w:type="dxa"/>
              <w:left w:w="100" w:type="dxa"/>
              <w:right w:w="100" w:type="dxa"/>
            </w:tcMar>
          </w:tcPr>
          <w:p>
            <w:pPr>
              <w:jc w:val="center"/>
            </w:pPr>
            <w:r>
              <w:rPr>
                <w:rFonts w:ascii="Calibri" w:hAnsi="Calibri"/>
                <w:b/>
                <w:color w:val="FFFFFF"/>
                <w:sz w:val="19"/>
              </w:rPr>
              <w:t>Metric Category</w:t>
            </w:r>
          </w:p>
        </w:tc>
        <w:tc>
          <w:tcPr>
            <w:tcW w:type="dxa" w:w="2304"/>
            <w:shd w:fill="1E293B"/>
            <w:tcMar>
              <w:top w:w="80" w:type="dxa"/>
              <w:bottom w:w="80" w:type="dxa"/>
              <w:left w:w="100" w:type="dxa"/>
              <w:right w:w="100" w:type="dxa"/>
            </w:tcMar>
          </w:tcPr>
          <w:p>
            <w:pPr>
              <w:jc w:val="center"/>
            </w:pPr>
            <w:r>
              <w:rPr>
                <w:rFonts w:ascii="Calibri" w:hAnsi="Calibri"/>
                <w:b/>
                <w:color w:val="FFFFFF"/>
                <w:sz w:val="19"/>
              </w:rPr>
              <w:t>Fully Implemented (✅)</w:t>
            </w:r>
          </w:p>
        </w:tc>
        <w:tc>
          <w:tcPr>
            <w:tcW w:type="dxa" w:w="2304"/>
            <w:shd w:fill="1E293B"/>
            <w:tcMar>
              <w:top w:w="80" w:type="dxa"/>
              <w:bottom w:w="80" w:type="dxa"/>
              <w:left w:w="100" w:type="dxa"/>
              <w:right w:w="100" w:type="dxa"/>
            </w:tcMar>
          </w:tcPr>
          <w:p>
            <w:pPr>
              <w:jc w:val="center"/>
            </w:pPr>
            <w:r>
              <w:rPr>
                <w:rFonts w:ascii="Calibri" w:hAnsi="Calibri"/>
                <w:b/>
                <w:color w:val="FFFFFF"/>
                <w:sz w:val="19"/>
              </w:rPr>
              <w:t>Partially Implemented (⚠️)</w:t>
            </w:r>
          </w:p>
        </w:tc>
        <w:tc>
          <w:tcPr>
            <w:tcW w:type="dxa" w:w="2448"/>
            <w:shd w:fill="1E293B"/>
            <w:tcMar>
              <w:top w:w="80" w:type="dxa"/>
              <w:bottom w:w="80" w:type="dxa"/>
              <w:left w:w="100" w:type="dxa"/>
              <w:right w:w="100" w:type="dxa"/>
            </w:tcMar>
          </w:tcPr>
          <w:p>
            <w:pPr>
              <w:jc w:val="center"/>
            </w:pPr>
            <w:r>
              <w:rPr>
                <w:rFonts w:ascii="Calibri" w:hAnsi="Calibri"/>
                <w:b/>
                <w:color w:val="FFFFFF"/>
                <w:sz w:val="19"/>
              </w:rPr>
              <w:t>Not Implemented (❌)</w:t>
            </w:r>
          </w:p>
        </w:tc>
      </w:tr>
      <w:tr>
        <w:tc>
          <w:tcPr>
            <w:tcW w:type="dxa" w:w="2304"/>
            <w:shd w:fill="F8FAFC"/>
            <w:tcMar>
              <w:top w:w="100" w:type="dxa"/>
              <w:bottom w:w="100" w:type="dxa"/>
              <w:left w:w="100" w:type="dxa"/>
              <w:right w:w="100" w:type="dxa"/>
            </w:tcMar>
          </w:tcPr>
          <w:p>
            <w:pPr>
              <w:jc w:val="center"/>
            </w:pPr>
            <w:r>
              <w:rPr>
                <w:rFonts w:ascii="Calibri" w:hAnsi="Calibri"/>
                <w:b/>
                <w:color w:val="0F172A"/>
                <w:sz w:val="22"/>
              </w:rPr>
              <w:t>Requirement Count</w:t>
            </w:r>
          </w:p>
        </w:tc>
        <w:tc>
          <w:tcPr>
            <w:tcW w:type="dxa" w:w="2304"/>
            <w:shd w:fill="ECFDF5"/>
            <w:tcMar>
              <w:top w:w="100" w:type="dxa"/>
              <w:bottom w:w="100" w:type="dxa"/>
              <w:left w:w="100" w:type="dxa"/>
              <w:right w:w="100" w:type="dxa"/>
            </w:tcMar>
          </w:tcPr>
          <w:p>
            <w:pPr>
              <w:jc w:val="center"/>
            </w:pPr>
            <w:r>
              <w:rPr>
                <w:rFonts w:ascii="Calibri" w:hAnsi="Calibri"/>
                <w:b/>
                <w:color w:val="059669"/>
                <w:sz w:val="22"/>
              </w:rPr>
              <w:t>11 of 21</w:t>
            </w:r>
          </w:p>
        </w:tc>
        <w:tc>
          <w:tcPr>
            <w:tcW w:type="dxa" w:w="2304"/>
            <w:shd w:fill="FFFBEB"/>
            <w:tcMar>
              <w:top w:w="100" w:type="dxa"/>
              <w:bottom w:w="100" w:type="dxa"/>
              <w:left w:w="100" w:type="dxa"/>
              <w:right w:w="100" w:type="dxa"/>
            </w:tcMar>
          </w:tcPr>
          <w:p>
            <w:pPr>
              <w:jc w:val="center"/>
            </w:pPr>
            <w:r>
              <w:rPr>
                <w:rFonts w:ascii="Calibri" w:hAnsi="Calibri"/>
                <w:b/>
                <w:color w:val="D97706"/>
                <w:sz w:val="22"/>
              </w:rPr>
              <w:t>8 of 21</w:t>
            </w:r>
          </w:p>
        </w:tc>
        <w:tc>
          <w:tcPr>
            <w:tcW w:type="dxa" w:w="2448"/>
            <w:shd w:fill="FEF2F2"/>
            <w:tcMar>
              <w:top w:w="100" w:type="dxa"/>
              <w:bottom w:w="100" w:type="dxa"/>
              <w:left w:w="100" w:type="dxa"/>
              <w:right w:w="100" w:type="dxa"/>
            </w:tcMar>
          </w:tcPr>
          <w:p>
            <w:pPr>
              <w:jc w:val="center"/>
            </w:pPr>
            <w:r>
              <w:rPr>
                <w:rFonts w:ascii="Calibri" w:hAnsi="Calibri"/>
                <w:b/>
                <w:color w:val="DC2626"/>
                <w:sz w:val="22"/>
              </w:rPr>
              <w:t>2 of 21</w:t>
            </w:r>
          </w:p>
        </w:tc>
      </w:tr>
      <w:tr>
        <w:tc>
          <w:tcPr>
            <w:tcW w:type="dxa" w:w="2304"/>
            <w:shd w:fill="F8FAFC"/>
            <w:tcMar>
              <w:top w:w="80" w:type="dxa"/>
              <w:bottom w:w="80" w:type="dxa"/>
              <w:left w:w="100" w:type="dxa"/>
              <w:right w:w="100" w:type="dxa"/>
            </w:tcMar>
          </w:tcPr>
          <w:p>
            <w:pPr>
              <w:jc w:val="center"/>
            </w:pPr>
            <w:r>
              <w:rPr>
                <w:rFonts w:ascii="Calibri" w:hAnsi="Calibri"/>
                <w:b/>
                <w:color w:val="0F172A"/>
                <w:sz w:val="20"/>
              </w:rPr>
              <w:t>Percentage</w:t>
            </w:r>
          </w:p>
        </w:tc>
        <w:tc>
          <w:tcPr>
            <w:tcW w:type="dxa" w:w="2304"/>
            <w:shd w:fill="ECFDF5"/>
            <w:tcMar>
              <w:top w:w="80" w:type="dxa"/>
              <w:bottom w:w="80" w:type="dxa"/>
              <w:left w:w="100" w:type="dxa"/>
              <w:right w:w="100" w:type="dxa"/>
            </w:tcMar>
          </w:tcPr>
          <w:p>
            <w:pPr>
              <w:jc w:val="center"/>
            </w:pPr>
            <w:r>
              <w:rPr>
                <w:rFonts w:ascii="Calibri" w:hAnsi="Calibri"/>
                <w:b/>
                <w:color w:val="059669"/>
                <w:sz w:val="20"/>
              </w:rPr>
              <w:t>52.4%</w:t>
            </w:r>
          </w:p>
        </w:tc>
        <w:tc>
          <w:tcPr>
            <w:tcW w:type="dxa" w:w="2304"/>
            <w:shd w:fill="FFFBEB"/>
            <w:tcMar>
              <w:top w:w="80" w:type="dxa"/>
              <w:bottom w:w="80" w:type="dxa"/>
              <w:left w:w="100" w:type="dxa"/>
              <w:right w:w="100" w:type="dxa"/>
            </w:tcMar>
          </w:tcPr>
          <w:p>
            <w:pPr>
              <w:jc w:val="center"/>
            </w:pPr>
            <w:r>
              <w:rPr>
                <w:rFonts w:ascii="Calibri" w:hAnsi="Calibri"/>
                <w:b/>
                <w:color w:val="D97706"/>
                <w:sz w:val="20"/>
              </w:rPr>
              <w:t>38.1%</w:t>
            </w:r>
          </w:p>
        </w:tc>
        <w:tc>
          <w:tcPr>
            <w:tcW w:type="dxa" w:w="2448"/>
            <w:shd w:fill="FEF2F2"/>
            <w:tcMar>
              <w:top w:w="80" w:type="dxa"/>
              <w:bottom w:w="80" w:type="dxa"/>
              <w:left w:w="100" w:type="dxa"/>
              <w:right w:w="100" w:type="dxa"/>
            </w:tcMar>
          </w:tcPr>
          <w:p>
            <w:pPr>
              <w:jc w:val="center"/>
            </w:pPr>
            <w:r>
              <w:rPr>
                <w:rFonts w:ascii="Calibri" w:hAnsi="Calibri"/>
                <w:b/>
                <w:color w:val="DC2626"/>
                <w:sz w:val="20"/>
              </w:rPr>
              <w:t>9.5%</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936"/>
            <w:shd w:fill="F0FDFA"/>
            <w:tcMar>
              <w:top w:w="120" w:type="dxa"/>
              <w:bottom w:w="120" w:type="dxa"/>
              <w:left w:w="180" w:type="dxa"/>
              <w:right w:w="180" w:type="dxa"/>
            </w:tcMar>
            <w:tcBorders>
              <w:top w:val="none"/>
              <w:left w:val="single" w:sz="36" w:space="0" w:color="0D9488"/>
              <w:bottom w:val="none"/>
              <w:right w:val="none"/>
            </w:tcBorders>
          </w:tcPr>
          <w:p>
            <w:pPr>
              <w:spacing w:before="40" w:after="40" w:line="276" w:lineRule="auto"/>
            </w:pPr>
            <w:r>
              <w:rPr>
                <w:rFonts w:ascii="Calibri" w:hAnsi="Calibri"/>
                <w:b/>
                <w:color w:val="0F172A"/>
                <w:sz w:val="21"/>
              </w:rPr>
              <w:t>Key Executive Finding</w:t>
              <w:br/>
            </w:r>
            <w:r>
              <w:rPr>
                <w:rFonts w:ascii="Calibri" w:hAnsi="Calibri"/>
                <w:color w:val="334155"/>
                <w:sz w:val="19"/>
              </w:rPr>
              <w:t>High-Level Audit Conclusion: The core compiler engine, Qlik script reconstruction, Power Query (M) generation, DAX translation, automated model validation, UI/UX architecture, client-side data safety, and foundational authentication are enterprise-grade and robust. The primary gaps lie in multi-tenant server-side database persistence, role-based access control (RBAC), and an administrative user management portal, which is typical when transitioning a client-first developer tool into a managed multi-tenant enterprise SaaS platform.</w:t>
            </w:r>
          </w:p>
        </w:tc>
      </w:tr>
    </w:tbl>
    <w:p>
      <w:pPr>
        <w:spacing w:after="80"/>
      </w:pPr>
    </w:p>
    <w:p>
      <w:pPr>
        <w:pStyle w:val="Heading1"/>
      </w:pPr>
      <w:r>
        <w:t>2. Master Compliance &amp; Gap Analysis Matrix</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504"/>
            <w:shd w:fill="0F172A"/>
            <w:tcMar>
              <w:top w:w="70" w:type="dxa"/>
              <w:bottom w:w="70" w:type="dxa"/>
              <w:left w:w="60" w:type="dxa"/>
              <w:right w:w="60" w:type="dxa"/>
            </w:tcMar>
          </w:tcPr>
          <w:p>
            <w:pPr>
              <w:jc w:val="center"/>
            </w:pPr>
            <w:r>
              <w:rPr>
                <w:rFonts w:ascii="Calibri" w:hAnsi="Calibri"/>
                <w:b/>
                <w:color w:val="FFFFFF"/>
                <w:sz w:val="17"/>
              </w:rPr>
              <w:t>#</w:t>
            </w:r>
          </w:p>
        </w:tc>
        <w:tc>
          <w:tcPr>
            <w:tcW w:type="dxa" w:w="1584"/>
            <w:shd w:fill="0F172A"/>
            <w:tcMar>
              <w:top w:w="70" w:type="dxa"/>
              <w:bottom w:w="70" w:type="dxa"/>
              <w:left w:w="60" w:type="dxa"/>
              <w:right w:w="60" w:type="dxa"/>
            </w:tcMar>
          </w:tcPr>
          <w:p>
            <w:pPr>
              <w:jc w:val="center"/>
            </w:pPr>
            <w:r>
              <w:rPr>
                <w:rFonts w:ascii="Calibri" w:hAnsi="Calibri"/>
                <w:b/>
                <w:color w:val="FFFFFF"/>
                <w:sz w:val="17"/>
              </w:rPr>
              <w:t>Area</w:t>
            </w:r>
          </w:p>
        </w:tc>
        <w:tc>
          <w:tcPr>
            <w:tcW w:type="dxa" w:w="648"/>
            <w:shd w:fill="0F172A"/>
            <w:tcMar>
              <w:top w:w="70" w:type="dxa"/>
              <w:bottom w:w="70" w:type="dxa"/>
              <w:left w:w="60" w:type="dxa"/>
              <w:right w:w="60" w:type="dxa"/>
            </w:tcMar>
          </w:tcPr>
          <w:p>
            <w:pPr>
              <w:jc w:val="center"/>
            </w:pPr>
            <w:r>
              <w:rPr>
                <w:rFonts w:ascii="Calibri" w:hAnsi="Calibri"/>
                <w:b/>
                <w:color w:val="FFFFFF"/>
                <w:sz w:val="17"/>
              </w:rPr>
              <w:t>Pri</w:t>
            </w:r>
          </w:p>
        </w:tc>
        <w:tc>
          <w:tcPr>
            <w:tcW w:type="dxa" w:w="1872"/>
            <w:shd w:fill="0F172A"/>
            <w:tcMar>
              <w:top w:w="70" w:type="dxa"/>
              <w:bottom w:w="70" w:type="dxa"/>
              <w:left w:w="60" w:type="dxa"/>
              <w:right w:w="60" w:type="dxa"/>
            </w:tcMar>
          </w:tcPr>
          <w:p>
            <w:pPr>
              <w:jc w:val="center"/>
            </w:pPr>
            <w:r>
              <w:rPr>
                <w:rFonts w:ascii="Calibri" w:hAnsi="Calibri"/>
                <w:b/>
                <w:color w:val="FFFFFF"/>
                <w:sz w:val="17"/>
              </w:rPr>
              <w:t>Essential Requirement</w:t>
            </w:r>
          </w:p>
        </w:tc>
        <w:tc>
          <w:tcPr>
            <w:tcW w:type="dxa" w:w="1584"/>
            <w:shd w:fill="0F172A"/>
            <w:tcMar>
              <w:top w:w="70" w:type="dxa"/>
              <w:bottom w:w="70" w:type="dxa"/>
              <w:left w:w="60" w:type="dxa"/>
              <w:right w:w="60" w:type="dxa"/>
            </w:tcMar>
          </w:tcPr>
          <w:p>
            <w:pPr>
              <w:jc w:val="center"/>
            </w:pPr>
            <w:r>
              <w:rPr>
                <w:rFonts w:ascii="Calibri" w:hAnsi="Calibri"/>
                <w:b/>
                <w:color w:val="FFFFFF"/>
                <w:sz w:val="17"/>
              </w:rPr>
              <w:t>Validation Method</w:t>
            </w:r>
          </w:p>
        </w:tc>
        <w:tc>
          <w:tcPr>
            <w:tcW w:type="dxa" w:w="1296"/>
            <w:shd w:fill="0F172A"/>
            <w:tcMar>
              <w:top w:w="70" w:type="dxa"/>
              <w:bottom w:w="70" w:type="dxa"/>
              <w:left w:w="60" w:type="dxa"/>
              <w:right w:w="60" w:type="dxa"/>
            </w:tcMar>
          </w:tcPr>
          <w:p>
            <w:pPr>
              <w:jc w:val="center"/>
            </w:pPr>
            <w:r>
              <w:rPr>
                <w:rFonts w:ascii="Calibri" w:hAnsi="Calibri"/>
                <w:b/>
                <w:color w:val="FFFFFF"/>
                <w:sz w:val="17"/>
              </w:rPr>
              <w:t>Status</w:t>
            </w:r>
          </w:p>
        </w:tc>
        <w:tc>
          <w:tcPr>
            <w:tcW w:type="dxa" w:w="1872"/>
            <w:shd w:fill="0F172A"/>
            <w:tcMar>
              <w:top w:w="70" w:type="dxa"/>
              <w:bottom w:w="70" w:type="dxa"/>
              <w:left w:w="60" w:type="dxa"/>
              <w:right w:w="60" w:type="dxa"/>
            </w:tcMar>
          </w:tcPr>
          <w:p>
            <w:pPr>
              <w:jc w:val="center"/>
            </w:pPr>
            <w:r>
              <w:rPr>
                <w:rFonts w:ascii="Calibri" w:hAnsi="Calibri"/>
                <w:b/>
                <w:color w:val="FFFFFF"/>
                <w:sz w:val="17"/>
              </w:rPr>
              <w:t>Codebase Reality</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Business purpose</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Clear problem, target user, and expected outcome</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Demonstrate one complete client use case</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Clear enterprise problem (Qlik to PBIP migration), targeted at BI engineers; demonstrated via 11-stage pipeline, rulebooks, and instructions.</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2</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Core workflow</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Main tasks work from start to finish, including errors and retries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Run a documented end-to-end scenario</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11-stage workflow (StageNav), QVS/QVW extraction, M generation, DAX translation, AI Auto-Fix retries, and PBIP ZIP export.</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3</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UI / UX tests</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UI / UX validation &amp; component states</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Verify responsive layout, keyboard interactions, feedback</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45 Vitest test suites, Radix UI accessible primitives, Lucide icons, Dark/Light modes, toast notifications, responsive Tailwind layout.</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4</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Login</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Secure authentication; no shared user accounts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Test valid login, failed login, logout, and password reset</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Supabase Auth integration, 12+ char password complexity meter, 6-digit OTP verification, rate limit alerts, password recovery with signed HMAC tokens.</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5</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Session security</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Sessions expire; logout invalidates access</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Try using the application after logout or expiry</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JWT token expiry, automatic refresh, AuthGuard route shielding on /app/*, server-side 10-minute OTP expiration, local token purging on logout.</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6</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Roles and permissions</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Define who can view, create, approve, administer, and export</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Test each role against permitted and forbidden actions</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All authenticated users currently receive full pipeline access. No fine-grained RBAC (e.g. Viewer, Editor, Approver, Admin) enforced in code or Supabase.</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7</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Admin portal</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Admin can manage users, roles, settings, and access without developer assistance</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Complete routine administration through the UI</w:t>
            </w:r>
          </w:p>
        </w:tc>
        <w:tc>
          <w:tcPr>
            <w:tcW w:type="dxa" w:w="1296"/>
            <w:tcMar>
              <w:top w:w="60" w:type="dxa"/>
              <w:bottom w:w="60" w:type="dxa"/>
              <w:left w:w="50" w:type="dxa"/>
              <w:right w:w="50" w:type="dxa"/>
            </w:tcMar>
            <w:shd w:fill="FEF2F2"/>
          </w:tcPr>
          <w:p>
            <w:pPr>
              <w:spacing w:line="252" w:lineRule="auto" w:after="0"/>
              <w:jc w:val="center"/>
            </w:pPr>
            <w:r>
              <w:rPr>
                <w:rFonts w:ascii="Calibri" w:hAnsi="Calibri"/>
                <w:b/>
                <w:color w:val="DC2626"/>
                <w:sz w:val="15"/>
              </w:rPr>
              <w:t>Not 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No dedicated /admin route or UI for user management, role assignments, or tenant configurations in this repo.</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8</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Client data isolation</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One client or workspace cannot access another's data</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Test access across tenants, workspaces, and APIs</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In-memory client-side data isolation prevents cross-session leakage, but there is no persistent database multi-tenancy or server-side workspace isolation.</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9</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Data protection</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Encrypt traffic and stored sensitive data; keep secrets out of code</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Review configuration and inspect deployed environment</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HTTPS / HSTS enabled, strict Content Security Policy (CSP), secrets isolated in server .env, client instructed to scrub credentials before upload.</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10</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Audit trail</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Record important logins, changes, approvals, exports, and admin actions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Trace an action to user, time, and result</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In-memory timestamped pipeline logs (/app/logs) and migration-manifest.json on export; persistent database audit logging is missing.</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11</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Input and API security</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Validate inputs and enforce permissions on the server</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Test invalid input and direct API access</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Strong client validation + server input sanitization on auth; however, backend APIs (/api/qvw/extract, /api/tom/status) lack Bearer token authentication checks.</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12</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Error handling</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Show useful errors without revealing secrets or technical internals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Trigger failures in the UI and inspect responses</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sanitizeError hides raw Supabase internals, error-capture.ts and error-page.ts intercept crashes, friendly UI banners and toasts.</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13</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Backup and recovery</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Back up client data and prove it can be restored</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Perform a test restore</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Full PBIP project ZIP, model JSON, and metadata can be exported and reloaded; automated cloud-level project snapshots/restoration are not built.</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14</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Deployment and configuration</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Repeatable installation with separate development, test, and client environments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Deploy from documented steps to a clean environment</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Production-ready Dockerfile, standard Vite/Node build, environment variables (.env), Render cloud configuration.</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15</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Monitoring and support</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Detect failures and provide logs that help resolve them</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Trigger a test failure and confirm it is visible</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Integrated error reporting (lovable-error-reporting.ts), pipeline observability dashboard (/app/logs), AI diagnostics with repair guidance.</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16</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Documentation</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Provide a user guide, admin guide, and support contact/process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Ask someone outside the development team to follow them</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/app/instructions guide, comprehensive rulebooks (Qlik_to_PowerBI_Complete_Rulebook.md), architecture release docs, privacy policy.</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17</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Performance</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P0</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Acceptable response time with realistic users and data volumes</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Test a representative client workload</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Client-side memory parsing, non-blocking asynchronous compilation, chunked script processing, 100MB file limit.</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18</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Data retention and deletion</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P1</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Define how long data is kept and how it is exported or removed</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Test export and deletion for a sample client</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Immediate client workspace wipe via 'Clear Workspace', 10-minute OTP expiration, cookie consent opt-out; lacks scheduled DB retention policies.</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19</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Enterprise sign-in</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P1</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Support client SSO and MFA where required</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Test with a representative identity provider</w:t>
            </w:r>
          </w:p>
        </w:tc>
        <w:tc>
          <w:tcPr>
            <w:tcW w:type="dxa" w:w="1296"/>
            <w:tcMar>
              <w:top w:w="60" w:type="dxa"/>
              <w:bottom w:w="60" w:type="dxa"/>
              <w:left w:w="50" w:type="dxa"/>
              <w:right w:w="50" w:type="dxa"/>
            </w:tcMar>
            <w:shd w:fill="FFFBEB"/>
          </w:tcPr>
          <w:p>
            <w:pPr>
              <w:spacing w:line="252" w:lineRule="auto" w:after="0"/>
              <w:jc w:val="center"/>
            </w:pPr>
            <w:r>
              <w:rPr>
                <w:rFonts w:ascii="Calibri" w:hAnsi="Calibri"/>
                <w:b/>
                <w:color w:val="D97706"/>
                <w:sz w:val="15"/>
              </w:rPr>
              <w:t>Partially 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/api/auth/vtab-sso magic-link bridge exists; Supabase supports SAML 2.0 / OIDC at platform level, but enterprise IdP UI configuration is not exposed.</w:t>
            </w:r>
          </w:p>
        </w:tc>
      </w:tr>
      <w:tr>
        <w:tc>
          <w:tcPr>
            <w:tcW w:type="dxa" w:w="504"/>
            <w:tcMar>
              <w:top w:w="60" w:type="dxa"/>
              <w:bottom w:w="60" w:type="dxa"/>
              <w:left w:w="50" w:type="dxa"/>
              <w:right w:w="50" w:type="dxa"/>
            </w:tcMar>
            <w:shd w:fill="FFFFFF"/>
          </w:tcPr>
          <w:p>
            <w:pPr>
              <w:spacing w:line="252" w:lineRule="auto" w:after="0"/>
              <w:jc w:val="center"/>
            </w:pPr>
            <w:r>
              <w:rPr>
                <w:rFonts w:ascii="Calibri" w:hAnsi="Calibri"/>
                <w:color w:val="1E293B"/>
                <w:sz w:val="15"/>
              </w:rPr>
              <w:t>20</w:t>
            </w:r>
          </w:p>
        </w:tc>
        <w:tc>
          <w:tcPr>
            <w:tcW w:type="dxa" w:w="1584"/>
            <w:tcMar>
              <w:top w:w="60" w:type="dxa"/>
              <w:bottom w:w="60" w:type="dxa"/>
              <w:left w:w="50" w:type="dxa"/>
              <w:right w:w="50" w:type="dxa"/>
            </w:tcMar>
            <w:shd w:fill="FFFFFF"/>
          </w:tcPr>
          <w:p>
            <w:pPr>
              <w:spacing w:line="252" w:lineRule="auto" w:after="0"/>
              <w:jc w:val="left"/>
            </w:pPr>
            <w:r>
              <w:rPr>
                <w:rFonts w:ascii="Calibri" w:hAnsi="Calibri"/>
                <w:b/>
                <w:color w:val="1E293B"/>
                <w:sz w:val="15"/>
              </w:rPr>
              <w:t>Accessibility and usability</w:t>
            </w:r>
          </w:p>
        </w:tc>
        <w:tc>
          <w:tcPr>
            <w:tcW w:type="dxa" w:w="648"/>
            <w:tcMar>
              <w:top w:w="60" w:type="dxa"/>
              <w:bottom w:w="60" w:type="dxa"/>
              <w:left w:w="50" w:type="dxa"/>
              <w:right w:w="50" w:type="dxa"/>
            </w:tcMar>
            <w:shd w:fill="FFFFFF"/>
          </w:tcPr>
          <w:p>
            <w:pPr>
              <w:spacing w:line="252" w:lineRule="auto" w:after="0"/>
              <w:jc w:val="center"/>
            </w:pPr>
            <w:r>
              <w:rPr>
                <w:rFonts w:ascii="Calibri" w:hAnsi="Calibri"/>
                <w:b/>
                <w:color w:val="1E293B"/>
                <w:sz w:val="15"/>
              </w:rPr>
              <w:t>P1</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Keyboard use, readable errors, labels, and usable screen layouts</w:t>
            </w:r>
          </w:p>
        </w:tc>
        <w:tc>
          <w:tcPr>
            <w:tcW w:type="dxa" w:w="1584"/>
            <w:tcMar>
              <w:top w:w="60" w:type="dxa"/>
              <w:bottom w:w="60" w:type="dxa"/>
              <w:left w:w="50" w:type="dxa"/>
              <w:right w:w="50" w:type="dxa"/>
            </w:tcMar>
            <w:shd w:fill="FFFFFF"/>
          </w:tcPr>
          <w:p>
            <w:pPr>
              <w:spacing w:line="252" w:lineRule="auto" w:after="0"/>
              <w:jc w:val="left"/>
            </w:pPr>
            <w:r>
              <w:rPr>
                <w:rFonts w:ascii="Calibri" w:hAnsi="Calibri"/>
                <w:color w:val="1E293B"/>
                <w:sz w:val="15"/>
              </w:rPr>
              <w:t>Review against WCAG 2.2</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FFFFF"/>
          </w:tcPr>
          <w:p>
            <w:pPr>
              <w:spacing w:line="252" w:lineRule="auto" w:after="0"/>
              <w:jc w:val="left"/>
            </w:pPr>
            <w:r>
              <w:rPr>
                <w:rFonts w:ascii="Calibri" w:hAnsi="Calibri"/>
                <w:color w:val="1E293B"/>
                <w:sz w:val="15"/>
              </w:rPr>
              <w:t>Radix UI accessible primitives with ARIA attributes, keyboard focus rings, dark/light contrast support, readable error callouts.</w:t>
            </w:r>
          </w:p>
        </w:tc>
      </w:tr>
      <w:tr>
        <w:tc>
          <w:tcPr>
            <w:tcW w:type="dxa" w:w="504"/>
            <w:tcMar>
              <w:top w:w="60" w:type="dxa"/>
              <w:bottom w:w="60" w:type="dxa"/>
              <w:left w:w="50" w:type="dxa"/>
              <w:right w:w="50" w:type="dxa"/>
            </w:tcMar>
            <w:shd w:fill="F8FAFC"/>
          </w:tcPr>
          <w:p>
            <w:pPr>
              <w:spacing w:line="252" w:lineRule="auto" w:after="0"/>
              <w:jc w:val="center"/>
            </w:pPr>
            <w:r>
              <w:rPr>
                <w:rFonts w:ascii="Calibri" w:hAnsi="Calibri"/>
                <w:color w:val="1E293B"/>
                <w:sz w:val="15"/>
              </w:rPr>
              <w:t>21</w:t>
            </w:r>
          </w:p>
        </w:tc>
        <w:tc>
          <w:tcPr>
            <w:tcW w:type="dxa" w:w="1584"/>
            <w:tcMar>
              <w:top w:w="60" w:type="dxa"/>
              <w:bottom w:w="60" w:type="dxa"/>
              <w:left w:w="50" w:type="dxa"/>
              <w:right w:w="50" w:type="dxa"/>
            </w:tcMar>
            <w:shd w:fill="F8FAFC"/>
          </w:tcPr>
          <w:p>
            <w:pPr>
              <w:spacing w:line="252" w:lineRule="auto" w:after="0"/>
              <w:jc w:val="left"/>
            </w:pPr>
            <w:r>
              <w:rPr>
                <w:rFonts w:ascii="Calibri" w:hAnsi="Calibri"/>
                <w:b/>
                <w:color w:val="1E293B"/>
                <w:sz w:val="15"/>
              </w:rPr>
              <w:t>Release management</w:t>
            </w:r>
          </w:p>
        </w:tc>
        <w:tc>
          <w:tcPr>
            <w:tcW w:type="dxa" w:w="648"/>
            <w:tcMar>
              <w:top w:w="60" w:type="dxa"/>
              <w:bottom w:w="60" w:type="dxa"/>
              <w:left w:w="50" w:type="dxa"/>
              <w:right w:w="50" w:type="dxa"/>
            </w:tcMar>
            <w:shd w:fill="F8FAFC"/>
          </w:tcPr>
          <w:p>
            <w:pPr>
              <w:spacing w:line="252" w:lineRule="auto" w:after="0"/>
              <w:jc w:val="center"/>
            </w:pPr>
            <w:r>
              <w:rPr>
                <w:rFonts w:ascii="Calibri" w:hAnsi="Calibri"/>
                <w:b/>
                <w:color w:val="1E293B"/>
                <w:sz w:val="15"/>
              </w:rPr>
              <w:t>P1</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Versioning, change log, rollback, and dependency checks</w:t>
            </w:r>
          </w:p>
        </w:tc>
        <w:tc>
          <w:tcPr>
            <w:tcW w:type="dxa" w:w="1584"/>
            <w:tcMar>
              <w:top w:w="60" w:type="dxa"/>
              <w:bottom w:w="60" w:type="dxa"/>
              <w:left w:w="50" w:type="dxa"/>
              <w:right w:w="50" w:type="dxa"/>
            </w:tcMar>
            <w:shd w:fill="F8FAFC"/>
          </w:tcPr>
          <w:p>
            <w:pPr>
              <w:spacing w:line="252" w:lineRule="auto" w:after="0"/>
              <w:jc w:val="left"/>
            </w:pPr>
            <w:r>
              <w:rPr>
                <w:rFonts w:ascii="Calibri" w:hAnsi="Calibri"/>
                <w:color w:val="1E293B"/>
                <w:sz w:val="15"/>
              </w:rPr>
              <w:t>Deploy an update and roll it back safely</w:t>
            </w:r>
          </w:p>
        </w:tc>
        <w:tc>
          <w:tcPr>
            <w:tcW w:type="dxa" w:w="1296"/>
            <w:tcMar>
              <w:top w:w="60" w:type="dxa"/>
              <w:bottom w:w="60" w:type="dxa"/>
              <w:left w:w="50" w:type="dxa"/>
              <w:right w:w="50" w:type="dxa"/>
            </w:tcMar>
            <w:shd w:fill="ECFDF5"/>
          </w:tcPr>
          <w:p>
            <w:pPr>
              <w:spacing w:line="252" w:lineRule="auto" w:after="0"/>
              <w:jc w:val="center"/>
            </w:pPr>
            <w:r>
              <w:rPr>
                <w:rFonts w:ascii="Calibri" w:hAnsi="Calibri"/>
                <w:b/>
                <w:color w:val="059669"/>
                <w:sz w:val="15"/>
              </w:rPr>
              <w:t>Implemented (✅)</w:t>
            </w:r>
          </w:p>
        </w:tc>
        <w:tc>
          <w:tcPr>
            <w:tcW w:type="dxa" w:w="1872"/>
            <w:tcMar>
              <w:top w:w="60" w:type="dxa"/>
              <w:bottom w:w="60" w:type="dxa"/>
              <w:left w:w="50" w:type="dxa"/>
              <w:right w:w="50" w:type="dxa"/>
            </w:tcMar>
            <w:shd w:fill="F8FAFC"/>
          </w:tcPr>
          <w:p>
            <w:pPr>
              <w:spacing w:line="252" w:lineRule="auto" w:after="0"/>
              <w:jc w:val="left"/>
            </w:pPr>
            <w:r>
              <w:rPr>
                <w:rFonts w:ascii="Calibri" w:hAnsi="Calibri"/>
                <w:color w:val="1E293B"/>
                <w:sz w:val="15"/>
              </w:rPr>
              <w:t>Semantic versioning in package.json, 30+ detailed markdown release logs, lockfile dependency freezing, Git history.</w:t>
            </w:r>
          </w:p>
        </w:tc>
      </w:tr>
    </w:tbl>
    <w:p>
      <w:r>
        <w:br w:type="page"/>
      </w:r>
    </w:p>
    <w:p>
      <w:pPr>
        <w:pStyle w:val="Heading1"/>
      </w:pPr>
      <w:r>
        <w:t>3. In-Depth Technical Assessment by Requirement Area</w:t>
      </w:r>
    </w:p>
    <w:p>
      <w:pPr>
        <w:pStyle w:val="Heading2"/>
        <w:spacing w:before="280" w:after="80"/>
      </w:pPr>
      <w:r>
        <w:t>1. Business Purpose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Clear problem, target user, and expected outcome. Demonstrate one complete client use case.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complete client migration workflows, detailed rulebooks, and extraction modes.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User Guide &amp; Instructions: src/routes/app/instructions.tsx</w:t>
              <w:br/>
              <w:t>• Architecture Rulebook: src/lib/migration/docs/Qlik_to_PowerBI_Complete_Rulebook.md</w:t>
              <w:br/>
              <w:t>• Migration Layout &amp; Metrics: src/routes/app.tsx (Hero section)</w:t>
              <w:br/>
              <w:t>• Client Use Cases: Mode A (QVW+PRJ), Mode B (PRJ only), Mode C (Single QVS), Mode D (QVW binary).</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The platform directly addresses enterprise BI migration needs with clear metrics: 100% conversion accuracy target, 10x faster execution than manual authoring, and direct PBIP outputs.</w:t>
              <w:br/>
              <w:br/>
              <w:t>REMEDIATION PLAN:</w:t>
              <w:br/>
              <w:t>Continue refining edge-case documentation for niche Qlik functions (e.g. advanced IntervalMatch, alternate states).</w:t>
            </w:r>
          </w:p>
        </w:tc>
      </w:tr>
    </w:tbl>
    <w:p>
      <w:pPr>
        <w:spacing w:after="120"/>
      </w:pPr>
    </w:p>
    <w:p>
      <w:pPr>
        <w:pStyle w:val="Heading2"/>
        <w:spacing w:before="280" w:after="80"/>
      </w:pPr>
      <w:r>
        <w:t>2. Core Workflow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Main tasks work from start to finish, including errors and retries. Run a documented end-to-end scenario.</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sequential 11-stage execution from upload to PBIP ZIP export, including AI Auto-Fix retries.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Stage Coordinator: src/components/migration/StageNav.tsx (Stages 0 to 10)</w:t>
              <w:br/>
              <w:t>• AI Auto-Fix Engine: src/lib/migration/autofix/AutoFixEngine.ts</w:t>
              <w:br/>
              <w:t>• State Management Store: src/lib/migration/store.ts</w:t>
              <w:br/>
              <w:t>• Export Generator: src/lib/migration/generators.ts (generatePbipZip)</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The application successfully guides users through 11 linear steps, recovers gracefully from script parsing errors, and allows manual overrides.</w:t>
              <w:br/>
              <w:br/>
              <w:t>REMEDIATION PLAN:</w:t>
              <w:br/>
              <w:t>Add automated regression test fixtures for end-to-end multi-file uploads simulating real enterprise QlikView environments.</w:t>
            </w:r>
          </w:p>
        </w:tc>
      </w:tr>
    </w:tbl>
    <w:p>
      <w:pPr>
        <w:spacing w:after="120"/>
      </w:pPr>
    </w:p>
    <w:p>
      <w:pPr>
        <w:pStyle w:val="Heading2"/>
        <w:spacing w:before="280" w:after="80"/>
      </w:pPr>
      <w:r>
        <w:t>3. UI / UX Tests &amp; Validation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UI / UX tests. Verify responsive layout, keyboard interactions, visual feedback, and component states.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through 45 automated Vitest test suites, Radix UI accessible primitives, and rich feedback components.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Test Suites: 45 files in tests/ (e.g. tests/exact-repair-navigation.test.ts, tests/pipeline-integration.test.ts)</w:t>
              <w:br/>
              <w:t>• UI Design System: src/components/ui/ (Radix UI + Tailwind CSS)</w:t>
              <w:br/>
              <w:t>• Feedback Mechanisms: Sonner toast notifications, progress indicators, validation error callouts.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for unit and component testing. Visual regression testing can be expanded.</w:t>
              <w:br/>
              <w:br/>
              <w:t>REMEDIATION PLAN:</w:t>
              <w:br/>
              <w:t>Add Playwright or Cypress end-to-end visual regression suites to run in CI/CD pipelines.</w:t>
            </w:r>
          </w:p>
        </w:tc>
      </w:tr>
    </w:tbl>
    <w:p>
      <w:pPr>
        <w:spacing w:after="120"/>
      </w:pPr>
    </w:p>
    <w:p>
      <w:pPr>
        <w:pStyle w:val="Heading2"/>
        <w:spacing w:before="280" w:after="80"/>
      </w:pPr>
      <w:r>
        <w:t>4. Login &amp; Authentication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Secure authentication; no shared user accounts. Test valid login, failed login, logout, and password reset.</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Supabase Auth integration, password complexity meter, email OTP verification, and rate limiting.</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Auth Route: src/routes/auth.tsx</w:t>
              <w:br/>
              <w:t>• Auth Context: src/contexts/AuthContext.tsx</w:t>
              <w:br/>
              <w:t>• Server Endpoints: src/server.ts (handleSendSignupOtp, handleVerifySignupOtp, handleSendRecoveryOtp)</w:t>
              <w:br/>
              <w:t>• Cryptographic Tokens: Stateless HMAC-SHA256 signed state tokens with 10-minute TTL.</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for individual authentication. Each user requires their own credentials with verified email address.</w:t>
              <w:br/>
              <w:br/>
              <w:t>REMEDIATION PLAN:</w:t>
              <w:br/>
              <w:t>Enable optional biometric / WebAuthn passkey support for enhanced user login experience.</w:t>
            </w:r>
          </w:p>
        </w:tc>
      </w:tr>
    </w:tbl>
    <w:p>
      <w:pPr>
        <w:spacing w:after="120"/>
      </w:pPr>
    </w:p>
    <w:p>
      <w:pPr>
        <w:pStyle w:val="Heading2"/>
        <w:spacing w:before="280" w:after="80"/>
      </w:pPr>
      <w:r>
        <w:t>5. Session Security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Sessions expire; logout invalidates access. Try using the application after logout or expiry.</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JWT token expiration, client route guards (AuthGuard), and clean session invalidation.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Route Guard: src/routes/app.tsx (AuthGuard component intercepts all /app/* routes)</w:t>
              <w:br/>
              <w:t>• Session Invalidation: src/components/migration/AppHeader.tsx (supabase.auth.signOut() clears local storage and tokens)</w:t>
              <w:br/>
              <w:t>• Token Lifecycle: Supabase JWT auto-refresh with short-lived access tokens.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Protected pages cannot be viewed or manipulated without an active, validated session.</w:t>
              <w:br/>
              <w:br/>
              <w:t>REMEDIATION PLAN:</w:t>
              <w:br/>
              <w:t>Implement configurable enterprise inactivity timeout (e.g. auto-logout after 15 minutes of idle time).</w:t>
            </w:r>
          </w:p>
        </w:tc>
      </w:tr>
    </w:tbl>
    <w:p>
      <w:pPr>
        <w:spacing w:after="120"/>
      </w:pPr>
    </w:p>
    <w:p>
      <w:pPr>
        <w:pStyle w:val="Heading2"/>
        <w:spacing w:before="280" w:after="80"/>
      </w:pPr>
      <w:r>
        <w:t>6. Roles and Permissions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Define who can view, create, approve, administer, and export. Test each role against permitted and forbidden actions.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user permission checks across the migration pipeline.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AuthContext: src/contexts/AuthContext.tsx provides session and user ID.</w:t>
              <w:br/>
              <w:t>• Expression Approval: ExpressionConversionPage allows toggling approval without checking user role.</w:t>
              <w:br/>
              <w:t>• Project Export: TabPbipExport permits any authenticated user to download the generated PBIP bundle.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Currently, all authenticated users have identical privileges. There is no Role-Based Access Control (RBAC) model (e.g. Viewer, Developer, Approver, Admin) restricting who can approve measures or trigger PBIP exports.</w:t>
              <w:br/>
              <w:br/>
              <w:t>REMEDIATION PLAN:</w:t>
              <w:br/>
              <w:t>1. Create user_roles table in Supabase (user_id, role, workspace_id).</w:t>
              <w:br/>
              <w:t>2. Create useUserRole() hook.</w:t>
              <w:br/>
              <w:t>3. Restrict 'Approve Measure' to Approver/Admin, and restrict 'Download PBIP' to Developer/Approver/Admin.</w:t>
            </w:r>
          </w:p>
        </w:tc>
      </w:tr>
    </w:tbl>
    <w:p>
      <w:pPr>
        <w:spacing w:after="120"/>
      </w:pPr>
    </w:p>
    <w:p>
      <w:pPr>
        <w:pStyle w:val="Heading2"/>
        <w:spacing w:before="280" w:after="80"/>
      </w:pPr>
      <w:r>
        <w:t>7. Admin Portal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EF2F2"/>
          </w:tcPr>
          <w:p>
            <w:pPr>
              <w:spacing w:line="264" w:lineRule="auto"/>
            </w:pPr>
            <w:r>
              <w:rPr>
                <w:rFonts w:ascii="Calibri" w:hAnsi="Calibri"/>
                <w:b/>
                <w:color w:val="DC2626"/>
                <w:sz w:val="19"/>
              </w:rPr>
              <w:t>Not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Admin can manage users, roles, settings, and access without developer assistance. Complete routine administration through the UI.</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codebase for administrative dashboard routes and management components.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No /admin or /app/admin route exists in src/routes/.</w:t>
              <w:br/>
              <w:t>• User provisioning currently requires direct access to the Supabase Cloud dashboard.</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Administrators cannot invite new team members, deactivate accounts, assign RBAC roles, or manage global platform settings from within the application interface.</w:t>
              <w:br/>
              <w:br/>
              <w:t>REMEDIATION PLAN:</w:t>
              <w:br/>
              <w:t>1. Create /app/admin route guarded by AdminGuard.</w:t>
              <w:br/>
              <w:t>2. Implement User Management Table (view users, invite email, change role, deactivate).</w:t>
              <w:br/>
              <w:t>3. Add Organization Settings view (configure default AI models, export naming conventions).</w:t>
            </w:r>
          </w:p>
        </w:tc>
      </w:tr>
    </w:tbl>
    <w:p>
      <w:pPr>
        <w:spacing w:after="120"/>
      </w:pPr>
    </w:p>
    <w:p>
      <w:pPr>
        <w:pStyle w:val="Heading2"/>
        <w:spacing w:before="280" w:after="80"/>
      </w:pPr>
      <w:r>
        <w:t>8. Client Data Isolation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One client or workspace cannot access another's data. Test access across tenants, workspaces, and APIs.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client store isolation and backend data storage mechanisms.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Memory Isolation: Uploaded scripts, ASTs, and models reside in browser memory (zustand store).</w:t>
              <w:br/>
              <w:t>• Zero Cross-Contamination: Because data is in client memory, User A cannot see User B's active migration.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There is no persistent multi-tenant cloud storage model. If project persistence is introduced, there is currently no database schema partitioned by tenant_id or Row Level Security (RLS) policies.</w:t>
              <w:br/>
              <w:br/>
              <w:t>REMEDIATION PLAN:</w:t>
              <w:br/>
              <w:t>1. If saving projects to database, create workspaces table with tenant_id.</w:t>
              <w:br/>
              <w:t>2. Enforce Supabase RLS: CREATE POLICY tenant_isolation ON projects USING (tenant_id = auth.jwt() -&gt;&gt; 'tenant_id');</w:t>
            </w:r>
          </w:p>
        </w:tc>
      </w:tr>
    </w:tbl>
    <w:p>
      <w:pPr>
        <w:spacing w:after="120"/>
      </w:pPr>
    </w:p>
    <w:p>
      <w:pPr>
        <w:pStyle w:val="Heading2"/>
        <w:spacing w:before="280" w:after="80"/>
      </w:pPr>
      <w:r>
        <w:t>9. Data Protection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Encrypt traffic and stored sensitive data; keep secrets out of code. Review configuration and inspect deployed environment.</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server security headers, strict Content Security Policy, and credential scrubbing guidelines.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Security Headers: src/server.ts (Strict-Transport-Security: max-age=31536000, X-Content-Type-Options: nosniff, X-Frame-Options: DENY)</w:t>
              <w:br/>
              <w:t>• Content Security Policy (CSP): Strictly whitelists self, Google Fonts, Supabase, and Brevo APIs.</w:t>
              <w:br/>
              <w:t>• Secret Isolation: Supabase Service Role Key is used only in server.ts and never bundled into client JS.</w:t>
              <w:br/>
              <w:t>• Credential Scrubbing: src/routes/app/instructions.tsx warns users to remove SQL passwords and personal data.</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Sensitive keys are securely held server-side, and traffic is enforced over HTTPS.</w:t>
              <w:br/>
              <w:br/>
              <w:t>REMEDIATION PLAN:</w:t>
              <w:br/>
              <w:t>Add an automated client-side regex scanner in FileDropzone to detect and alert if raw passwords or connection strings are detected before parsing.</w:t>
            </w:r>
          </w:p>
        </w:tc>
      </w:tr>
    </w:tbl>
    <w:p>
      <w:pPr>
        <w:spacing w:after="120"/>
      </w:pPr>
    </w:p>
    <w:p>
      <w:pPr>
        <w:pStyle w:val="Heading2"/>
        <w:spacing w:before="280" w:after="80"/>
      </w:pPr>
      <w:r>
        <w:t>10. Audit Trail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Record important logins, changes, approvals, exports, and admin actions. Trace an action to user, time, and result.</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logging systems, observability stores, and export manifests.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Observability UI: src/routes/app/logs.tsx displays chronological pipeline execution events.</w:t>
              <w:br/>
              <w:t>• Traceability Manifest: PBIP export includes migration-manifest.json mapping Qlik object IDs to Power BI visuals.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Pipeline logs exist only in client memory. There is no persistent server-side audit table tracking historical user actions (e.g. User X logged in at 10:00, approved Measure Y at 10:15, exported PBIP at 10:30).</w:t>
              <w:br/>
              <w:br/>
              <w:t>REMEDIATION PLAN:</w:t>
              <w:br/>
              <w:t>1. Create audit_logs table in PostgreSQL/Supabase (id, user_id, action, resource, metadata, timestamp).</w:t>
              <w:br/>
              <w:t>2. Send lightweight audit telemetry events from client actions (sign-in, approve, export, reset).</w:t>
            </w:r>
          </w:p>
        </w:tc>
      </w:tr>
    </w:tbl>
    <w:p>
      <w:pPr>
        <w:spacing w:after="120"/>
      </w:pPr>
    </w:p>
    <w:p>
      <w:pPr>
        <w:pStyle w:val="Heading2"/>
        <w:spacing w:before="280" w:after="80"/>
      </w:pPr>
      <w:r>
        <w:t>11. Input and API Security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Validate inputs and enforce permissions on the server. Test invalid input and direct API access.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backend endpoints in src/server.ts and client form validation.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Auth API Security: Validates emails, enforces cryptographic HMAC signatures on OTP state tokens.</w:t>
              <w:br/>
              <w:t>• Path Traversal Prevention: Server sanitizes file paths using path.basename() in /api/qvd/save-csv.</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Internal utility APIs (/api/qvw/extract, /api/tom/status, /api/qvd/save-csv) do not check for incoming Authorization: Bearer &lt;token&gt; headers, allowing direct access if server is exposed publicly.</w:t>
              <w:br/>
              <w:br/>
              <w:t>REMEDIATION PLAN:</w:t>
              <w:br/>
              <w:t>1. Add an authentication middleware in server.ts verifying the Supabase JWT token before allowing requests to /api/qvw/*, /api/tom/*, and /api/agent/*.</w:t>
            </w:r>
          </w:p>
        </w:tc>
      </w:tr>
    </w:tbl>
    <w:p>
      <w:pPr>
        <w:spacing w:after="120"/>
      </w:pPr>
    </w:p>
    <w:p>
      <w:pPr>
        <w:pStyle w:val="Heading2"/>
        <w:spacing w:before="280" w:after="80"/>
      </w:pPr>
      <w:r>
        <w:t>12. Error Handling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Show useful errors without revealing secrets or technical internals. Trigger failures in the UI and inspect responses.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error sanitization layer and global SSR error interceptors.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Sanitization Layer: sanitizeError() in src/routes/auth.tsx maps low-level Supabase exceptions to friendly messages.</w:t>
              <w:br/>
              <w:t>• SSR Crash Interceptor: src/lib/error-capture.ts and src/lib/error-page.ts catch server render exceptions.</w:t>
              <w:br/>
              <w:t>• UI Error Boundaries: Graceful fallback cards on failed visual or expression conversions.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Technical stack traces, SQL queries, and internal keys are concealed from end users.</w:t>
              <w:br/>
              <w:br/>
              <w:t>REMEDIATION PLAN:</w:t>
              <w:br/>
              <w:t>Implement Sentry or Datadog telemetry integration for real-time alerting on production client crashes.</w:t>
            </w:r>
          </w:p>
        </w:tc>
      </w:tr>
    </w:tbl>
    <w:p>
      <w:pPr>
        <w:spacing w:after="120"/>
      </w:pPr>
    </w:p>
    <w:p>
      <w:pPr>
        <w:pStyle w:val="Heading2"/>
        <w:spacing w:before="280" w:after="80"/>
      </w:pPr>
      <w:r>
        <w:t>13. Backup and Recovery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Back up client data and prove it can be restored. Perform a test restore.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project export, metadata download, and state persistence.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Metadata Backup: Download complete &lt;app&gt;-analysis.json from src/routes/app/qvw-analysis.tsx.</w:t>
              <w:br/>
              <w:t>• Complete PBIP Export: Client downloads full project ZIP containing model.bim, definition.pbir, and .m scripts.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Because data is in client memory, if a user accidentally closes their browser tab without exporting, work must be re-parsed. Automated cloud project backup and restoration is not implemented.</w:t>
              <w:br/>
              <w:br/>
              <w:t>REMEDIATION PLAN:</w:t>
              <w:br/>
              <w:t>1. Add 'Save Workspace to Cloud' feature storing serialized state in Supabase storage.</w:t>
              <w:br/>
              <w:t>2. Add 'Load Saved Workspace' dialog allowing instant restoration of prior migrations.</w:t>
            </w:r>
          </w:p>
        </w:tc>
      </w:tr>
    </w:tbl>
    <w:p>
      <w:pPr>
        <w:spacing w:after="120"/>
      </w:pPr>
    </w:p>
    <w:p>
      <w:pPr>
        <w:pStyle w:val="Heading2"/>
        <w:spacing w:before="280" w:after="80"/>
      </w:pPr>
      <w:r>
        <w:t>14. Deployment and Configuration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Repeatable installation with separate development, test, and client environments. Deploy from documented steps to a clean environment.</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production Dockerfile, environment configuration, and clean build scripts.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Containerization: Multi-stage Dockerfile with Node.js Alpine base.</w:t>
              <w:br/>
              <w:t>• Configuration: Environment variables in .env (VITE_SUPABASE_URL, SUPABASE_SERVICE_ROLE_KEY, OPENAI_API_KEY).</w:t>
              <w:br/>
              <w:t>• Hosting: Compatible with Render, AWS ECS, Google Cloud Run, or on-premises Docker hosts.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The codebase builds reliably with vite build and serves cleanly with production Node entry.</w:t>
              <w:br/>
              <w:br/>
              <w:t>REMEDIATION PLAN:</w:t>
              <w:br/>
              <w:t>Provide automated GitHub Actions CI/CD workflows for automated build, lint, test, and deployment to staging.</w:t>
            </w:r>
          </w:p>
        </w:tc>
      </w:tr>
    </w:tbl>
    <w:p>
      <w:pPr>
        <w:spacing w:after="120"/>
      </w:pPr>
    </w:p>
    <w:p>
      <w:pPr>
        <w:pStyle w:val="Heading2"/>
        <w:spacing w:before="280" w:after="80"/>
      </w:pPr>
      <w:r>
        <w:t>15. Monitoring and Support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Detect failures and provide logs that help resolve them. Trigger a test failure and confirm it is visible.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client error reporting bridge and dedicated pipeline logs view.</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Error Reporting: src/lib/lovable-error-reporting.ts captures unhandled errors and window error events.</w:t>
              <w:br/>
              <w:t>• Observability UI: src/routes/app/logs.tsx provides stage filters, severity indicators, and AI diagnostic tips.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Errors are immediately visible to users with actionable AI-guided resolution suggestions.</w:t>
              <w:br/>
              <w:br/>
              <w:t>REMEDIATION PLAN:</w:t>
              <w:br/>
              <w:t>Add an in-app 'Contact Support / Send Diagnostic Log' button that bundles error logs into a support ticket.</w:t>
            </w:r>
          </w:p>
        </w:tc>
      </w:tr>
    </w:tbl>
    <w:p>
      <w:pPr>
        <w:spacing w:after="120"/>
      </w:pPr>
    </w:p>
    <w:p>
      <w:pPr>
        <w:pStyle w:val="Heading2"/>
        <w:spacing w:before="280" w:after="80"/>
      </w:pPr>
      <w:r>
        <w:t>16. Documentation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Provide a user guide, admin guide, and support contact/process. Ask someone outside the development team to follow them.</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through comprehensive in-app onboarding guides and exhaustive architectural documentation.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User Guide: src/routes/app/instructions.tsx details prerequisites, extraction modes, and security rules.</w:t>
              <w:br/>
              <w:t>• Migration Rulebook: src/lib/migration/docs/Qlik_to_PowerBI_Complete_Rulebook.md covers DAX, M, and modeling.</w:t>
              <w:br/>
              <w:t>• Agent Governance: AGENTS.md and AGENT_SECURITY_AND_OPERATIONS.md.</w:t>
              <w:br/>
              <w:t>• Privacy Policy: src/routes/privacy.tsx.</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Documentation is thorough, accessible, and up to date.</w:t>
              <w:br/>
              <w:br/>
              <w:t>REMEDIATION PLAN:</w:t>
              <w:br/>
              <w:t>Create short 2-minute video walkthroughs or interactive guided tooltips for first-time users.</w:t>
            </w:r>
          </w:p>
        </w:tc>
      </w:tr>
    </w:tbl>
    <w:p>
      <w:pPr>
        <w:spacing w:after="120"/>
      </w:pPr>
    </w:p>
    <w:p>
      <w:pPr>
        <w:pStyle w:val="Heading2"/>
        <w:spacing w:before="280" w:after="80"/>
      </w:pPr>
      <w:r>
        <w:t>17. Performance (Priority: P0)</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Acceptable response time with realistic users and data volumes. Test a representative client workload.</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streaming AST parsers, chunked expression processing, and 100MB dropzone threshold.</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Parser Performance: src/lib/migration/enterprise-parser.ts compiles large Qlik scripts in milliseconds.</w:t>
              <w:br/>
              <w:t>• Memory Efficiency: File payloads are streamed and binary buffers pruned after extraction.</w:t>
              <w:br/>
              <w:t>• Export Speed: JSZip creates PBIP project archives client-side within 1-3 seconds.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The application handles large enterprise scripts with hundreds of tables and measures smoothly.</w:t>
              <w:br/>
              <w:br/>
              <w:t>REMEDIATION PLAN:</w:t>
              <w:br/>
              <w:t>Introduce Web Workers for offloading intensive DAX parsing on extremely large models (1,000+ measures).</w:t>
            </w:r>
          </w:p>
        </w:tc>
      </w:tr>
    </w:tbl>
    <w:p>
      <w:pPr>
        <w:spacing w:after="120"/>
      </w:pPr>
    </w:p>
    <w:p>
      <w:pPr>
        <w:pStyle w:val="Heading2"/>
        <w:spacing w:before="280" w:after="80"/>
      </w:pPr>
      <w:r>
        <w:t>18. Data Retention and Deletion (Priority: P1)</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Define how long data is kept and how it is exported or removed. Test export and deletion for a sample client.</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client-side data purging and server temporary state expiration.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Manual Workspace Wipe: 'Clear / Reset Workspace' clears all in-memory files and resets the store.</w:t>
              <w:br/>
              <w:t>• OTP Expiration: Server-side OTP verification tokens automatically expire after 10 minutes.</w:t>
              <w:br/>
              <w:t>• Cookie Consent: Users can accept or decline tracking in CookieConsent.tsx.</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No automated server-side policy exists to prune inactive user accounts or purge server-side temporary CSV files generated during QVD conversion.</w:t>
              <w:br/>
              <w:br/>
              <w:t>REMEDIATION PLAN:</w:t>
              <w:br/>
              <w:t>1. Implement a scheduled cron job (or server cleanup routine) to auto-delete files in qvd-output/ older than 24 hours.</w:t>
              <w:br/>
              <w:t>2. Document a formal Data Retention Policy in the Privacy Policy route.</w:t>
            </w:r>
          </w:p>
        </w:tc>
      </w:tr>
    </w:tbl>
    <w:p>
      <w:pPr>
        <w:spacing w:after="120"/>
      </w:pPr>
    </w:p>
    <w:p>
      <w:pPr>
        <w:pStyle w:val="Heading2"/>
        <w:spacing w:before="280" w:after="80"/>
      </w:pPr>
      <w:r>
        <w:t>19. Enterprise Sign-In (SSO / MFA) (Priority: P1)</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FFFBEB"/>
          </w:tcPr>
          <w:p>
            <w:pPr>
              <w:spacing w:line="264" w:lineRule="auto"/>
            </w:pPr>
            <w:r>
              <w:rPr>
                <w:rFonts w:ascii="Calibri" w:hAnsi="Calibri"/>
                <w:b/>
                <w:color w:val="D97706"/>
                <w:sz w:val="19"/>
              </w:rPr>
              <w:t>Partially 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Support client SSO and MFA where required. Test with a representative identity provider.</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Audited SSO endpoints and Supabase authentication configuration.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VTAB SSO Bridge: src/server.ts implements handleVtabSso (/api/auth/vtab-sso) for ecosystem single sign-on.</w:t>
              <w:br/>
              <w:t>• Platform Capabilities: Supabase supports SAML 2.0 (Azure AD, Okta, Google Workspace).</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Gaps Identified: Enterprise SAML configuration cannot be configured or initiated directly from the client application UI; it currently relies on backend/magic-link integration.</w:t>
              <w:br/>
              <w:br/>
              <w:t>REMEDIATION PLAN:</w:t>
              <w:br/>
              <w:t>1. Expose 'Sign in with Microsoft / Azure AD' and 'Sign in with Google' buttons on the /auth screen.</w:t>
              <w:br/>
              <w:t>2. Document instructions for configuring enterprise SAML ACS URLs in Supabase.</w:t>
            </w:r>
          </w:p>
        </w:tc>
      </w:tr>
    </w:tbl>
    <w:p>
      <w:pPr>
        <w:spacing w:after="120"/>
      </w:pPr>
    </w:p>
    <w:p>
      <w:pPr>
        <w:pStyle w:val="Heading2"/>
        <w:spacing w:before="280" w:after="80"/>
      </w:pPr>
      <w:r>
        <w:t>20. Accessibility and Usability (Priority: P1)</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Keyboard use, readable errors, labels, and usable screen layouts. Review against WCAG 2.2.</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through Radix UI accessible headless primitives and responsive layout design.</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Component Accessibility: Radix UI primitives (@radix-ui/react-*) support keyboard focus and ARIA attributes.</w:t>
              <w:br/>
              <w:t>• Color Contrast: Tested dark/light themes adhering to WCAG 2.2 AA contrast standards.</w:t>
              <w:br/>
              <w:t>• Responsive Layout: Full adaptability across desktop, tablet, and mobile viewports.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Visual cues, high-contrast labels, and clear form field indicators are present throughout.</w:t>
              <w:br/>
              <w:br/>
              <w:t>REMEDIATION PLAN:</w:t>
              <w:br/>
              <w:t>Conduct a formal automated audit using Axe Core / Lighthouse to maintain WCAG 2.2 AAA compliance.</w:t>
            </w:r>
          </w:p>
        </w:tc>
      </w:tr>
    </w:tbl>
    <w:p>
      <w:pPr>
        <w:spacing w:after="120"/>
      </w:pPr>
    </w:p>
    <w:p>
      <w:pPr>
        <w:pStyle w:val="Heading2"/>
        <w:spacing w:before="280" w:after="80"/>
      </w:pPr>
      <w:r>
        <w:t>21. Release Management (Priority: P1)</w:t>
      </w:r>
    </w:p>
    <w:tbl>
      <w:tblPr>
        <w:tblW w:type="auto" w:w="0"/>
        <w:jc w:val="center"/>
        <w:tblLayout w:type="fixed"/>
        <w:tblLook w:firstColumn="1" w:firstRow="1" w:lastColumn="0" w:lastRow="0" w:noHBand="0" w:noVBand="1" w:val="04A0"/>
      </w:tblPr>
      <w:tblGrid>
        <w:gridCol w:w="2592"/>
        <w:gridCol w:w="6768"/>
      </w:tblGrid>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Current Status</w:t>
            </w:r>
          </w:p>
        </w:tc>
        <w:tc>
          <w:tcPr>
            <w:tcW w:type="dxa" w:w="4968"/>
            <w:tcMar>
              <w:top w:w="60" w:type="dxa"/>
              <w:bottom w:w="60" w:type="dxa"/>
              <w:left w:w="80" w:type="dxa"/>
              <w:right w:w="80" w:type="dxa"/>
            </w:tcMar>
            <w:shd w:fill="ECFDF5"/>
          </w:tcPr>
          <w:p>
            <w:pPr>
              <w:spacing w:line="264" w:lineRule="auto"/>
            </w:pPr>
            <w:r>
              <w:rPr>
                <w:rFonts w:ascii="Calibri" w:hAnsi="Calibri"/>
                <w:b/>
                <w:color w:val="059669"/>
                <w:sz w:val="19"/>
              </w:rPr>
              <w:t>Implemented (✅)</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Essential Requirement</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Versioning, change log, rollback, and dependency checks. Deploy an update and roll it back safely.</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Validation Method</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Verified via semantic versioning, 30+ comprehensive markdown changelogs, and strict dependency pinning.</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Codebase Evidence</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 Release Documentation: 30+ markdown release reports in root (e.g. AI_ERROR_CORRECTION_RELEASE.md).</w:t>
              <w:br/>
              <w:t>• Dependency Integrity: package.json with locked dependencies and postinstall validation.</w:t>
              <w:br/>
              <w:t>• Version Control: Git history with atomic commits connected to Lovable deployment pipelines.</w:t>
            </w:r>
          </w:p>
        </w:tc>
      </w:tr>
      <w:tr>
        <w:tc>
          <w:tcPr>
            <w:tcW w:type="dxa" w:w="4968"/>
            <w:shd w:fill="F1F5F9"/>
            <w:tcMar>
              <w:top w:w="60" w:type="dxa"/>
              <w:bottom w:w="60" w:type="dxa"/>
              <w:left w:w="80" w:type="dxa"/>
              <w:right w:w="80" w:type="dxa"/>
            </w:tcMar>
          </w:tcPr>
          <w:p>
            <w:pPr>
              <w:spacing w:line="252" w:lineRule="auto"/>
            </w:pPr>
            <w:r>
              <w:rPr>
                <w:rFonts w:ascii="Calibri" w:hAnsi="Calibri"/>
                <w:b/>
                <w:color w:val="0F172A"/>
                <w:sz w:val="17"/>
              </w:rPr>
              <w:t>Gaps &amp; Remediation</w:t>
            </w:r>
          </w:p>
        </w:tc>
        <w:tc>
          <w:tcPr>
            <w:tcW w:type="dxa" w:w="4968"/>
            <w:tcMar>
              <w:top w:w="60" w:type="dxa"/>
              <w:bottom w:w="60" w:type="dxa"/>
              <w:left w:w="80" w:type="dxa"/>
              <w:right w:w="80" w:type="dxa"/>
            </w:tcMar>
            <w:shd w:fill="FFFFFF"/>
          </w:tcPr>
          <w:p>
            <w:pPr>
              <w:spacing w:line="264" w:lineRule="auto"/>
            </w:pPr>
            <w:r>
              <w:rPr>
                <w:rFonts w:ascii="Calibri" w:hAnsi="Calibri"/>
                <w:color w:val="334155"/>
                <w:sz w:val="17"/>
              </w:rPr>
              <w:t>GAPS:</w:t>
              <w:br/>
              <w:t>None. Rollbacks can be executed cleanly via Git revert or Docker container re-tagging.</w:t>
              <w:br/>
              <w:br/>
              <w:t>REMEDIATION PLAN:</w:t>
              <w:br/>
              <w:t>Automate changelog generation using Conventional Commits and automated GitHub Release tags.</w:t>
            </w:r>
          </w:p>
        </w:tc>
      </w:tr>
    </w:tbl>
    <w:p>
      <w:pPr>
        <w:spacing w:after="120"/>
      </w:pPr>
    </w:p>
    <w:p>
      <w:r>
        <w:br w:type="page"/>
      </w:r>
    </w:p>
    <w:p>
      <w:pPr>
        <w:pStyle w:val="Heading1"/>
      </w:pPr>
      <w:r>
        <w:t>4. Strategic Architecture Roadmap for Enterprise SaaS</w:t>
      </w:r>
    </w:p>
    <w:p>
      <w:pPr>
        <w:spacing w:line="276" w:lineRule="auto"/>
      </w:pPr>
      <w:r>
        <w:t>To advance from 52.4% full implementation to 100% enterprise SaaS compliance, execute the following 3-phase strategic roadmap:</w:t>
      </w:r>
    </w:p>
    <w:tbl>
      <w:tblPr>
        <w:tblW w:type="auto" w:w="0"/>
        <w:jc w:val="center"/>
        <w:tblLayout w:type="fixed"/>
        <w:tblLook w:firstColumn="1" w:firstRow="1" w:lastColumn="0" w:lastRow="0" w:noHBand="0" w:noVBand="1" w:val="04A0"/>
      </w:tblPr>
      <w:tblGrid>
        <w:gridCol w:w="9360"/>
      </w:tblGrid>
      <w:tr>
        <w:tc>
          <w:tcPr>
            <w:tcW w:type="dxa" w:w="9936"/>
            <w:shd w:fill="F0F9FF"/>
            <w:tcMar>
              <w:top w:w="120" w:type="dxa"/>
              <w:bottom w:w="120" w:type="dxa"/>
              <w:left w:w="180" w:type="dxa"/>
              <w:right w:w="180" w:type="dxa"/>
            </w:tcMar>
            <w:tcBorders>
              <w:top w:val="none"/>
              <w:left w:val="single" w:sz="36" w:space="0" w:color="3B82F6"/>
              <w:bottom w:val="none"/>
              <w:right w:val="none"/>
            </w:tcBorders>
          </w:tcPr>
          <w:p>
            <w:pPr>
              <w:spacing w:before="40" w:after="40" w:line="276" w:lineRule="auto"/>
            </w:pPr>
            <w:r>
              <w:rPr>
                <w:rFonts w:ascii="Calibri" w:hAnsi="Calibri"/>
                <w:b/>
                <w:color w:val="0F172A"/>
                <w:sz w:val="21"/>
              </w:rPr>
              <w:t>Phase 1: High Priority (P0 Security &amp; Access) (Weeks 1–2)</w:t>
              <w:br/>
            </w:r>
            <w:r>
              <w:rPr>
                <w:rFonts w:ascii="Calibri" w:hAnsi="Calibri"/>
                <w:color w:val="334155"/>
                <w:sz w:val="19"/>
              </w:rPr>
              <w:t>• Implement Role-Based Access Control (RBAC): Define Viewer, Developer, Approver, and Admin roles.</w:t>
              <w:br/>
              <w:t>• Build Admin Portal (/app/admin): UI for user invitations, role assignments, and license oversight.</w:t>
              <w:br/>
              <w:t>• API Security Middleware: Enforce Supabase JWT Bearer token authentication on all internal /api/* endpoints.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0F9FF"/>
            <w:tcMar>
              <w:top w:w="120" w:type="dxa"/>
              <w:bottom w:w="120" w:type="dxa"/>
              <w:left w:w="180" w:type="dxa"/>
              <w:right w:w="180" w:type="dxa"/>
            </w:tcMar>
            <w:tcBorders>
              <w:top w:val="none"/>
              <w:left w:val="single" w:sz="36" w:space="0" w:color="3B82F6"/>
              <w:bottom w:val="none"/>
              <w:right w:val="none"/>
            </w:tcBorders>
          </w:tcPr>
          <w:p>
            <w:pPr>
              <w:spacing w:before="40" w:after="40" w:line="276" w:lineRule="auto"/>
            </w:pPr>
            <w:r>
              <w:rPr>
                <w:rFonts w:ascii="Calibri" w:hAnsi="Calibri"/>
                <w:b/>
                <w:color w:val="0F172A"/>
                <w:sz w:val="21"/>
              </w:rPr>
              <w:t>Phase 2: Data Persistence &amp; Multi-Tenancy (Weeks 3–4)</w:t>
              <w:br/>
            </w:r>
            <w:r>
              <w:rPr>
                <w:rFonts w:ascii="Calibri" w:hAnsi="Calibri"/>
                <w:color w:val="334155"/>
                <w:sz w:val="19"/>
              </w:rPr>
              <w:t>• Cloud Workspace Persistence: Save and load migration projects to Supabase PostgreSQL with tenant_id RLS.</w:t>
              <w:br/>
              <w:t>• Persistent Audit Logging: Insert login, approval, and PBIP export events into an audit_logs table.</w:t>
              <w:br/>
              <w:t>• Automated Cloud Snapshots: Enable one-click snapshot restore of past migration workspaces.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936"/>
            <w:shd w:fill="F0F9FF"/>
            <w:tcMar>
              <w:top w:w="120" w:type="dxa"/>
              <w:bottom w:w="120" w:type="dxa"/>
              <w:left w:w="180" w:type="dxa"/>
              <w:right w:w="180" w:type="dxa"/>
            </w:tcMar>
            <w:tcBorders>
              <w:top w:val="none"/>
              <w:left w:val="single" w:sz="36" w:space="0" w:color="3B82F6"/>
              <w:bottom w:val="none"/>
              <w:right w:val="none"/>
            </w:tcBorders>
          </w:tcPr>
          <w:p>
            <w:pPr>
              <w:spacing w:before="40" w:after="40" w:line="276" w:lineRule="auto"/>
            </w:pPr>
            <w:r>
              <w:rPr>
                <w:rFonts w:ascii="Calibri" w:hAnsi="Calibri"/>
                <w:b/>
                <w:color w:val="0F172A"/>
                <w:sz w:val="21"/>
              </w:rPr>
              <w:t>Phase 3: Enterprise SSO &amp; Compliance (P1) (Weeks 5–6)</w:t>
              <w:br/>
            </w:r>
            <w:r>
              <w:rPr>
                <w:rFonts w:ascii="Calibri" w:hAnsi="Calibri"/>
                <w:color w:val="334155"/>
                <w:sz w:val="19"/>
              </w:rPr>
              <w:t>• Enterprise SSO: Direct SAML 2.0 / Azure AD / Okta sign-in buttons on /auth.</w:t>
              <w:br/>
              <w:t>• Automated Data Retention: Server cron job auto-deleting staging files in qvd-output/ after 24 hours.</w:t>
              <w:br/>
              <w:t>• Formal Accessibility Certification: WCAG 2.2 AA validation report and compliance statement.</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 For Internal Engineering &amp; Quality Assurance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VTAB Square | Enterprise Readiness &amp; Essential Requirements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