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32F5" w:rsidRPr="00A64DB6" w:rsidRDefault="00000000">
      <w:pPr>
        <w:spacing w:after="80"/>
        <w:jc w:val="center"/>
        <w:rPr>
          <w:b/>
          <w:bCs/>
          <w:sz w:val="32"/>
          <w:szCs w:val="32"/>
        </w:rPr>
      </w:pPr>
      <w:r w:rsidRPr="00A64DB6">
        <w:rPr>
          <w:b/>
          <w:bCs/>
          <w:sz w:val="32"/>
          <w:szCs w:val="32"/>
        </w:rPr>
        <w:t>UNIVERSIDAD AUTONOMA GABRIEL RENE MORENO</w:t>
      </w:r>
    </w:p>
    <w:p w:rsidR="009532F5" w:rsidRPr="00A64DB6" w:rsidRDefault="00000000">
      <w:pPr>
        <w:spacing w:after="80"/>
        <w:jc w:val="center"/>
        <w:rPr>
          <w:b/>
          <w:bCs/>
          <w:sz w:val="32"/>
          <w:szCs w:val="32"/>
        </w:rPr>
      </w:pPr>
      <w:r w:rsidRPr="00A64DB6">
        <w:rPr>
          <w:b/>
          <w:bCs/>
          <w:sz w:val="32"/>
          <w:szCs w:val="32"/>
        </w:rPr>
        <w:t>FACULTAD DE INGENIERIA EN CIENCIAS DE LA COMPUTACION Y TELECOMUNICACIONES</w:t>
      </w:r>
    </w:p>
    <w:p w:rsidR="00E5780A" w:rsidRDefault="00E5780A">
      <w:pPr>
        <w:spacing w:after="80"/>
        <w:jc w:val="center"/>
      </w:pPr>
    </w:p>
    <w:p w:rsidR="00A64DB6" w:rsidRDefault="00A64DB6">
      <w:pPr>
        <w:spacing w:after="80"/>
        <w:jc w:val="center"/>
      </w:pPr>
    </w:p>
    <w:p w:rsidR="00E5780A" w:rsidRDefault="00000000" w:rsidP="00E5780A">
      <w:pPr>
        <w:spacing w:after="80"/>
        <w:jc w:val="center"/>
        <w:rPr>
          <w:b/>
          <w:bCs/>
          <w:sz w:val="32"/>
          <w:szCs w:val="32"/>
        </w:rPr>
      </w:pPr>
      <w:r w:rsidRPr="00E5780A">
        <w:rPr>
          <w:b/>
          <w:bCs/>
          <w:sz w:val="32"/>
          <w:szCs w:val="32"/>
        </w:rPr>
        <w:t>UAGRM SCHOOL OF ENGINEERING</w:t>
      </w:r>
    </w:p>
    <w:p w:rsidR="00E5780A" w:rsidRDefault="00E5780A">
      <w:pPr>
        <w:spacing w:after="80"/>
        <w:jc w:val="center"/>
        <w:rPr>
          <w:b/>
          <w:bCs/>
          <w:sz w:val="32"/>
          <w:szCs w:val="32"/>
        </w:rPr>
      </w:pPr>
      <w:r>
        <w:rPr>
          <w:b/>
          <w:bCs/>
          <w:noProof/>
          <w:sz w:val="32"/>
          <w:szCs w:val="32"/>
        </w:rPr>
        <w:drawing>
          <wp:inline distT="0" distB="0" distL="0" distR="0" wp14:anchorId="05E8A61C" wp14:editId="49394541">
            <wp:extent cx="4835525" cy="1473370"/>
            <wp:effectExtent l="0" t="0" r="0" b="0"/>
            <wp:docPr id="1475622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22717" name="Imagen 1475622717"/>
                    <pic:cNvPicPr/>
                  </pic:nvPicPr>
                  <pic:blipFill rotWithShape="1">
                    <a:blip r:embed="rId8">
                      <a:extLst>
                        <a:ext uri="{28A0092B-C50C-407E-A947-70E740481C1C}">
                          <a14:useLocalDpi xmlns:a14="http://schemas.microsoft.com/office/drawing/2010/main" val="0"/>
                        </a:ext>
                      </a:extLst>
                    </a:blip>
                    <a:srcRect t="19967" b="20641"/>
                    <a:stretch/>
                  </pic:blipFill>
                  <pic:spPr bwMode="auto">
                    <a:xfrm>
                      <a:off x="0" y="0"/>
                      <a:ext cx="4897354" cy="1492209"/>
                    </a:xfrm>
                    <a:prstGeom prst="rect">
                      <a:avLst/>
                    </a:prstGeom>
                    <a:ln>
                      <a:noFill/>
                    </a:ln>
                    <a:extLst>
                      <a:ext uri="{53640926-AAD7-44D8-BBD7-CCE9431645EC}">
                        <a14:shadowObscured xmlns:a14="http://schemas.microsoft.com/office/drawing/2010/main"/>
                      </a:ext>
                    </a:extLst>
                  </pic:spPr>
                </pic:pic>
              </a:graphicData>
            </a:graphic>
          </wp:inline>
        </w:drawing>
      </w:r>
    </w:p>
    <w:p w:rsidR="00E5780A" w:rsidRPr="00E5780A" w:rsidRDefault="00E5780A">
      <w:pPr>
        <w:spacing w:after="80"/>
        <w:jc w:val="center"/>
        <w:rPr>
          <w:b/>
          <w:bCs/>
          <w:sz w:val="32"/>
          <w:szCs w:val="32"/>
        </w:rPr>
      </w:pPr>
    </w:p>
    <w:p w:rsidR="009532F5" w:rsidRPr="00E5780A" w:rsidRDefault="00000000">
      <w:pPr>
        <w:spacing w:after="600"/>
        <w:jc w:val="center"/>
        <w:rPr>
          <w:sz w:val="28"/>
          <w:szCs w:val="28"/>
        </w:rPr>
      </w:pPr>
      <w:r w:rsidRPr="00E5780A">
        <w:rPr>
          <w:b/>
          <w:bCs/>
          <w:sz w:val="28"/>
          <w:szCs w:val="28"/>
        </w:rPr>
        <w:t>MAESTRIA EN CIENCIA DE DATOS E INTELIGENCIA ARTIFICIAL</w:t>
      </w:r>
    </w:p>
    <w:p w:rsidR="009532F5" w:rsidRPr="00A64DB6" w:rsidRDefault="003E1881">
      <w:pPr>
        <w:spacing w:after="600"/>
        <w:jc w:val="center"/>
        <w:rPr>
          <w:sz w:val="32"/>
          <w:szCs w:val="32"/>
        </w:rPr>
      </w:pPr>
      <w:r w:rsidRPr="003E1881">
        <w:rPr>
          <w:b/>
          <w:bCs/>
          <w:sz w:val="32"/>
          <w:szCs w:val="32"/>
        </w:rPr>
        <w:t>Sistema de inteligencia artificial para la detección de falsa atribución del patrimonio cultural inmaterial boliviano en medios digitales mediante clasificación de textos y agentes conversacionales, en Bolivia, 202</w:t>
      </w:r>
      <w:r>
        <w:rPr>
          <w:b/>
          <w:bCs/>
          <w:sz w:val="32"/>
          <w:szCs w:val="32"/>
        </w:rPr>
        <w:t>5</w:t>
      </w:r>
      <w:r w:rsidRPr="003E1881">
        <w:rPr>
          <w:b/>
          <w:bCs/>
          <w:sz w:val="32"/>
          <w:szCs w:val="32"/>
        </w:rPr>
        <w:t>–202</w:t>
      </w:r>
      <w:r>
        <w:rPr>
          <w:b/>
          <w:bCs/>
          <w:sz w:val="32"/>
          <w:szCs w:val="32"/>
        </w:rPr>
        <w:t>6</w:t>
      </w:r>
    </w:p>
    <w:p w:rsidR="00CE56D2" w:rsidRDefault="00CE56D2" w:rsidP="00CE56D2">
      <w:pPr>
        <w:spacing w:after="60"/>
        <w:ind w:right="417"/>
        <w:jc w:val="right"/>
        <w:rPr>
          <w:b/>
          <w:bCs/>
          <w:sz w:val="24"/>
          <w:szCs w:val="24"/>
        </w:rPr>
      </w:pPr>
    </w:p>
    <w:p w:rsidR="00CE56D2" w:rsidRDefault="00CE56D2" w:rsidP="00CE56D2">
      <w:pPr>
        <w:spacing w:after="60"/>
        <w:ind w:right="417"/>
        <w:jc w:val="right"/>
        <w:rPr>
          <w:b/>
          <w:bCs/>
          <w:sz w:val="24"/>
          <w:szCs w:val="24"/>
        </w:rPr>
      </w:pPr>
    </w:p>
    <w:p w:rsidR="009532F5" w:rsidRDefault="00000000" w:rsidP="00CE56D2">
      <w:pPr>
        <w:spacing w:after="60"/>
        <w:ind w:right="417"/>
        <w:jc w:val="right"/>
      </w:pPr>
      <w:r>
        <w:rPr>
          <w:b/>
          <w:bCs/>
          <w:sz w:val="24"/>
          <w:szCs w:val="24"/>
        </w:rPr>
        <w:t>AUTOR:</w:t>
      </w:r>
    </w:p>
    <w:p w:rsidR="009532F5" w:rsidRDefault="00A64DB6" w:rsidP="00CE56D2">
      <w:pPr>
        <w:spacing w:after="200"/>
        <w:ind w:right="417"/>
        <w:jc w:val="right"/>
      </w:pPr>
      <w:r>
        <w:rPr>
          <w:sz w:val="24"/>
          <w:szCs w:val="24"/>
        </w:rPr>
        <w:t>Lic. Veronica Tancara Casilla</w:t>
      </w:r>
    </w:p>
    <w:p w:rsidR="009532F5" w:rsidRDefault="00000000" w:rsidP="00CE56D2">
      <w:pPr>
        <w:spacing w:after="60"/>
        <w:ind w:right="417"/>
        <w:jc w:val="right"/>
      </w:pPr>
      <w:r>
        <w:rPr>
          <w:b/>
          <w:bCs/>
          <w:sz w:val="24"/>
          <w:szCs w:val="24"/>
        </w:rPr>
        <w:t>DIRECTOR DE TRABAJO FINAL DE GRADO:</w:t>
      </w:r>
    </w:p>
    <w:p w:rsidR="00954409" w:rsidRPr="00CE56D2" w:rsidRDefault="00000000" w:rsidP="00CE56D2">
      <w:pPr>
        <w:spacing w:after="200"/>
        <w:ind w:right="417"/>
        <w:jc w:val="right"/>
      </w:pPr>
      <w:r>
        <w:rPr>
          <w:sz w:val="24"/>
          <w:szCs w:val="24"/>
        </w:rPr>
        <w:t>PhD./</w:t>
      </w:r>
      <w:proofErr w:type="spellStart"/>
      <w:r>
        <w:rPr>
          <w:sz w:val="24"/>
          <w:szCs w:val="24"/>
        </w:rPr>
        <w:t>MSc</w:t>
      </w:r>
      <w:proofErr w:type="spellEnd"/>
      <w:r>
        <w:rPr>
          <w:sz w:val="24"/>
          <w:szCs w:val="24"/>
        </w:rPr>
        <w:t>. [Nombre del Director]</w:t>
      </w: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954409" w:rsidRDefault="00954409" w:rsidP="00A64DB6">
      <w:pPr>
        <w:jc w:val="right"/>
        <w:rPr>
          <w:sz w:val="24"/>
          <w:szCs w:val="24"/>
        </w:rPr>
      </w:pPr>
    </w:p>
    <w:p w:rsidR="00A64DB6" w:rsidRDefault="00000000" w:rsidP="00954409">
      <w:pPr>
        <w:jc w:val="center"/>
        <w:rPr>
          <w:sz w:val="24"/>
          <w:szCs w:val="24"/>
        </w:rPr>
      </w:pPr>
      <w:r>
        <w:rPr>
          <w:sz w:val="24"/>
          <w:szCs w:val="24"/>
        </w:rPr>
        <w:t>La Paz, Bolivia</w:t>
      </w:r>
    </w:p>
    <w:p w:rsidR="00E5780A" w:rsidRPr="00954409" w:rsidRDefault="00A64DB6" w:rsidP="00954409">
      <w:pPr>
        <w:jc w:val="center"/>
        <w:rPr>
          <w:sz w:val="24"/>
          <w:szCs w:val="24"/>
        </w:rPr>
      </w:pPr>
      <w:r>
        <w:rPr>
          <w:sz w:val="24"/>
          <w:szCs w:val="24"/>
        </w:rPr>
        <w:t>Abril, 202</w:t>
      </w:r>
      <w:r w:rsidR="00954409">
        <w:rPr>
          <w:sz w:val="24"/>
          <w:szCs w:val="24"/>
        </w:rPr>
        <w:t>6</w:t>
      </w:r>
      <w:r w:rsidR="00E5780A">
        <w:br w:type="page"/>
      </w:r>
    </w:p>
    <w:p w:rsidR="009532F5" w:rsidRPr="00954409" w:rsidRDefault="00954409" w:rsidP="00E5780A">
      <w:pPr>
        <w:spacing w:before="360" w:after="160"/>
        <w:jc w:val="center"/>
        <w:rPr>
          <w:sz w:val="28"/>
          <w:szCs w:val="28"/>
        </w:rPr>
      </w:pPr>
      <w:r w:rsidRPr="00954409">
        <w:rPr>
          <w:b/>
          <w:bCs/>
          <w:sz w:val="28"/>
          <w:szCs w:val="28"/>
        </w:rPr>
        <w:lastRenderedPageBreak/>
        <w:t>ÍNDICE GENERAL</w:t>
      </w:r>
    </w:p>
    <w:p w:rsidR="009532F5" w:rsidRDefault="009532F5"/>
    <w:sdt>
      <w:sdtPr>
        <w:rPr>
          <w:rFonts w:asciiTheme="majorHAnsi" w:eastAsiaTheme="majorEastAsia" w:hAnsiTheme="majorHAnsi" w:cstheme="majorBidi"/>
          <w:b w:val="0"/>
          <w:bCs w:val="0"/>
          <w:i w:val="0"/>
          <w:iCs w:val="0"/>
          <w:color w:val="2F5496" w:themeColor="accent1" w:themeShade="BF"/>
          <w:sz w:val="28"/>
          <w:szCs w:val="28"/>
          <w:lang w:val="es-ES"/>
        </w:rPr>
        <w:id w:val="-1004896062"/>
        <w:docPartObj>
          <w:docPartGallery w:val="Table of Contents"/>
          <w:docPartUnique/>
        </w:docPartObj>
      </w:sdtPr>
      <w:sdtEndPr>
        <w:rPr>
          <w:rFonts w:ascii="Times New Roman" w:eastAsia="Times New Roman" w:hAnsi="Times New Roman" w:cs="Times New Roman"/>
          <w:noProof/>
          <w:color w:val="2E74B5"/>
          <w:sz w:val="32"/>
          <w:szCs w:val="32"/>
          <w:lang w:val="es-US"/>
        </w:rPr>
      </w:sdtEndPr>
      <w:sdtContent>
        <w:p w:rsidR="00522227" w:rsidRDefault="001C2F6D">
          <w:pPr>
            <w:pStyle w:val="TDC1"/>
            <w:tabs>
              <w:tab w:val="right" w:leader="dot" w:pos="8777"/>
            </w:tabs>
            <w:rPr>
              <w:rFonts w:eastAsiaTheme="minorEastAsia" w:cstheme="minorBidi"/>
              <w:b w:val="0"/>
              <w:bCs w:val="0"/>
              <w:i w:val="0"/>
              <w:iCs w:val="0"/>
              <w:noProof/>
              <w:kern w:val="2"/>
              <w14:ligatures w14:val="standardContextual"/>
            </w:rPr>
          </w:pPr>
          <w:r w:rsidRPr="00CE56D2">
            <w:rPr>
              <w:b w:val="0"/>
              <w:bCs w:val="0"/>
              <w:sz w:val="22"/>
              <w:szCs w:val="22"/>
            </w:rPr>
            <w:fldChar w:fldCharType="begin"/>
          </w:r>
          <w:r w:rsidRPr="00CE56D2">
            <w:rPr>
              <w:b w:val="0"/>
              <w:bCs w:val="0"/>
            </w:rPr>
            <w:instrText>TOC \o "1-3" \h \z \u</w:instrText>
          </w:r>
          <w:r w:rsidRPr="00CE56D2">
            <w:rPr>
              <w:b w:val="0"/>
              <w:bCs w:val="0"/>
              <w:sz w:val="22"/>
              <w:szCs w:val="22"/>
            </w:rPr>
            <w:fldChar w:fldCharType="separate"/>
          </w:r>
          <w:hyperlink w:anchor="_Toc228308138" w:history="1">
            <w:r w:rsidR="00522227" w:rsidRPr="00375092">
              <w:rPr>
                <w:rStyle w:val="Hipervnculo"/>
                <w:noProof/>
              </w:rPr>
              <w:t>INTRODUCCIÓN</w:t>
            </w:r>
            <w:r w:rsidR="00522227">
              <w:rPr>
                <w:noProof/>
                <w:webHidden/>
              </w:rPr>
              <w:tab/>
            </w:r>
            <w:r w:rsidR="00522227">
              <w:rPr>
                <w:noProof/>
                <w:webHidden/>
              </w:rPr>
              <w:fldChar w:fldCharType="begin"/>
            </w:r>
            <w:r w:rsidR="00522227">
              <w:rPr>
                <w:noProof/>
                <w:webHidden/>
              </w:rPr>
              <w:instrText xml:space="preserve"> PAGEREF _Toc228308138 \h </w:instrText>
            </w:r>
            <w:r w:rsidR="00522227">
              <w:rPr>
                <w:noProof/>
                <w:webHidden/>
              </w:rPr>
            </w:r>
            <w:r w:rsidR="00522227">
              <w:rPr>
                <w:noProof/>
                <w:webHidden/>
              </w:rPr>
              <w:fldChar w:fldCharType="separate"/>
            </w:r>
            <w:r w:rsidR="00522227">
              <w:rPr>
                <w:noProof/>
                <w:webHidden/>
              </w:rPr>
              <w:t>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39" w:history="1">
            <w:r w:rsidR="00522227" w:rsidRPr="00375092">
              <w:rPr>
                <w:rStyle w:val="Hipervnculo"/>
                <w:noProof/>
              </w:rPr>
              <w:t>1.</w:t>
            </w:r>
            <w:r w:rsidR="00522227">
              <w:rPr>
                <w:rFonts w:eastAsiaTheme="minorEastAsia" w:cstheme="minorBidi"/>
                <w:b w:val="0"/>
                <w:bCs w:val="0"/>
                <w:noProof/>
                <w:kern w:val="2"/>
                <w:sz w:val="24"/>
                <w:szCs w:val="24"/>
                <w14:ligatures w14:val="standardContextual"/>
              </w:rPr>
              <w:tab/>
            </w:r>
            <w:r w:rsidR="00522227" w:rsidRPr="00375092">
              <w:rPr>
                <w:rStyle w:val="Hipervnculo"/>
                <w:noProof/>
              </w:rPr>
              <w:t>Antecedentes del problema</w:t>
            </w:r>
            <w:r w:rsidR="00522227">
              <w:rPr>
                <w:noProof/>
                <w:webHidden/>
              </w:rPr>
              <w:tab/>
            </w:r>
            <w:r w:rsidR="00522227">
              <w:rPr>
                <w:noProof/>
                <w:webHidden/>
              </w:rPr>
              <w:fldChar w:fldCharType="begin"/>
            </w:r>
            <w:r w:rsidR="00522227">
              <w:rPr>
                <w:noProof/>
                <w:webHidden/>
              </w:rPr>
              <w:instrText xml:space="preserve"> PAGEREF _Toc228308139 \h </w:instrText>
            </w:r>
            <w:r w:rsidR="00522227">
              <w:rPr>
                <w:noProof/>
                <w:webHidden/>
              </w:rPr>
            </w:r>
            <w:r w:rsidR="00522227">
              <w:rPr>
                <w:noProof/>
                <w:webHidden/>
              </w:rPr>
              <w:fldChar w:fldCharType="separate"/>
            </w:r>
            <w:r w:rsidR="00522227">
              <w:rPr>
                <w:noProof/>
                <w:webHidden/>
              </w:rPr>
              <w:t>6</w:t>
            </w:r>
            <w:r w:rsidR="00522227">
              <w:rPr>
                <w:noProof/>
                <w:webHidden/>
              </w:rPr>
              <w:fldChar w:fldCharType="end"/>
            </w:r>
          </w:hyperlink>
        </w:p>
        <w:p w:rsidR="00522227" w:rsidRDefault="00000000">
          <w:pPr>
            <w:pStyle w:val="TDC2"/>
            <w:tabs>
              <w:tab w:val="right" w:leader="dot" w:pos="8777"/>
            </w:tabs>
            <w:rPr>
              <w:rFonts w:eastAsiaTheme="minorEastAsia" w:cstheme="minorBidi"/>
              <w:b w:val="0"/>
              <w:bCs w:val="0"/>
              <w:noProof/>
              <w:kern w:val="2"/>
              <w:sz w:val="24"/>
              <w:szCs w:val="24"/>
              <w14:ligatures w14:val="standardContextual"/>
            </w:rPr>
          </w:pPr>
          <w:hyperlink w:anchor="_Toc228308140" w:history="1">
            <w:r w:rsidR="00522227" w:rsidRPr="00375092">
              <w:rPr>
                <w:rStyle w:val="Hipervnculo"/>
                <w:noProof/>
              </w:rPr>
              <w:t>Fundamentos del enfoque, diseño y tipo de investigación</w:t>
            </w:r>
            <w:r w:rsidR="00522227">
              <w:rPr>
                <w:noProof/>
                <w:webHidden/>
              </w:rPr>
              <w:tab/>
            </w:r>
            <w:r w:rsidR="00522227">
              <w:rPr>
                <w:noProof/>
                <w:webHidden/>
              </w:rPr>
              <w:fldChar w:fldCharType="begin"/>
            </w:r>
            <w:r w:rsidR="00522227">
              <w:rPr>
                <w:noProof/>
                <w:webHidden/>
              </w:rPr>
              <w:instrText xml:space="preserve"> PAGEREF _Toc228308140 \h </w:instrText>
            </w:r>
            <w:r w:rsidR="00522227">
              <w:rPr>
                <w:noProof/>
                <w:webHidden/>
              </w:rPr>
            </w:r>
            <w:r w:rsidR="00522227">
              <w:rPr>
                <w:noProof/>
                <w:webHidden/>
              </w:rPr>
              <w:fldChar w:fldCharType="separate"/>
            </w:r>
            <w:r w:rsidR="00522227">
              <w:rPr>
                <w:noProof/>
                <w:webHidden/>
              </w:rPr>
              <w:t>10</w:t>
            </w:r>
            <w:r w:rsidR="00522227">
              <w:rPr>
                <w:noProof/>
                <w:webHidden/>
              </w:rPr>
              <w:fldChar w:fldCharType="end"/>
            </w:r>
          </w:hyperlink>
        </w:p>
        <w:p w:rsidR="00522227" w:rsidRDefault="00000000">
          <w:pPr>
            <w:pStyle w:val="TDC2"/>
            <w:tabs>
              <w:tab w:val="right" w:leader="dot" w:pos="8777"/>
            </w:tabs>
            <w:rPr>
              <w:rFonts w:eastAsiaTheme="minorEastAsia" w:cstheme="minorBidi"/>
              <w:b w:val="0"/>
              <w:bCs w:val="0"/>
              <w:noProof/>
              <w:kern w:val="2"/>
              <w:sz w:val="24"/>
              <w:szCs w:val="24"/>
              <w14:ligatures w14:val="standardContextual"/>
            </w:rPr>
          </w:pPr>
          <w:hyperlink w:anchor="_Toc228308141" w:history="1">
            <w:r w:rsidR="00522227" w:rsidRPr="00375092">
              <w:rPr>
                <w:rStyle w:val="Hipervnculo"/>
                <w:noProof/>
              </w:rPr>
              <w:t>Fundamentos del planteamiento del problema</w:t>
            </w:r>
            <w:r w:rsidR="00522227">
              <w:rPr>
                <w:noProof/>
                <w:webHidden/>
              </w:rPr>
              <w:tab/>
            </w:r>
            <w:r w:rsidR="00522227">
              <w:rPr>
                <w:noProof/>
                <w:webHidden/>
              </w:rPr>
              <w:fldChar w:fldCharType="begin"/>
            </w:r>
            <w:r w:rsidR="00522227">
              <w:rPr>
                <w:noProof/>
                <w:webHidden/>
              </w:rPr>
              <w:instrText xml:space="preserve"> PAGEREF _Toc228308141 \h </w:instrText>
            </w:r>
            <w:r w:rsidR="00522227">
              <w:rPr>
                <w:noProof/>
                <w:webHidden/>
              </w:rPr>
            </w:r>
            <w:r w:rsidR="00522227">
              <w:rPr>
                <w:noProof/>
                <w:webHidden/>
              </w:rPr>
              <w:fldChar w:fldCharType="separate"/>
            </w:r>
            <w:r w:rsidR="00522227">
              <w:rPr>
                <w:noProof/>
                <w:webHidden/>
              </w:rPr>
              <w:t>11</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42" w:history="1">
            <w:r w:rsidR="00522227" w:rsidRPr="00375092">
              <w:rPr>
                <w:rStyle w:val="Hipervnculo"/>
                <w:noProof/>
              </w:rPr>
              <w:t>2.</w:t>
            </w:r>
            <w:r w:rsidR="00522227">
              <w:rPr>
                <w:rFonts w:eastAsiaTheme="minorEastAsia" w:cstheme="minorBidi"/>
                <w:b w:val="0"/>
                <w:bCs w:val="0"/>
                <w:noProof/>
                <w:kern w:val="2"/>
                <w:sz w:val="24"/>
                <w:szCs w:val="24"/>
                <w14:ligatures w14:val="standardContextual"/>
              </w:rPr>
              <w:tab/>
            </w:r>
            <w:r w:rsidR="00522227" w:rsidRPr="00375092">
              <w:rPr>
                <w:rStyle w:val="Hipervnculo"/>
                <w:noProof/>
              </w:rPr>
              <w:t>Formulación del problema</w:t>
            </w:r>
            <w:r w:rsidR="00522227">
              <w:rPr>
                <w:noProof/>
                <w:webHidden/>
              </w:rPr>
              <w:tab/>
            </w:r>
            <w:r w:rsidR="00522227">
              <w:rPr>
                <w:noProof/>
                <w:webHidden/>
              </w:rPr>
              <w:fldChar w:fldCharType="begin"/>
            </w:r>
            <w:r w:rsidR="00522227">
              <w:rPr>
                <w:noProof/>
                <w:webHidden/>
              </w:rPr>
              <w:instrText xml:space="preserve"> PAGEREF _Toc228308142 \h </w:instrText>
            </w:r>
            <w:r w:rsidR="00522227">
              <w:rPr>
                <w:noProof/>
                <w:webHidden/>
              </w:rPr>
            </w:r>
            <w:r w:rsidR="00522227">
              <w:rPr>
                <w:noProof/>
                <w:webHidden/>
              </w:rPr>
              <w:fldChar w:fldCharType="separate"/>
            </w:r>
            <w:r w:rsidR="00522227">
              <w:rPr>
                <w:noProof/>
                <w:webHidden/>
              </w:rPr>
              <w:t>13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43" w:history="1">
            <w:r w:rsidR="00522227" w:rsidRPr="00375092">
              <w:rPr>
                <w:rStyle w:val="Hipervnculo"/>
                <w:noProof/>
              </w:rPr>
              <w:t>2.1.</w:t>
            </w:r>
            <w:r w:rsidR="00522227">
              <w:rPr>
                <w:rFonts w:eastAsiaTheme="minorEastAsia" w:cstheme="minorBidi"/>
                <w:b w:val="0"/>
                <w:bCs w:val="0"/>
                <w:noProof/>
                <w:kern w:val="2"/>
                <w:sz w:val="24"/>
                <w:szCs w:val="24"/>
                <w14:ligatures w14:val="standardContextual"/>
              </w:rPr>
              <w:tab/>
            </w:r>
            <w:r w:rsidR="00522227" w:rsidRPr="00375092">
              <w:rPr>
                <w:rStyle w:val="Hipervnculo"/>
                <w:noProof/>
              </w:rPr>
              <w:t>Objeto de estudio</w:t>
            </w:r>
            <w:r w:rsidR="00522227">
              <w:rPr>
                <w:noProof/>
                <w:webHidden/>
              </w:rPr>
              <w:tab/>
            </w:r>
            <w:r w:rsidR="00522227">
              <w:rPr>
                <w:noProof/>
                <w:webHidden/>
              </w:rPr>
              <w:fldChar w:fldCharType="begin"/>
            </w:r>
            <w:r w:rsidR="00522227">
              <w:rPr>
                <w:noProof/>
                <w:webHidden/>
              </w:rPr>
              <w:instrText xml:space="preserve"> PAGEREF _Toc228308143 \h </w:instrText>
            </w:r>
            <w:r w:rsidR="00522227">
              <w:rPr>
                <w:noProof/>
                <w:webHidden/>
              </w:rPr>
            </w:r>
            <w:r w:rsidR="00522227">
              <w:rPr>
                <w:noProof/>
                <w:webHidden/>
              </w:rPr>
              <w:fldChar w:fldCharType="separate"/>
            </w:r>
            <w:r w:rsidR="00522227">
              <w:rPr>
                <w:noProof/>
                <w:webHidden/>
              </w:rPr>
              <w:t>13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44" w:history="1">
            <w:r w:rsidR="00522227" w:rsidRPr="00375092">
              <w:rPr>
                <w:rStyle w:val="Hipervnculo"/>
                <w:noProof/>
              </w:rPr>
              <w:t>2.2.</w:t>
            </w:r>
            <w:r w:rsidR="00522227">
              <w:rPr>
                <w:rFonts w:eastAsiaTheme="minorEastAsia" w:cstheme="minorBidi"/>
                <w:b w:val="0"/>
                <w:bCs w:val="0"/>
                <w:noProof/>
                <w:kern w:val="2"/>
                <w:sz w:val="24"/>
                <w:szCs w:val="24"/>
                <w14:ligatures w14:val="standardContextual"/>
              </w:rPr>
              <w:tab/>
            </w:r>
            <w:r w:rsidR="00522227" w:rsidRPr="00375092">
              <w:rPr>
                <w:rStyle w:val="Hipervnculo"/>
                <w:noProof/>
              </w:rPr>
              <w:t>Campo de acción</w:t>
            </w:r>
            <w:r w:rsidR="00522227">
              <w:rPr>
                <w:noProof/>
                <w:webHidden/>
              </w:rPr>
              <w:tab/>
            </w:r>
            <w:r w:rsidR="00522227">
              <w:rPr>
                <w:noProof/>
                <w:webHidden/>
              </w:rPr>
              <w:fldChar w:fldCharType="begin"/>
            </w:r>
            <w:r w:rsidR="00522227">
              <w:rPr>
                <w:noProof/>
                <w:webHidden/>
              </w:rPr>
              <w:instrText xml:space="preserve"> PAGEREF _Toc228308144 \h </w:instrText>
            </w:r>
            <w:r w:rsidR="00522227">
              <w:rPr>
                <w:noProof/>
                <w:webHidden/>
              </w:rPr>
            </w:r>
            <w:r w:rsidR="00522227">
              <w:rPr>
                <w:noProof/>
                <w:webHidden/>
              </w:rPr>
              <w:fldChar w:fldCharType="separate"/>
            </w:r>
            <w:r w:rsidR="00522227">
              <w:rPr>
                <w:noProof/>
                <w:webHidden/>
              </w:rPr>
              <w:t>13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45" w:history="1">
            <w:r w:rsidR="00522227" w:rsidRPr="00375092">
              <w:rPr>
                <w:rStyle w:val="Hipervnculo"/>
                <w:noProof/>
              </w:rPr>
              <w:t>3.</w:t>
            </w:r>
            <w:r w:rsidR="00522227">
              <w:rPr>
                <w:rFonts w:eastAsiaTheme="minorEastAsia" w:cstheme="minorBidi"/>
                <w:b w:val="0"/>
                <w:bCs w:val="0"/>
                <w:noProof/>
                <w:kern w:val="2"/>
                <w:sz w:val="24"/>
                <w:szCs w:val="24"/>
                <w14:ligatures w14:val="standardContextual"/>
              </w:rPr>
              <w:tab/>
            </w:r>
            <w:r w:rsidR="00522227" w:rsidRPr="00375092">
              <w:rPr>
                <w:rStyle w:val="Hipervnculo"/>
                <w:noProof/>
              </w:rPr>
              <w:t>Objetivos de la investigación</w:t>
            </w:r>
            <w:r w:rsidR="00522227">
              <w:rPr>
                <w:noProof/>
                <w:webHidden/>
              </w:rPr>
              <w:tab/>
            </w:r>
            <w:r w:rsidR="00522227">
              <w:rPr>
                <w:noProof/>
                <w:webHidden/>
              </w:rPr>
              <w:fldChar w:fldCharType="begin"/>
            </w:r>
            <w:r w:rsidR="00522227">
              <w:rPr>
                <w:noProof/>
                <w:webHidden/>
              </w:rPr>
              <w:instrText xml:space="preserve"> PAGEREF _Toc228308145 \h </w:instrText>
            </w:r>
            <w:r w:rsidR="00522227">
              <w:rPr>
                <w:noProof/>
                <w:webHidden/>
              </w:rPr>
            </w:r>
            <w:r w:rsidR="00522227">
              <w:rPr>
                <w:noProof/>
                <w:webHidden/>
              </w:rPr>
              <w:fldChar w:fldCharType="separate"/>
            </w:r>
            <w:r w:rsidR="00522227">
              <w:rPr>
                <w:noProof/>
                <w:webHidden/>
              </w:rPr>
              <w:t>13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46" w:history="1">
            <w:r w:rsidR="00522227" w:rsidRPr="00375092">
              <w:rPr>
                <w:rStyle w:val="Hipervnculo"/>
                <w:noProof/>
              </w:rPr>
              <w:t>3.1.</w:t>
            </w:r>
            <w:r w:rsidR="00522227">
              <w:rPr>
                <w:rFonts w:eastAsiaTheme="minorEastAsia" w:cstheme="minorBidi"/>
                <w:b w:val="0"/>
                <w:bCs w:val="0"/>
                <w:noProof/>
                <w:kern w:val="2"/>
                <w:sz w:val="24"/>
                <w:szCs w:val="24"/>
                <w14:ligatures w14:val="standardContextual"/>
              </w:rPr>
              <w:tab/>
            </w:r>
            <w:r w:rsidR="00522227" w:rsidRPr="00375092">
              <w:rPr>
                <w:rStyle w:val="Hipervnculo"/>
                <w:noProof/>
              </w:rPr>
              <w:t>Objetivo general</w:t>
            </w:r>
            <w:r w:rsidR="00522227">
              <w:rPr>
                <w:noProof/>
                <w:webHidden/>
              </w:rPr>
              <w:tab/>
            </w:r>
            <w:r w:rsidR="00522227">
              <w:rPr>
                <w:noProof/>
                <w:webHidden/>
              </w:rPr>
              <w:fldChar w:fldCharType="begin"/>
            </w:r>
            <w:r w:rsidR="00522227">
              <w:rPr>
                <w:noProof/>
                <w:webHidden/>
              </w:rPr>
              <w:instrText xml:space="preserve"> PAGEREF _Toc228308146 \h </w:instrText>
            </w:r>
            <w:r w:rsidR="00522227">
              <w:rPr>
                <w:noProof/>
                <w:webHidden/>
              </w:rPr>
            </w:r>
            <w:r w:rsidR="00522227">
              <w:rPr>
                <w:noProof/>
                <w:webHidden/>
              </w:rPr>
              <w:fldChar w:fldCharType="separate"/>
            </w:r>
            <w:r w:rsidR="00522227">
              <w:rPr>
                <w:noProof/>
                <w:webHidden/>
              </w:rPr>
              <w:t>13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47" w:history="1">
            <w:r w:rsidR="00522227" w:rsidRPr="00375092">
              <w:rPr>
                <w:rStyle w:val="Hipervnculo"/>
                <w:noProof/>
              </w:rPr>
              <w:t>3.2.</w:t>
            </w:r>
            <w:r w:rsidR="00522227">
              <w:rPr>
                <w:rFonts w:eastAsiaTheme="minorEastAsia" w:cstheme="minorBidi"/>
                <w:b w:val="0"/>
                <w:bCs w:val="0"/>
                <w:noProof/>
                <w:kern w:val="2"/>
                <w:sz w:val="24"/>
                <w:szCs w:val="24"/>
                <w14:ligatures w14:val="standardContextual"/>
              </w:rPr>
              <w:tab/>
            </w:r>
            <w:r w:rsidR="00522227" w:rsidRPr="00375092">
              <w:rPr>
                <w:rStyle w:val="Hipervnculo"/>
                <w:noProof/>
              </w:rPr>
              <w:t>Objetivos específicos</w:t>
            </w:r>
            <w:r w:rsidR="00522227">
              <w:rPr>
                <w:noProof/>
                <w:webHidden/>
              </w:rPr>
              <w:tab/>
            </w:r>
            <w:r w:rsidR="00522227">
              <w:rPr>
                <w:noProof/>
                <w:webHidden/>
              </w:rPr>
              <w:fldChar w:fldCharType="begin"/>
            </w:r>
            <w:r w:rsidR="00522227">
              <w:rPr>
                <w:noProof/>
                <w:webHidden/>
              </w:rPr>
              <w:instrText xml:space="preserve"> PAGEREF _Toc228308147 \h </w:instrText>
            </w:r>
            <w:r w:rsidR="00522227">
              <w:rPr>
                <w:noProof/>
                <w:webHidden/>
              </w:rPr>
            </w:r>
            <w:r w:rsidR="00522227">
              <w:rPr>
                <w:noProof/>
                <w:webHidden/>
              </w:rPr>
              <w:fldChar w:fldCharType="separate"/>
            </w:r>
            <w:r w:rsidR="00522227">
              <w:rPr>
                <w:noProof/>
                <w:webHidden/>
              </w:rPr>
              <w:t>13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48" w:history="1">
            <w:r w:rsidR="00522227" w:rsidRPr="00375092">
              <w:rPr>
                <w:rStyle w:val="Hipervnculo"/>
                <w:noProof/>
              </w:rPr>
              <w:t>4.</w:t>
            </w:r>
            <w:r w:rsidR="00522227">
              <w:rPr>
                <w:rFonts w:eastAsiaTheme="minorEastAsia" w:cstheme="minorBidi"/>
                <w:b w:val="0"/>
                <w:bCs w:val="0"/>
                <w:noProof/>
                <w:kern w:val="2"/>
                <w:sz w:val="24"/>
                <w:szCs w:val="24"/>
                <w14:ligatures w14:val="standardContextual"/>
              </w:rPr>
              <w:tab/>
            </w:r>
            <w:r w:rsidR="00522227" w:rsidRPr="00375092">
              <w:rPr>
                <w:rStyle w:val="Hipervnculo"/>
                <w:noProof/>
              </w:rPr>
              <w:t>Justificación de la Investigación</w:t>
            </w:r>
            <w:r w:rsidR="00522227">
              <w:rPr>
                <w:noProof/>
                <w:webHidden/>
              </w:rPr>
              <w:tab/>
            </w:r>
            <w:r w:rsidR="00522227">
              <w:rPr>
                <w:noProof/>
                <w:webHidden/>
              </w:rPr>
              <w:fldChar w:fldCharType="begin"/>
            </w:r>
            <w:r w:rsidR="00522227">
              <w:rPr>
                <w:noProof/>
                <w:webHidden/>
              </w:rPr>
              <w:instrText xml:space="preserve"> PAGEREF _Toc228308148 \h </w:instrText>
            </w:r>
            <w:r w:rsidR="00522227">
              <w:rPr>
                <w:noProof/>
                <w:webHidden/>
              </w:rPr>
            </w:r>
            <w:r w:rsidR="00522227">
              <w:rPr>
                <w:noProof/>
                <w:webHidden/>
              </w:rPr>
              <w:fldChar w:fldCharType="separate"/>
            </w:r>
            <w:r w:rsidR="00522227">
              <w:rPr>
                <w:noProof/>
                <w:webHidden/>
              </w:rPr>
              <w:t>14</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49" w:history="1">
            <w:r w:rsidR="00522227" w:rsidRPr="00375092">
              <w:rPr>
                <w:rStyle w:val="Hipervnculo"/>
                <w:noProof/>
              </w:rPr>
              <w:t>5.</w:t>
            </w:r>
            <w:r w:rsidR="00522227">
              <w:rPr>
                <w:rFonts w:eastAsiaTheme="minorEastAsia" w:cstheme="minorBidi"/>
                <w:b w:val="0"/>
                <w:bCs w:val="0"/>
                <w:noProof/>
                <w:kern w:val="2"/>
                <w:sz w:val="24"/>
                <w:szCs w:val="24"/>
                <w14:ligatures w14:val="standardContextual"/>
              </w:rPr>
              <w:tab/>
            </w:r>
            <w:r w:rsidR="00522227" w:rsidRPr="00375092">
              <w:rPr>
                <w:rStyle w:val="Hipervnculo"/>
                <w:noProof/>
              </w:rPr>
              <w:t>Formulación de la construcción teórica. Hipótesis para defender</w:t>
            </w:r>
            <w:r w:rsidR="00522227">
              <w:rPr>
                <w:noProof/>
                <w:webHidden/>
              </w:rPr>
              <w:tab/>
            </w:r>
            <w:r w:rsidR="00522227">
              <w:rPr>
                <w:noProof/>
                <w:webHidden/>
              </w:rPr>
              <w:fldChar w:fldCharType="begin"/>
            </w:r>
            <w:r w:rsidR="00522227">
              <w:rPr>
                <w:noProof/>
                <w:webHidden/>
              </w:rPr>
              <w:instrText xml:space="preserve"> PAGEREF _Toc228308149 \h </w:instrText>
            </w:r>
            <w:r w:rsidR="00522227">
              <w:rPr>
                <w:noProof/>
                <w:webHidden/>
              </w:rPr>
            </w:r>
            <w:r w:rsidR="00522227">
              <w:rPr>
                <w:noProof/>
                <w:webHidden/>
              </w:rPr>
              <w:fldChar w:fldCharType="separate"/>
            </w:r>
            <w:r w:rsidR="00522227">
              <w:rPr>
                <w:noProof/>
                <w:webHidden/>
              </w:rPr>
              <w:t>16</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50" w:history="1">
            <w:r w:rsidR="00522227" w:rsidRPr="00375092">
              <w:rPr>
                <w:rStyle w:val="Hipervnculo"/>
                <w:noProof/>
              </w:rPr>
              <w:t>5.1.</w:t>
            </w:r>
            <w:r w:rsidR="00522227">
              <w:rPr>
                <w:rFonts w:eastAsiaTheme="minorEastAsia" w:cstheme="minorBidi"/>
                <w:b w:val="0"/>
                <w:bCs w:val="0"/>
                <w:noProof/>
                <w:kern w:val="2"/>
                <w:sz w:val="24"/>
                <w:szCs w:val="24"/>
                <w14:ligatures w14:val="standardContextual"/>
              </w:rPr>
              <w:tab/>
            </w:r>
            <w:r w:rsidR="00522227" w:rsidRPr="00375092">
              <w:rPr>
                <w:rStyle w:val="Hipervnculo"/>
                <w:noProof/>
              </w:rPr>
              <w:t>Identificación de las variables</w:t>
            </w:r>
            <w:r w:rsidR="00522227">
              <w:rPr>
                <w:noProof/>
                <w:webHidden/>
              </w:rPr>
              <w:tab/>
            </w:r>
            <w:r w:rsidR="00522227">
              <w:rPr>
                <w:noProof/>
                <w:webHidden/>
              </w:rPr>
              <w:fldChar w:fldCharType="begin"/>
            </w:r>
            <w:r w:rsidR="00522227">
              <w:rPr>
                <w:noProof/>
                <w:webHidden/>
              </w:rPr>
              <w:instrText xml:space="preserve"> PAGEREF _Toc228308150 \h </w:instrText>
            </w:r>
            <w:r w:rsidR="00522227">
              <w:rPr>
                <w:noProof/>
                <w:webHidden/>
              </w:rPr>
            </w:r>
            <w:r w:rsidR="00522227">
              <w:rPr>
                <w:noProof/>
                <w:webHidden/>
              </w:rPr>
              <w:fldChar w:fldCharType="separate"/>
            </w:r>
            <w:r w:rsidR="00522227">
              <w:rPr>
                <w:noProof/>
                <w:webHidden/>
              </w:rPr>
              <w:t>17</w:t>
            </w:r>
            <w:r w:rsidR="00522227">
              <w:rPr>
                <w:noProof/>
                <w:webHidden/>
              </w:rPr>
              <w:fldChar w:fldCharType="end"/>
            </w:r>
          </w:hyperlink>
        </w:p>
        <w:p w:rsidR="00522227" w:rsidRDefault="00000000">
          <w:pPr>
            <w:pStyle w:val="TDC1"/>
            <w:tabs>
              <w:tab w:val="right" w:leader="dot" w:pos="8777"/>
            </w:tabs>
            <w:rPr>
              <w:rFonts w:eastAsiaTheme="minorEastAsia" w:cstheme="minorBidi"/>
              <w:b w:val="0"/>
              <w:bCs w:val="0"/>
              <w:i w:val="0"/>
              <w:iCs w:val="0"/>
              <w:noProof/>
              <w:kern w:val="2"/>
              <w14:ligatures w14:val="standardContextual"/>
            </w:rPr>
          </w:pPr>
          <w:hyperlink w:anchor="_Toc228308151" w:history="1">
            <w:r w:rsidR="00522227" w:rsidRPr="00375092">
              <w:rPr>
                <w:rStyle w:val="Hipervnculo"/>
                <w:noProof/>
              </w:rPr>
              <w:t>CAPÍTULO 1. REFERENTES TEÓRICOS</w:t>
            </w:r>
            <w:r w:rsidR="00522227">
              <w:rPr>
                <w:noProof/>
                <w:webHidden/>
              </w:rPr>
              <w:tab/>
            </w:r>
            <w:r w:rsidR="00522227">
              <w:rPr>
                <w:noProof/>
                <w:webHidden/>
              </w:rPr>
              <w:fldChar w:fldCharType="begin"/>
            </w:r>
            <w:r w:rsidR="00522227">
              <w:rPr>
                <w:noProof/>
                <w:webHidden/>
              </w:rPr>
              <w:instrText xml:space="preserve"> PAGEREF _Toc228308151 \h </w:instrText>
            </w:r>
            <w:r w:rsidR="00522227">
              <w:rPr>
                <w:noProof/>
                <w:webHidden/>
              </w:rPr>
            </w:r>
            <w:r w:rsidR="00522227">
              <w:rPr>
                <w:noProof/>
                <w:webHidden/>
              </w:rPr>
              <w:fldChar w:fldCharType="separate"/>
            </w:r>
            <w:r w:rsidR="00522227">
              <w:rPr>
                <w:noProof/>
                <w:webHidden/>
              </w:rPr>
              <w:t>18</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52" w:history="1">
            <w:r w:rsidR="00522227" w:rsidRPr="00375092">
              <w:rPr>
                <w:rStyle w:val="Hipervnculo"/>
                <w:noProof/>
              </w:rPr>
              <w:t>1.1.</w:t>
            </w:r>
            <w:r w:rsidR="00522227">
              <w:rPr>
                <w:rFonts w:eastAsiaTheme="minorEastAsia" w:cstheme="minorBidi"/>
                <w:b w:val="0"/>
                <w:bCs w:val="0"/>
                <w:noProof/>
                <w:kern w:val="2"/>
                <w:sz w:val="24"/>
                <w:szCs w:val="24"/>
                <w14:ligatures w14:val="standardContextual"/>
              </w:rPr>
              <w:tab/>
            </w:r>
            <w:r w:rsidR="00522227" w:rsidRPr="00375092">
              <w:rPr>
                <w:rStyle w:val="Hipervnculo"/>
                <w:noProof/>
              </w:rPr>
              <w:t>Referencia a núcleos teóricos a desarrollar en la investigación</w:t>
            </w:r>
            <w:r w:rsidR="00522227">
              <w:rPr>
                <w:noProof/>
                <w:webHidden/>
              </w:rPr>
              <w:tab/>
            </w:r>
            <w:r w:rsidR="00522227">
              <w:rPr>
                <w:noProof/>
                <w:webHidden/>
              </w:rPr>
              <w:fldChar w:fldCharType="begin"/>
            </w:r>
            <w:r w:rsidR="00522227">
              <w:rPr>
                <w:noProof/>
                <w:webHidden/>
              </w:rPr>
              <w:instrText xml:space="preserve"> PAGEREF _Toc228308152 \h </w:instrText>
            </w:r>
            <w:r w:rsidR="00522227">
              <w:rPr>
                <w:noProof/>
                <w:webHidden/>
              </w:rPr>
            </w:r>
            <w:r w:rsidR="00522227">
              <w:rPr>
                <w:noProof/>
                <w:webHidden/>
              </w:rPr>
              <w:fldChar w:fldCharType="separate"/>
            </w:r>
            <w:r w:rsidR="00522227">
              <w:rPr>
                <w:noProof/>
                <w:webHidden/>
              </w:rPr>
              <w:t>18</w:t>
            </w:r>
            <w:r w:rsidR="00522227">
              <w:rPr>
                <w:noProof/>
                <w:webHidden/>
              </w:rPr>
              <w:fldChar w:fldCharType="end"/>
            </w:r>
          </w:hyperlink>
        </w:p>
        <w:p w:rsidR="00522227" w:rsidRDefault="00000000">
          <w:pPr>
            <w:pStyle w:val="TDC3"/>
            <w:tabs>
              <w:tab w:val="left" w:pos="1200"/>
              <w:tab w:val="right" w:leader="dot" w:pos="8777"/>
            </w:tabs>
            <w:rPr>
              <w:rFonts w:eastAsiaTheme="minorEastAsia" w:cstheme="minorBidi"/>
              <w:noProof/>
              <w:kern w:val="2"/>
              <w:sz w:val="24"/>
              <w:szCs w:val="24"/>
              <w14:ligatures w14:val="standardContextual"/>
            </w:rPr>
          </w:pPr>
          <w:hyperlink w:anchor="_Toc228308153" w:history="1">
            <w:r w:rsidR="00522227" w:rsidRPr="00375092">
              <w:rPr>
                <w:rStyle w:val="Hipervnculo"/>
                <w:b/>
                <w:bCs/>
                <w:noProof/>
              </w:rPr>
              <w:t>1.1.1.</w:t>
            </w:r>
            <w:r w:rsidR="00522227">
              <w:rPr>
                <w:rFonts w:eastAsiaTheme="minorEastAsia" w:cstheme="minorBidi"/>
                <w:noProof/>
                <w:kern w:val="2"/>
                <w:sz w:val="24"/>
                <w:szCs w:val="24"/>
                <w14:ligatures w14:val="standardContextual"/>
              </w:rPr>
              <w:tab/>
            </w:r>
            <w:r w:rsidR="00522227" w:rsidRPr="00375092">
              <w:rPr>
                <w:rStyle w:val="Hipervnculo"/>
                <w:b/>
                <w:bCs/>
                <w:noProof/>
              </w:rPr>
              <w:t>Objeto de estudio</w:t>
            </w:r>
            <w:r w:rsidR="00522227">
              <w:rPr>
                <w:noProof/>
                <w:webHidden/>
              </w:rPr>
              <w:tab/>
            </w:r>
            <w:r w:rsidR="00522227">
              <w:rPr>
                <w:noProof/>
                <w:webHidden/>
              </w:rPr>
              <w:fldChar w:fldCharType="begin"/>
            </w:r>
            <w:r w:rsidR="00522227">
              <w:rPr>
                <w:noProof/>
                <w:webHidden/>
              </w:rPr>
              <w:instrText xml:space="preserve"> PAGEREF _Toc228308153 \h </w:instrText>
            </w:r>
            <w:r w:rsidR="00522227">
              <w:rPr>
                <w:noProof/>
                <w:webHidden/>
              </w:rPr>
            </w:r>
            <w:r w:rsidR="00522227">
              <w:rPr>
                <w:noProof/>
                <w:webHidden/>
              </w:rPr>
              <w:fldChar w:fldCharType="separate"/>
            </w:r>
            <w:r w:rsidR="00522227">
              <w:rPr>
                <w:noProof/>
                <w:webHidden/>
              </w:rPr>
              <w:t>18</w:t>
            </w:r>
            <w:r w:rsidR="00522227">
              <w:rPr>
                <w:noProof/>
                <w:webHidden/>
              </w:rPr>
              <w:fldChar w:fldCharType="end"/>
            </w:r>
          </w:hyperlink>
        </w:p>
        <w:p w:rsidR="00522227" w:rsidRDefault="00000000">
          <w:pPr>
            <w:pStyle w:val="TDC3"/>
            <w:tabs>
              <w:tab w:val="left" w:pos="1200"/>
              <w:tab w:val="right" w:leader="dot" w:pos="8777"/>
            </w:tabs>
            <w:rPr>
              <w:rFonts w:eastAsiaTheme="minorEastAsia" w:cstheme="minorBidi"/>
              <w:noProof/>
              <w:kern w:val="2"/>
              <w:sz w:val="24"/>
              <w:szCs w:val="24"/>
              <w14:ligatures w14:val="standardContextual"/>
            </w:rPr>
          </w:pPr>
          <w:hyperlink w:anchor="_Toc228308154" w:history="1">
            <w:r w:rsidR="00522227" w:rsidRPr="00375092">
              <w:rPr>
                <w:rStyle w:val="Hipervnculo"/>
                <w:b/>
                <w:bCs/>
                <w:noProof/>
              </w:rPr>
              <w:t>1.1.2.</w:t>
            </w:r>
            <w:r w:rsidR="00522227">
              <w:rPr>
                <w:rFonts w:eastAsiaTheme="minorEastAsia" w:cstheme="minorBidi"/>
                <w:noProof/>
                <w:kern w:val="2"/>
                <w:sz w:val="24"/>
                <w:szCs w:val="24"/>
                <w14:ligatures w14:val="standardContextual"/>
              </w:rPr>
              <w:tab/>
            </w:r>
            <w:r w:rsidR="00522227" w:rsidRPr="00375092">
              <w:rPr>
                <w:rStyle w:val="Hipervnculo"/>
                <w:b/>
                <w:bCs/>
                <w:noProof/>
              </w:rPr>
              <w:t>Campo de acción</w:t>
            </w:r>
            <w:r w:rsidR="00522227">
              <w:rPr>
                <w:noProof/>
                <w:webHidden/>
              </w:rPr>
              <w:tab/>
            </w:r>
            <w:r w:rsidR="00522227">
              <w:rPr>
                <w:noProof/>
                <w:webHidden/>
              </w:rPr>
              <w:fldChar w:fldCharType="begin"/>
            </w:r>
            <w:r w:rsidR="00522227">
              <w:rPr>
                <w:noProof/>
                <w:webHidden/>
              </w:rPr>
              <w:instrText xml:space="preserve"> PAGEREF _Toc228308154 \h </w:instrText>
            </w:r>
            <w:r w:rsidR="00522227">
              <w:rPr>
                <w:noProof/>
                <w:webHidden/>
              </w:rPr>
            </w:r>
            <w:r w:rsidR="00522227">
              <w:rPr>
                <w:noProof/>
                <w:webHidden/>
              </w:rPr>
              <w:fldChar w:fldCharType="separate"/>
            </w:r>
            <w:r w:rsidR="00522227">
              <w:rPr>
                <w:noProof/>
                <w:webHidden/>
              </w:rPr>
              <w:t>19</w:t>
            </w:r>
            <w:r w:rsidR="00522227">
              <w:rPr>
                <w:noProof/>
                <w:webHidden/>
              </w:rPr>
              <w:fldChar w:fldCharType="end"/>
            </w:r>
          </w:hyperlink>
        </w:p>
        <w:p w:rsidR="00522227" w:rsidRDefault="00000000">
          <w:pPr>
            <w:pStyle w:val="TDC3"/>
            <w:tabs>
              <w:tab w:val="left" w:pos="1200"/>
              <w:tab w:val="right" w:leader="dot" w:pos="8777"/>
            </w:tabs>
            <w:rPr>
              <w:rFonts w:eastAsiaTheme="minorEastAsia" w:cstheme="minorBidi"/>
              <w:noProof/>
              <w:kern w:val="2"/>
              <w:sz w:val="24"/>
              <w:szCs w:val="24"/>
              <w14:ligatures w14:val="standardContextual"/>
            </w:rPr>
          </w:pPr>
          <w:hyperlink w:anchor="_Toc228308155" w:history="1">
            <w:r w:rsidR="00522227" w:rsidRPr="00375092">
              <w:rPr>
                <w:rStyle w:val="Hipervnculo"/>
                <w:b/>
                <w:bCs/>
                <w:noProof/>
              </w:rPr>
              <w:t>1.1.3.</w:t>
            </w:r>
            <w:r w:rsidR="00522227">
              <w:rPr>
                <w:rFonts w:eastAsiaTheme="minorEastAsia" w:cstheme="minorBidi"/>
                <w:noProof/>
                <w:kern w:val="2"/>
                <w:sz w:val="24"/>
                <w:szCs w:val="24"/>
                <w14:ligatures w14:val="standardContextual"/>
              </w:rPr>
              <w:tab/>
            </w:r>
            <w:r w:rsidR="00522227" w:rsidRPr="00375092">
              <w:rPr>
                <w:rStyle w:val="Hipervnculo"/>
                <w:b/>
                <w:bCs/>
                <w:noProof/>
              </w:rPr>
              <w:t>Cómo del objetivo general</w:t>
            </w:r>
            <w:r w:rsidR="00522227">
              <w:rPr>
                <w:noProof/>
                <w:webHidden/>
              </w:rPr>
              <w:tab/>
            </w:r>
            <w:r w:rsidR="00522227">
              <w:rPr>
                <w:noProof/>
                <w:webHidden/>
              </w:rPr>
              <w:fldChar w:fldCharType="begin"/>
            </w:r>
            <w:r w:rsidR="00522227">
              <w:rPr>
                <w:noProof/>
                <w:webHidden/>
              </w:rPr>
              <w:instrText xml:space="preserve"> PAGEREF _Toc228308155 \h </w:instrText>
            </w:r>
            <w:r w:rsidR="00522227">
              <w:rPr>
                <w:noProof/>
                <w:webHidden/>
              </w:rPr>
            </w:r>
            <w:r w:rsidR="00522227">
              <w:rPr>
                <w:noProof/>
                <w:webHidden/>
              </w:rPr>
              <w:fldChar w:fldCharType="separate"/>
            </w:r>
            <w:r w:rsidR="00522227">
              <w:rPr>
                <w:noProof/>
                <w:webHidden/>
              </w:rPr>
              <w:t>20</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56" w:history="1">
            <w:r w:rsidR="00522227" w:rsidRPr="00375092">
              <w:rPr>
                <w:rStyle w:val="Hipervnculo"/>
                <w:noProof/>
              </w:rPr>
              <w:t>1.2.</w:t>
            </w:r>
            <w:r w:rsidR="00522227">
              <w:rPr>
                <w:rFonts w:eastAsiaTheme="minorEastAsia" w:cstheme="minorBidi"/>
                <w:b w:val="0"/>
                <w:bCs w:val="0"/>
                <w:noProof/>
                <w:kern w:val="2"/>
                <w:sz w:val="24"/>
                <w:szCs w:val="24"/>
                <w14:ligatures w14:val="standardContextual"/>
              </w:rPr>
              <w:tab/>
            </w:r>
            <w:r w:rsidR="00522227" w:rsidRPr="00375092">
              <w:rPr>
                <w:rStyle w:val="Hipervnculo"/>
                <w:noProof/>
              </w:rPr>
              <w:t>Índice tentativo para el desarrollo del marco teórico</w:t>
            </w:r>
            <w:r w:rsidR="00522227">
              <w:rPr>
                <w:noProof/>
                <w:webHidden/>
              </w:rPr>
              <w:tab/>
            </w:r>
            <w:r w:rsidR="00522227">
              <w:rPr>
                <w:noProof/>
                <w:webHidden/>
              </w:rPr>
              <w:fldChar w:fldCharType="begin"/>
            </w:r>
            <w:r w:rsidR="00522227">
              <w:rPr>
                <w:noProof/>
                <w:webHidden/>
              </w:rPr>
              <w:instrText xml:space="preserve"> PAGEREF _Toc228308156 \h </w:instrText>
            </w:r>
            <w:r w:rsidR="00522227">
              <w:rPr>
                <w:noProof/>
                <w:webHidden/>
              </w:rPr>
            </w:r>
            <w:r w:rsidR="00522227">
              <w:rPr>
                <w:noProof/>
                <w:webHidden/>
              </w:rPr>
              <w:fldChar w:fldCharType="separate"/>
            </w:r>
            <w:r w:rsidR="00522227">
              <w:rPr>
                <w:noProof/>
                <w:webHidden/>
              </w:rPr>
              <w:t>21</w:t>
            </w:r>
            <w:r w:rsidR="00522227">
              <w:rPr>
                <w:noProof/>
                <w:webHidden/>
              </w:rPr>
              <w:fldChar w:fldCharType="end"/>
            </w:r>
          </w:hyperlink>
        </w:p>
        <w:p w:rsidR="00522227" w:rsidRDefault="00000000">
          <w:pPr>
            <w:pStyle w:val="TDC1"/>
            <w:tabs>
              <w:tab w:val="right" w:leader="dot" w:pos="8777"/>
            </w:tabs>
            <w:rPr>
              <w:rFonts w:eastAsiaTheme="minorEastAsia" w:cstheme="minorBidi"/>
              <w:b w:val="0"/>
              <w:bCs w:val="0"/>
              <w:i w:val="0"/>
              <w:iCs w:val="0"/>
              <w:noProof/>
              <w:kern w:val="2"/>
              <w14:ligatures w14:val="standardContextual"/>
            </w:rPr>
          </w:pPr>
          <w:hyperlink w:anchor="_Toc228308157" w:history="1">
            <w:r w:rsidR="00522227" w:rsidRPr="00375092">
              <w:rPr>
                <w:rStyle w:val="Hipervnculo"/>
                <w:noProof/>
              </w:rPr>
              <w:t>CAPÍTULO 2. DISEÑO METODOLÓGICO</w:t>
            </w:r>
            <w:r w:rsidR="00522227">
              <w:rPr>
                <w:noProof/>
                <w:webHidden/>
              </w:rPr>
              <w:tab/>
            </w:r>
            <w:r w:rsidR="00522227">
              <w:rPr>
                <w:noProof/>
                <w:webHidden/>
              </w:rPr>
              <w:fldChar w:fldCharType="begin"/>
            </w:r>
            <w:r w:rsidR="00522227">
              <w:rPr>
                <w:noProof/>
                <w:webHidden/>
              </w:rPr>
              <w:instrText xml:space="preserve"> PAGEREF _Toc228308157 \h </w:instrText>
            </w:r>
            <w:r w:rsidR="00522227">
              <w:rPr>
                <w:noProof/>
                <w:webHidden/>
              </w:rPr>
            </w:r>
            <w:r w:rsidR="00522227">
              <w:rPr>
                <w:noProof/>
                <w:webHidden/>
              </w:rPr>
              <w:fldChar w:fldCharType="separate"/>
            </w:r>
            <w:r w:rsidR="00522227">
              <w:rPr>
                <w:noProof/>
                <w:webHidden/>
              </w:rPr>
              <w:t>23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58" w:history="1">
            <w:r w:rsidR="00522227" w:rsidRPr="00375092">
              <w:rPr>
                <w:rStyle w:val="Hipervnculo"/>
                <w:noProof/>
              </w:rPr>
              <w:t>2.1.</w:t>
            </w:r>
            <w:r w:rsidR="00522227">
              <w:rPr>
                <w:rFonts w:eastAsiaTheme="minorEastAsia" w:cstheme="minorBidi"/>
                <w:b w:val="0"/>
                <w:bCs w:val="0"/>
                <w:noProof/>
                <w:kern w:val="2"/>
                <w:sz w:val="24"/>
                <w:szCs w:val="24"/>
                <w14:ligatures w14:val="standardContextual"/>
              </w:rPr>
              <w:tab/>
            </w:r>
            <w:r w:rsidR="00522227" w:rsidRPr="00375092">
              <w:rPr>
                <w:rStyle w:val="Hipervnculo"/>
                <w:noProof/>
              </w:rPr>
              <w:t>Tipo, enfoque y alcance de la investigación</w:t>
            </w:r>
            <w:r w:rsidR="00522227">
              <w:rPr>
                <w:noProof/>
                <w:webHidden/>
              </w:rPr>
              <w:tab/>
            </w:r>
            <w:r w:rsidR="00522227">
              <w:rPr>
                <w:noProof/>
                <w:webHidden/>
              </w:rPr>
              <w:fldChar w:fldCharType="begin"/>
            </w:r>
            <w:r w:rsidR="00522227">
              <w:rPr>
                <w:noProof/>
                <w:webHidden/>
              </w:rPr>
              <w:instrText xml:space="preserve"> PAGEREF _Toc228308158 \h </w:instrText>
            </w:r>
            <w:r w:rsidR="00522227">
              <w:rPr>
                <w:noProof/>
                <w:webHidden/>
              </w:rPr>
            </w:r>
            <w:r w:rsidR="00522227">
              <w:rPr>
                <w:noProof/>
                <w:webHidden/>
              </w:rPr>
              <w:fldChar w:fldCharType="separate"/>
            </w:r>
            <w:r w:rsidR="00522227">
              <w:rPr>
                <w:noProof/>
                <w:webHidden/>
              </w:rPr>
              <w:t>23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59" w:history="1">
            <w:r w:rsidR="00522227" w:rsidRPr="00375092">
              <w:rPr>
                <w:rStyle w:val="Hipervnculo"/>
                <w:noProof/>
              </w:rPr>
              <w:t>2.2.</w:t>
            </w:r>
            <w:r w:rsidR="00522227">
              <w:rPr>
                <w:rFonts w:eastAsiaTheme="minorEastAsia" w:cstheme="minorBidi"/>
                <w:b w:val="0"/>
                <w:bCs w:val="0"/>
                <w:noProof/>
                <w:kern w:val="2"/>
                <w:sz w:val="24"/>
                <w:szCs w:val="24"/>
                <w14:ligatures w14:val="standardContextual"/>
              </w:rPr>
              <w:tab/>
            </w:r>
            <w:r w:rsidR="00522227" w:rsidRPr="00375092">
              <w:rPr>
                <w:rStyle w:val="Hipervnculo"/>
                <w:noProof/>
              </w:rPr>
              <w:t>Delimitación de la investigación</w:t>
            </w:r>
            <w:r w:rsidR="00522227">
              <w:rPr>
                <w:noProof/>
                <w:webHidden/>
              </w:rPr>
              <w:tab/>
            </w:r>
            <w:r w:rsidR="00522227">
              <w:rPr>
                <w:noProof/>
                <w:webHidden/>
              </w:rPr>
              <w:fldChar w:fldCharType="begin"/>
            </w:r>
            <w:r w:rsidR="00522227">
              <w:rPr>
                <w:noProof/>
                <w:webHidden/>
              </w:rPr>
              <w:instrText xml:space="preserve"> PAGEREF _Toc228308159 \h </w:instrText>
            </w:r>
            <w:r w:rsidR="00522227">
              <w:rPr>
                <w:noProof/>
                <w:webHidden/>
              </w:rPr>
            </w:r>
            <w:r w:rsidR="00522227">
              <w:rPr>
                <w:noProof/>
                <w:webHidden/>
              </w:rPr>
              <w:fldChar w:fldCharType="separate"/>
            </w:r>
            <w:r w:rsidR="00522227">
              <w:rPr>
                <w:noProof/>
                <w:webHidden/>
              </w:rPr>
              <w:t>23</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60" w:history="1">
            <w:r w:rsidR="00522227" w:rsidRPr="00375092">
              <w:rPr>
                <w:rStyle w:val="Hipervnculo"/>
                <w:noProof/>
              </w:rPr>
              <w:t>2.3.</w:t>
            </w:r>
            <w:r w:rsidR="00522227">
              <w:rPr>
                <w:rFonts w:eastAsiaTheme="minorEastAsia" w:cstheme="minorBidi"/>
                <w:b w:val="0"/>
                <w:bCs w:val="0"/>
                <w:noProof/>
                <w:kern w:val="2"/>
                <w:sz w:val="24"/>
                <w:szCs w:val="24"/>
                <w14:ligatures w14:val="standardContextual"/>
              </w:rPr>
              <w:tab/>
            </w:r>
            <w:r w:rsidR="00522227" w:rsidRPr="00375092">
              <w:rPr>
                <w:rStyle w:val="Hipervnculo"/>
                <w:noProof/>
              </w:rPr>
              <w:t>Definición conceptual de las variables</w:t>
            </w:r>
            <w:r w:rsidR="00522227">
              <w:rPr>
                <w:noProof/>
                <w:webHidden/>
              </w:rPr>
              <w:tab/>
            </w:r>
            <w:r w:rsidR="00522227">
              <w:rPr>
                <w:noProof/>
                <w:webHidden/>
              </w:rPr>
              <w:fldChar w:fldCharType="begin"/>
            </w:r>
            <w:r w:rsidR="00522227">
              <w:rPr>
                <w:noProof/>
                <w:webHidden/>
              </w:rPr>
              <w:instrText xml:space="preserve"> PAGEREF _Toc228308160 \h </w:instrText>
            </w:r>
            <w:r w:rsidR="00522227">
              <w:rPr>
                <w:noProof/>
                <w:webHidden/>
              </w:rPr>
            </w:r>
            <w:r w:rsidR="00522227">
              <w:rPr>
                <w:noProof/>
                <w:webHidden/>
              </w:rPr>
              <w:fldChar w:fldCharType="separate"/>
            </w:r>
            <w:r w:rsidR="00522227">
              <w:rPr>
                <w:noProof/>
                <w:webHidden/>
              </w:rPr>
              <w:t>25</w:t>
            </w:r>
            <w:r w:rsidR="00522227">
              <w:rPr>
                <w:noProof/>
                <w:webHidden/>
              </w:rPr>
              <w:fldChar w:fldCharType="end"/>
            </w:r>
          </w:hyperlink>
        </w:p>
        <w:p w:rsidR="00522227" w:rsidRDefault="00000000">
          <w:pPr>
            <w:pStyle w:val="TDC2"/>
            <w:tabs>
              <w:tab w:val="left" w:pos="800"/>
              <w:tab w:val="right" w:leader="dot" w:pos="8777"/>
            </w:tabs>
            <w:rPr>
              <w:rFonts w:eastAsiaTheme="minorEastAsia" w:cstheme="minorBidi"/>
              <w:b w:val="0"/>
              <w:bCs w:val="0"/>
              <w:noProof/>
              <w:kern w:val="2"/>
              <w:sz w:val="24"/>
              <w:szCs w:val="24"/>
              <w14:ligatures w14:val="standardContextual"/>
            </w:rPr>
          </w:pPr>
          <w:hyperlink w:anchor="_Toc228308161" w:history="1">
            <w:r w:rsidR="00522227" w:rsidRPr="00375092">
              <w:rPr>
                <w:rStyle w:val="Hipervnculo"/>
                <w:noProof/>
              </w:rPr>
              <w:t>2.4.</w:t>
            </w:r>
            <w:r w:rsidR="00522227">
              <w:rPr>
                <w:rFonts w:eastAsiaTheme="minorEastAsia" w:cstheme="minorBidi"/>
                <w:b w:val="0"/>
                <w:bCs w:val="0"/>
                <w:noProof/>
                <w:kern w:val="2"/>
                <w:sz w:val="24"/>
                <w:szCs w:val="24"/>
                <w14:ligatures w14:val="standardContextual"/>
              </w:rPr>
              <w:tab/>
            </w:r>
            <w:r w:rsidR="00522227" w:rsidRPr="00375092">
              <w:rPr>
                <w:rStyle w:val="Hipervnculo"/>
                <w:noProof/>
              </w:rPr>
              <w:t>Definición operacional de las variables</w:t>
            </w:r>
            <w:r w:rsidR="00522227">
              <w:rPr>
                <w:noProof/>
                <w:webHidden/>
              </w:rPr>
              <w:tab/>
            </w:r>
            <w:r w:rsidR="00522227">
              <w:rPr>
                <w:noProof/>
                <w:webHidden/>
              </w:rPr>
              <w:fldChar w:fldCharType="begin"/>
            </w:r>
            <w:r w:rsidR="00522227">
              <w:rPr>
                <w:noProof/>
                <w:webHidden/>
              </w:rPr>
              <w:instrText xml:space="preserve"> PAGEREF _Toc228308161 \h </w:instrText>
            </w:r>
            <w:r w:rsidR="00522227">
              <w:rPr>
                <w:noProof/>
                <w:webHidden/>
              </w:rPr>
            </w:r>
            <w:r w:rsidR="00522227">
              <w:rPr>
                <w:noProof/>
                <w:webHidden/>
              </w:rPr>
              <w:fldChar w:fldCharType="separate"/>
            </w:r>
            <w:r w:rsidR="00522227">
              <w:rPr>
                <w:noProof/>
                <w:webHidden/>
              </w:rPr>
              <w:t>26</w:t>
            </w:r>
            <w:r w:rsidR="00522227">
              <w:rPr>
                <w:noProof/>
                <w:webHidden/>
              </w:rPr>
              <w:fldChar w:fldCharType="end"/>
            </w:r>
          </w:hyperlink>
        </w:p>
        <w:p w:rsidR="00522227" w:rsidRDefault="00000000">
          <w:pPr>
            <w:pStyle w:val="TDC1"/>
            <w:tabs>
              <w:tab w:val="right" w:leader="dot" w:pos="8777"/>
            </w:tabs>
            <w:rPr>
              <w:rFonts w:eastAsiaTheme="minorEastAsia" w:cstheme="minorBidi"/>
              <w:b w:val="0"/>
              <w:bCs w:val="0"/>
              <w:i w:val="0"/>
              <w:iCs w:val="0"/>
              <w:noProof/>
              <w:kern w:val="2"/>
              <w14:ligatures w14:val="standardContextual"/>
            </w:rPr>
          </w:pPr>
          <w:hyperlink w:anchor="_Toc228308162" w:history="1">
            <w:r w:rsidR="00522227" w:rsidRPr="00375092">
              <w:rPr>
                <w:rStyle w:val="Hipervnculo"/>
                <w:noProof/>
              </w:rPr>
              <w:t>REFERENCIAS BIBLIOGRÁFICAS</w:t>
            </w:r>
            <w:r w:rsidR="00522227">
              <w:rPr>
                <w:noProof/>
                <w:webHidden/>
              </w:rPr>
              <w:tab/>
            </w:r>
            <w:r w:rsidR="00522227">
              <w:rPr>
                <w:noProof/>
                <w:webHidden/>
              </w:rPr>
              <w:fldChar w:fldCharType="begin"/>
            </w:r>
            <w:r w:rsidR="00522227">
              <w:rPr>
                <w:noProof/>
                <w:webHidden/>
              </w:rPr>
              <w:instrText xml:space="preserve"> PAGEREF _Toc228308162 \h </w:instrText>
            </w:r>
            <w:r w:rsidR="00522227">
              <w:rPr>
                <w:noProof/>
                <w:webHidden/>
              </w:rPr>
            </w:r>
            <w:r w:rsidR="00522227">
              <w:rPr>
                <w:noProof/>
                <w:webHidden/>
              </w:rPr>
              <w:fldChar w:fldCharType="separate"/>
            </w:r>
            <w:r w:rsidR="00522227">
              <w:rPr>
                <w:noProof/>
                <w:webHidden/>
              </w:rPr>
              <w:t>28</w:t>
            </w:r>
            <w:r w:rsidR="00522227">
              <w:rPr>
                <w:noProof/>
                <w:webHidden/>
              </w:rPr>
              <w:fldChar w:fldCharType="end"/>
            </w:r>
          </w:hyperlink>
        </w:p>
        <w:p w:rsidR="001C2F6D" w:rsidRPr="00CE56D2" w:rsidRDefault="001C2F6D" w:rsidP="00A61061">
          <w:pPr>
            <w:pStyle w:val="Ttulo1"/>
          </w:pPr>
          <w:r w:rsidRPr="00CE56D2">
            <w:rPr>
              <w:noProof/>
            </w:rPr>
            <w:fldChar w:fldCharType="end"/>
          </w:r>
        </w:p>
      </w:sdtContent>
    </w:sdt>
    <w:p w:rsidR="00E5780A" w:rsidRDefault="00000000">
      <w:r>
        <w:br/>
      </w:r>
    </w:p>
    <w:p w:rsidR="00E5780A" w:rsidRDefault="00E5780A">
      <w:r>
        <w:br w:type="page"/>
      </w:r>
    </w:p>
    <w:p w:rsidR="009532F5" w:rsidRPr="00954409" w:rsidRDefault="00000000" w:rsidP="00522227">
      <w:pPr>
        <w:pStyle w:val="Ttulo1"/>
        <w:spacing w:after="240" w:line="276" w:lineRule="auto"/>
        <w:jc w:val="center"/>
      </w:pPr>
      <w:bookmarkStart w:id="0" w:name="_Toc228308138"/>
      <w:r w:rsidRPr="00522227">
        <w:rPr>
          <w:b/>
          <w:bCs/>
          <w:color w:val="000000" w:themeColor="text1"/>
          <w:sz w:val="28"/>
          <w:szCs w:val="28"/>
        </w:rPr>
        <w:lastRenderedPageBreak/>
        <w:t>INTRODUCCI</w:t>
      </w:r>
      <w:r w:rsidR="00A64DB6" w:rsidRPr="00522227">
        <w:rPr>
          <w:b/>
          <w:bCs/>
          <w:color w:val="000000" w:themeColor="text1"/>
          <w:sz w:val="28"/>
          <w:szCs w:val="28"/>
        </w:rPr>
        <w:t>Ó</w:t>
      </w:r>
      <w:r w:rsidRPr="00522227">
        <w:rPr>
          <w:b/>
          <w:bCs/>
          <w:color w:val="000000" w:themeColor="text1"/>
          <w:sz w:val="28"/>
          <w:szCs w:val="28"/>
        </w:rPr>
        <w:t>N</w:t>
      </w:r>
      <w:bookmarkEnd w:id="0"/>
    </w:p>
    <w:p w:rsidR="009532F5" w:rsidRDefault="00000000">
      <w:pPr>
        <w:spacing w:after="160" w:line="360" w:lineRule="auto"/>
        <w:ind w:firstLine="720"/>
        <w:jc w:val="both"/>
      </w:pPr>
      <w:r>
        <w:rPr>
          <w:sz w:val="24"/>
          <w:szCs w:val="24"/>
        </w:rPr>
        <w:t xml:space="preserve">El patrimonio cultural inmaterial de los pueblos representa uno de los activos identitarios y </w:t>
      </w:r>
      <w:r w:rsidR="00A64DB6">
        <w:rPr>
          <w:sz w:val="24"/>
          <w:szCs w:val="24"/>
        </w:rPr>
        <w:t>simbólicos</w:t>
      </w:r>
      <w:r>
        <w:rPr>
          <w:sz w:val="24"/>
          <w:szCs w:val="24"/>
        </w:rPr>
        <w:t xml:space="preserve"> </w:t>
      </w:r>
      <w:r w:rsidR="00A64DB6">
        <w:rPr>
          <w:sz w:val="24"/>
          <w:szCs w:val="24"/>
        </w:rPr>
        <w:t>más</w:t>
      </w:r>
      <w:r>
        <w:rPr>
          <w:sz w:val="24"/>
          <w:szCs w:val="24"/>
        </w:rPr>
        <w:t xml:space="preserve"> complejos de gestionar en el entorno digital </w:t>
      </w:r>
      <w:r w:rsidR="00A64DB6">
        <w:rPr>
          <w:sz w:val="24"/>
          <w:szCs w:val="24"/>
        </w:rPr>
        <w:t>contemporáneo</w:t>
      </w:r>
      <w:r>
        <w:rPr>
          <w:sz w:val="24"/>
          <w:szCs w:val="24"/>
        </w:rPr>
        <w:t xml:space="preserve">. A diferencia de los bienes materiales, las expresiones culturales intangibles como danzas, </w:t>
      </w:r>
      <w:r w:rsidR="00A64DB6">
        <w:rPr>
          <w:sz w:val="24"/>
          <w:szCs w:val="24"/>
        </w:rPr>
        <w:t>músicas</w:t>
      </w:r>
      <w:r>
        <w:rPr>
          <w:sz w:val="24"/>
          <w:szCs w:val="24"/>
        </w:rPr>
        <w:t xml:space="preserve">, festividades e instrumentos circulan en el espacio digital de forma fragmentada, descontextualizada y frecuentemente atribuida de manera </w:t>
      </w:r>
      <w:r w:rsidR="00A64DB6">
        <w:rPr>
          <w:sz w:val="24"/>
          <w:szCs w:val="24"/>
        </w:rPr>
        <w:t>errónea</w:t>
      </w:r>
      <w:r>
        <w:rPr>
          <w:sz w:val="24"/>
          <w:szCs w:val="24"/>
        </w:rPr>
        <w:t xml:space="preserve">. Esta </w:t>
      </w:r>
      <w:r w:rsidR="00A64DB6">
        <w:rPr>
          <w:sz w:val="24"/>
          <w:szCs w:val="24"/>
        </w:rPr>
        <w:t>situación</w:t>
      </w:r>
      <w:r>
        <w:rPr>
          <w:sz w:val="24"/>
          <w:szCs w:val="24"/>
        </w:rPr>
        <w:t xml:space="preserve"> configura un problema de </w:t>
      </w:r>
      <w:r w:rsidR="00A64DB6">
        <w:rPr>
          <w:sz w:val="24"/>
          <w:szCs w:val="24"/>
        </w:rPr>
        <w:t>soberanía</w:t>
      </w:r>
      <w:r>
        <w:rPr>
          <w:sz w:val="24"/>
          <w:szCs w:val="24"/>
        </w:rPr>
        <w:t xml:space="preserve"> cultural digital que los estados y organismos internacionales </w:t>
      </w:r>
      <w:r w:rsidR="00A64DB6">
        <w:rPr>
          <w:sz w:val="24"/>
          <w:szCs w:val="24"/>
        </w:rPr>
        <w:t>aún</w:t>
      </w:r>
      <w:r>
        <w:rPr>
          <w:sz w:val="24"/>
          <w:szCs w:val="24"/>
        </w:rPr>
        <w:t xml:space="preserve"> no han podido abordar con herramientas </w:t>
      </w:r>
      <w:r w:rsidR="00A64DB6">
        <w:rPr>
          <w:sz w:val="24"/>
          <w:szCs w:val="24"/>
        </w:rPr>
        <w:t>sistemáticas</w:t>
      </w:r>
      <w:r>
        <w:rPr>
          <w:sz w:val="24"/>
          <w:szCs w:val="24"/>
        </w:rPr>
        <w:t xml:space="preserve"> y automatizadas.</w:t>
      </w:r>
    </w:p>
    <w:p w:rsidR="00C92DBC" w:rsidRDefault="00104411" w:rsidP="00C92DBC">
      <w:pPr>
        <w:spacing w:after="160" w:line="360" w:lineRule="auto"/>
        <w:ind w:firstLine="720"/>
        <w:jc w:val="both"/>
      </w:pPr>
      <w:r w:rsidRPr="00104411">
        <w:rPr>
          <w:sz w:val="24"/>
          <w:szCs w:val="24"/>
        </w:rPr>
        <w:t>A nivel mundial la apropiación cultural, el plagio y la desinformación sobre el origen del patrimonio son considerados problemas críticos</w:t>
      </w:r>
      <w:r w:rsidR="00CA6341">
        <w:rPr>
          <w:sz w:val="24"/>
          <w:szCs w:val="24"/>
        </w:rPr>
        <w:t xml:space="preserve">. </w:t>
      </w:r>
      <w:r w:rsidR="00CA6341" w:rsidRPr="00CA6341">
        <w:rPr>
          <w:sz w:val="24"/>
          <w:szCs w:val="24"/>
        </w:rPr>
        <w:t>Organismos como UNESCO, OMPI (WIPO) y la ONU tienen la misión de salvaguardar las tradiciones, saberes ancestrales y expresiones culturales de las comunidades frente a los desafíos de la era digital</w:t>
      </w:r>
      <w:r w:rsidR="003F3DEF">
        <w:rPr>
          <w:sz w:val="24"/>
          <w:szCs w:val="24"/>
        </w:rPr>
        <w:t xml:space="preserve"> </w:t>
      </w:r>
      <w:r w:rsidR="003F3DEF" w:rsidRPr="003F3DEF">
        <w:rPr>
          <w:sz w:val="24"/>
          <w:szCs w:val="24"/>
        </w:rPr>
        <w:t>(Organización Mundial de la Propiedad Intelectual, 2024)</w:t>
      </w:r>
      <w:r w:rsidR="00CA6341" w:rsidRPr="00CA6341">
        <w:rPr>
          <w:sz w:val="24"/>
          <w:szCs w:val="24"/>
        </w:rPr>
        <w:t xml:space="preserve">. </w:t>
      </w:r>
      <w:r w:rsidR="008C1BD8">
        <w:rPr>
          <w:sz w:val="24"/>
          <w:szCs w:val="24"/>
        </w:rPr>
        <w:t>A pesar de estos organismos</w:t>
      </w:r>
      <w:r w:rsidR="00C92DBC">
        <w:rPr>
          <w:sz w:val="24"/>
          <w:szCs w:val="24"/>
        </w:rPr>
        <w:t>, la brecha entre el reconocimiento institucional y la capacidad técnica de los estados para monitorear y responder a la desinformación cultural en tiempo real sigue siendo considerable. La mayoría de los países carece de sistemas automatizados de vigilancia del discurso digital sobre su patrimonio cultural inmaterial</w:t>
      </w:r>
      <w:r w:rsidR="00E36AB7">
        <w:rPr>
          <w:sz w:val="24"/>
          <w:szCs w:val="24"/>
        </w:rPr>
        <w:t xml:space="preserve"> </w:t>
      </w:r>
      <w:r w:rsidR="00E36AB7" w:rsidRPr="00E36AB7">
        <w:rPr>
          <w:sz w:val="24"/>
          <w:szCs w:val="24"/>
        </w:rPr>
        <w:t>(UNESCO, 20</w:t>
      </w:r>
      <w:r w:rsidR="00115EB3">
        <w:rPr>
          <w:sz w:val="24"/>
          <w:szCs w:val="24"/>
        </w:rPr>
        <w:t>0</w:t>
      </w:r>
      <w:r w:rsidR="00E36AB7" w:rsidRPr="00E36AB7">
        <w:rPr>
          <w:sz w:val="24"/>
          <w:szCs w:val="24"/>
        </w:rPr>
        <w:t>3)</w:t>
      </w:r>
      <w:r w:rsidR="00C92DBC">
        <w:rPr>
          <w:sz w:val="24"/>
          <w:szCs w:val="24"/>
        </w:rPr>
        <w:t>.</w:t>
      </w:r>
    </w:p>
    <w:p w:rsidR="009532F5" w:rsidRDefault="00B52796" w:rsidP="00AB571A">
      <w:pPr>
        <w:spacing w:after="160" w:line="360" w:lineRule="auto"/>
        <w:ind w:firstLine="720"/>
        <w:jc w:val="both"/>
      </w:pPr>
      <w:r>
        <w:rPr>
          <w:sz w:val="24"/>
          <w:szCs w:val="24"/>
        </w:rPr>
        <w:t xml:space="preserve">En Latinoamérica se alberga una de las diversidades culturales </w:t>
      </w:r>
      <w:r w:rsidR="00954409">
        <w:rPr>
          <w:sz w:val="24"/>
          <w:szCs w:val="24"/>
        </w:rPr>
        <w:t>más</w:t>
      </w:r>
      <w:r>
        <w:rPr>
          <w:sz w:val="24"/>
          <w:szCs w:val="24"/>
        </w:rPr>
        <w:t xml:space="preserve"> ricas del planeta, con patrimonios inmateriales que comparten </w:t>
      </w:r>
      <w:r w:rsidR="00954409">
        <w:rPr>
          <w:sz w:val="24"/>
          <w:szCs w:val="24"/>
        </w:rPr>
        <w:t>raíces</w:t>
      </w:r>
      <w:r>
        <w:rPr>
          <w:sz w:val="24"/>
          <w:szCs w:val="24"/>
        </w:rPr>
        <w:t xml:space="preserve"> andinas, </w:t>
      </w:r>
      <w:r w:rsidR="00954409">
        <w:rPr>
          <w:sz w:val="24"/>
          <w:szCs w:val="24"/>
        </w:rPr>
        <w:t>amazónicas</w:t>
      </w:r>
      <w:r>
        <w:rPr>
          <w:sz w:val="24"/>
          <w:szCs w:val="24"/>
        </w:rPr>
        <w:t xml:space="preserve"> y </w:t>
      </w:r>
      <w:r w:rsidR="00954409">
        <w:rPr>
          <w:sz w:val="24"/>
          <w:szCs w:val="24"/>
        </w:rPr>
        <w:t>afrolatino americanas</w:t>
      </w:r>
      <w:r>
        <w:rPr>
          <w:sz w:val="24"/>
          <w:szCs w:val="24"/>
        </w:rPr>
        <w:t xml:space="preserve"> entre </w:t>
      </w:r>
      <w:r w:rsidR="00954409">
        <w:rPr>
          <w:sz w:val="24"/>
          <w:szCs w:val="24"/>
        </w:rPr>
        <w:t>múltiples</w:t>
      </w:r>
      <w:r>
        <w:rPr>
          <w:sz w:val="24"/>
          <w:szCs w:val="24"/>
        </w:rPr>
        <w:t xml:space="preserve"> </w:t>
      </w:r>
      <w:r w:rsidR="00954409">
        <w:rPr>
          <w:sz w:val="24"/>
          <w:szCs w:val="24"/>
        </w:rPr>
        <w:t>países</w:t>
      </w:r>
      <w:r>
        <w:rPr>
          <w:sz w:val="24"/>
          <w:szCs w:val="24"/>
        </w:rPr>
        <w:t xml:space="preserve">. Esta riqueza compartida genera con frecuencia tensiones sobre la propiedad </w:t>
      </w:r>
      <w:r w:rsidR="00954409">
        <w:rPr>
          <w:sz w:val="24"/>
          <w:szCs w:val="24"/>
        </w:rPr>
        <w:t>simbólica</w:t>
      </w:r>
      <w:r>
        <w:rPr>
          <w:sz w:val="24"/>
          <w:szCs w:val="24"/>
        </w:rPr>
        <w:t xml:space="preserve"> y la </w:t>
      </w:r>
      <w:r w:rsidR="00954409">
        <w:rPr>
          <w:sz w:val="24"/>
          <w:szCs w:val="24"/>
        </w:rPr>
        <w:t>atribución</w:t>
      </w:r>
      <w:r>
        <w:rPr>
          <w:sz w:val="24"/>
          <w:szCs w:val="24"/>
        </w:rPr>
        <w:t xml:space="preserve"> del origen de expresiones culturales. Casos </w:t>
      </w:r>
      <w:r w:rsidR="00954409">
        <w:rPr>
          <w:sz w:val="24"/>
          <w:szCs w:val="24"/>
        </w:rPr>
        <w:t>paradigmáticos</w:t>
      </w:r>
      <w:r>
        <w:rPr>
          <w:sz w:val="24"/>
          <w:szCs w:val="24"/>
        </w:rPr>
        <w:t xml:space="preserve"> incluyen la disputa entre Bolivia y </w:t>
      </w:r>
      <w:r w:rsidR="00954409">
        <w:rPr>
          <w:sz w:val="24"/>
          <w:szCs w:val="24"/>
        </w:rPr>
        <w:t>Perú</w:t>
      </w:r>
      <w:r>
        <w:rPr>
          <w:sz w:val="24"/>
          <w:szCs w:val="24"/>
        </w:rPr>
        <w:t xml:space="preserve"> sobre la Diablada y la Morenada, el debate en torno al charango, y las </w:t>
      </w:r>
      <w:r w:rsidR="00954409">
        <w:rPr>
          <w:sz w:val="24"/>
          <w:szCs w:val="24"/>
        </w:rPr>
        <w:t>múltiples</w:t>
      </w:r>
      <w:r>
        <w:rPr>
          <w:sz w:val="24"/>
          <w:szCs w:val="24"/>
        </w:rPr>
        <w:t xml:space="preserve"> reclamaciones sobre festividades de </w:t>
      </w:r>
      <w:r w:rsidR="00954409">
        <w:rPr>
          <w:sz w:val="24"/>
          <w:szCs w:val="24"/>
        </w:rPr>
        <w:t>raíz</w:t>
      </w:r>
      <w:r>
        <w:rPr>
          <w:sz w:val="24"/>
          <w:szCs w:val="24"/>
        </w:rPr>
        <w:t xml:space="preserve"> andina que son presentadas en medios de </w:t>
      </w:r>
      <w:r w:rsidR="00954409">
        <w:rPr>
          <w:sz w:val="24"/>
          <w:szCs w:val="24"/>
        </w:rPr>
        <w:t>comunicación</w:t>
      </w:r>
      <w:r>
        <w:rPr>
          <w:sz w:val="24"/>
          <w:szCs w:val="24"/>
        </w:rPr>
        <w:t xml:space="preserve"> y plataformas digitales de distintos </w:t>
      </w:r>
      <w:r w:rsidR="00954409">
        <w:rPr>
          <w:sz w:val="24"/>
          <w:szCs w:val="24"/>
        </w:rPr>
        <w:t>países</w:t>
      </w:r>
      <w:r>
        <w:rPr>
          <w:sz w:val="24"/>
          <w:szCs w:val="24"/>
        </w:rPr>
        <w:t xml:space="preserve"> sin indicar</w:t>
      </w:r>
      <w:r w:rsidR="00B25DCB">
        <w:rPr>
          <w:sz w:val="24"/>
          <w:szCs w:val="24"/>
        </w:rPr>
        <w:t xml:space="preserve"> su origen nacional </w:t>
      </w:r>
      <w:r>
        <w:rPr>
          <w:sz w:val="24"/>
          <w:szCs w:val="24"/>
        </w:rPr>
        <w:t xml:space="preserve">o </w:t>
      </w:r>
      <w:r w:rsidR="004E7A55">
        <w:rPr>
          <w:sz w:val="24"/>
          <w:szCs w:val="24"/>
        </w:rPr>
        <w:t>señalándolo</w:t>
      </w:r>
      <w:r>
        <w:rPr>
          <w:sz w:val="24"/>
          <w:szCs w:val="24"/>
        </w:rPr>
        <w:t xml:space="preserve"> incorrectamente.</w:t>
      </w:r>
      <w:r w:rsidR="00FE4A0F">
        <w:rPr>
          <w:sz w:val="24"/>
          <w:szCs w:val="24"/>
        </w:rPr>
        <w:t xml:space="preserve"> En cuanto a la aplicación de tecnologías a dominios específicos como el patrimonio cultural o la soberanía simbólica digital permanece como un campo prácticamente inexplorado en la región. Young y Brunk (2012) analizaron las dimensiones éticas de la apropiación cultural, destacando como la descontextualización y la omisión del origen constituyen formas de erosión de la identidad cultural de los pueblos originarios.</w:t>
      </w:r>
    </w:p>
    <w:p w:rsidR="00B52796" w:rsidRPr="00FE7F37" w:rsidRDefault="00000000" w:rsidP="00FE7F37">
      <w:pPr>
        <w:spacing w:after="160" w:line="360" w:lineRule="auto"/>
        <w:ind w:firstLine="720"/>
        <w:jc w:val="both"/>
      </w:pPr>
      <w:r>
        <w:rPr>
          <w:sz w:val="24"/>
          <w:szCs w:val="24"/>
        </w:rPr>
        <w:lastRenderedPageBreak/>
        <w:t xml:space="preserve">Bolivia </w:t>
      </w:r>
      <w:r w:rsidR="00CA6341">
        <w:rPr>
          <w:sz w:val="24"/>
          <w:szCs w:val="24"/>
        </w:rPr>
        <w:t>posee</w:t>
      </w:r>
      <w:r>
        <w:rPr>
          <w:sz w:val="24"/>
          <w:szCs w:val="24"/>
        </w:rPr>
        <w:t xml:space="preserve"> un patrimonio cultural inmaterial extraordinari</w:t>
      </w:r>
      <w:r w:rsidR="00CA6341">
        <w:rPr>
          <w:sz w:val="24"/>
          <w:szCs w:val="24"/>
        </w:rPr>
        <w:t xml:space="preserve">o </w:t>
      </w:r>
      <w:r>
        <w:rPr>
          <w:sz w:val="24"/>
          <w:szCs w:val="24"/>
        </w:rPr>
        <w:t xml:space="preserve">y singular. Entre sus expresiones </w:t>
      </w:r>
      <w:r w:rsidR="00954409">
        <w:rPr>
          <w:sz w:val="24"/>
          <w:szCs w:val="24"/>
        </w:rPr>
        <w:t>más</w:t>
      </w:r>
      <w:r>
        <w:rPr>
          <w:sz w:val="24"/>
          <w:szCs w:val="24"/>
        </w:rPr>
        <w:t xml:space="preserve"> reconocidas internacionalmente se encuentran danzas como la Diablada, la Morenada, los Caporales, la Llamerada, el Tinku</w:t>
      </w:r>
      <w:r w:rsidR="004E7A55">
        <w:rPr>
          <w:sz w:val="24"/>
          <w:szCs w:val="24"/>
        </w:rPr>
        <w:t>, Tobas</w:t>
      </w:r>
      <w:r>
        <w:rPr>
          <w:sz w:val="24"/>
          <w:szCs w:val="24"/>
        </w:rPr>
        <w:t xml:space="preserve"> y la Saya; instrumentos como el charango, la quena, el siku </w:t>
      </w:r>
      <w:r w:rsidR="00B52796">
        <w:rPr>
          <w:sz w:val="24"/>
          <w:szCs w:val="24"/>
        </w:rPr>
        <w:t xml:space="preserve">o </w:t>
      </w:r>
      <w:r>
        <w:rPr>
          <w:sz w:val="24"/>
          <w:szCs w:val="24"/>
        </w:rPr>
        <w:t>zampo</w:t>
      </w:r>
      <w:r w:rsidR="00B52796">
        <w:rPr>
          <w:sz w:val="24"/>
          <w:szCs w:val="24"/>
        </w:rPr>
        <w:t>ñ</w:t>
      </w:r>
      <w:r>
        <w:rPr>
          <w:sz w:val="24"/>
          <w:szCs w:val="24"/>
        </w:rPr>
        <w:t>a y el bombo; y festividades como el Carnaval de Oruro y la festividad del Gran Poder</w:t>
      </w:r>
      <w:r w:rsidR="004E7A55">
        <w:rPr>
          <w:sz w:val="24"/>
          <w:szCs w:val="24"/>
        </w:rPr>
        <w:t xml:space="preserve"> celebrado en La Paz</w:t>
      </w:r>
      <w:r>
        <w:rPr>
          <w:sz w:val="24"/>
          <w:szCs w:val="24"/>
        </w:rPr>
        <w:t xml:space="preserve">. El Carnaval de Oruro fue declarado Obra Maestra del Patrimonio Oral e Inmaterial de la Humanidad por la UNESCO en 2001, constituyendo el reconocimiento internacional </w:t>
      </w:r>
      <w:r w:rsidR="00954409">
        <w:rPr>
          <w:sz w:val="24"/>
          <w:szCs w:val="24"/>
        </w:rPr>
        <w:t>más</w:t>
      </w:r>
      <w:r>
        <w:rPr>
          <w:sz w:val="24"/>
          <w:szCs w:val="24"/>
        </w:rPr>
        <w:t xml:space="preserve"> alto otorgado a una </w:t>
      </w:r>
      <w:r w:rsidR="00954409">
        <w:rPr>
          <w:sz w:val="24"/>
          <w:szCs w:val="24"/>
        </w:rPr>
        <w:t>expresión</w:t>
      </w:r>
      <w:r>
        <w:rPr>
          <w:sz w:val="24"/>
          <w:szCs w:val="24"/>
        </w:rPr>
        <w:t xml:space="preserve"> cultural boliviana (UNESCO, 2001).</w:t>
      </w:r>
      <w:r w:rsidR="00CA6341">
        <w:t xml:space="preserve"> </w:t>
      </w:r>
      <w:r>
        <w:rPr>
          <w:sz w:val="24"/>
          <w:szCs w:val="24"/>
        </w:rPr>
        <w:t xml:space="preserve">A pesar de este reconocimiento, la presencia de Bolivia como </w:t>
      </w:r>
      <w:r w:rsidR="00954409">
        <w:rPr>
          <w:sz w:val="24"/>
          <w:szCs w:val="24"/>
        </w:rPr>
        <w:t>nación</w:t>
      </w:r>
      <w:r>
        <w:rPr>
          <w:sz w:val="24"/>
          <w:szCs w:val="24"/>
        </w:rPr>
        <w:t xml:space="preserve"> originaria de estas expresiones en el espacio digital global es </w:t>
      </w:r>
      <w:r w:rsidR="00954409">
        <w:rPr>
          <w:sz w:val="24"/>
          <w:szCs w:val="24"/>
        </w:rPr>
        <w:t>sistemáticamente</w:t>
      </w:r>
      <w:r>
        <w:rPr>
          <w:sz w:val="24"/>
          <w:szCs w:val="24"/>
        </w:rPr>
        <w:t xml:space="preserve"> disputada, ignorada o distorsionada. Una </w:t>
      </w:r>
      <w:r w:rsidR="00954409">
        <w:rPr>
          <w:sz w:val="24"/>
          <w:szCs w:val="24"/>
        </w:rPr>
        <w:t>exploración</w:t>
      </w:r>
      <w:r>
        <w:rPr>
          <w:sz w:val="24"/>
          <w:szCs w:val="24"/>
        </w:rPr>
        <w:t xml:space="preserve"> preliminar de publicaciones en redes sociales, portales de noticias internacionales, </w:t>
      </w:r>
      <w:r w:rsidR="00954409">
        <w:rPr>
          <w:sz w:val="24"/>
          <w:szCs w:val="24"/>
        </w:rPr>
        <w:t>guías</w:t>
      </w:r>
      <w:r>
        <w:rPr>
          <w:sz w:val="24"/>
          <w:szCs w:val="24"/>
        </w:rPr>
        <w:t xml:space="preserve"> </w:t>
      </w:r>
      <w:r w:rsidR="00954409">
        <w:rPr>
          <w:sz w:val="24"/>
          <w:szCs w:val="24"/>
        </w:rPr>
        <w:t>turísticas</w:t>
      </w:r>
      <w:r>
        <w:rPr>
          <w:sz w:val="24"/>
          <w:szCs w:val="24"/>
        </w:rPr>
        <w:t xml:space="preserve"> digitales y versiones de Wikipedia en distintos idiomas revela que una </w:t>
      </w:r>
      <w:r w:rsidR="004E7A55">
        <w:rPr>
          <w:sz w:val="24"/>
          <w:szCs w:val="24"/>
        </w:rPr>
        <w:t>proporción</w:t>
      </w:r>
      <w:r>
        <w:rPr>
          <w:sz w:val="24"/>
          <w:szCs w:val="24"/>
        </w:rPr>
        <w:t xml:space="preserve"> significativa de los contenidos que describen estas expresiones culturales no menciona su origen boliviano o las atribuye a otros </w:t>
      </w:r>
      <w:r w:rsidR="004E7A55">
        <w:rPr>
          <w:sz w:val="24"/>
          <w:szCs w:val="24"/>
        </w:rPr>
        <w:t>países</w:t>
      </w:r>
      <w:r>
        <w:rPr>
          <w:sz w:val="24"/>
          <w:szCs w:val="24"/>
        </w:rPr>
        <w:t xml:space="preserve"> de la </w:t>
      </w:r>
      <w:r w:rsidR="004E7A55">
        <w:rPr>
          <w:sz w:val="24"/>
          <w:szCs w:val="24"/>
        </w:rPr>
        <w:t>región</w:t>
      </w:r>
      <w:r>
        <w:rPr>
          <w:sz w:val="24"/>
          <w:szCs w:val="24"/>
        </w:rPr>
        <w:t xml:space="preserve"> andina</w:t>
      </w:r>
      <w:r w:rsidR="00B52796">
        <w:rPr>
          <w:sz w:val="24"/>
          <w:szCs w:val="24"/>
        </w:rPr>
        <w:t xml:space="preserve"> o de origen andino</w:t>
      </w:r>
      <w:r>
        <w:rPr>
          <w:sz w:val="24"/>
          <w:szCs w:val="24"/>
        </w:rPr>
        <w:t>.</w:t>
      </w:r>
      <w:r w:rsidR="00FE7F37">
        <w:rPr>
          <w:sz w:val="24"/>
          <w:szCs w:val="24"/>
        </w:rPr>
        <w:t xml:space="preserve"> El Ministerio de Culturas y Turismo de Bolivia ha</w:t>
      </w:r>
      <w:r w:rsidR="00AB571A">
        <w:rPr>
          <w:sz w:val="24"/>
          <w:szCs w:val="24"/>
        </w:rPr>
        <w:t xml:space="preserve"> </w:t>
      </w:r>
      <w:r w:rsidR="00FE7F37">
        <w:rPr>
          <w:sz w:val="24"/>
          <w:szCs w:val="24"/>
        </w:rPr>
        <w:t>señalado en reiteradas oportunidades que la soberanía cultural digital representa uno de los desafíos más urgentes para la preservación de la identidad nacional en el entorno contemporáneo (Ministerio de Culturas y Turismo, 2022). Sin embargo, hasta la fecha no se dispone de evidencia sistemática y cuantificada sobre la magnitud del fenómeno de falsa atribución en medios digitales, ni de herramientas automatizadas para su detección y respuesta educativa.</w:t>
      </w:r>
    </w:p>
    <w:p w:rsidR="00FE7F37" w:rsidRDefault="00E7632A" w:rsidP="00FE7F37">
      <w:pPr>
        <w:spacing w:after="160" w:line="360" w:lineRule="auto"/>
        <w:ind w:firstLine="720"/>
        <w:jc w:val="both"/>
        <w:rPr>
          <w:sz w:val="24"/>
          <w:szCs w:val="24"/>
        </w:rPr>
      </w:pPr>
      <w:r w:rsidRPr="00E7632A">
        <w:rPr>
          <w:sz w:val="24"/>
          <w:szCs w:val="24"/>
        </w:rPr>
        <w:t>Las expresiones culturales como tradiciones, danzas y música son de vital importancia para un país, ya que representan su identidad (UNESCO, 2001); por lo tanto, su salvaguardia es esencial para asegurar que no se extingan ni se distorsionen</w:t>
      </w:r>
      <w:r w:rsidR="00FE4A0F">
        <w:rPr>
          <w:sz w:val="24"/>
          <w:szCs w:val="24"/>
        </w:rPr>
        <w:t xml:space="preserve"> </w:t>
      </w:r>
      <w:r w:rsidRPr="00E7632A">
        <w:rPr>
          <w:sz w:val="24"/>
          <w:szCs w:val="24"/>
        </w:rPr>
        <w:t>(UNESCO, 2003)</w:t>
      </w:r>
      <w:r>
        <w:rPr>
          <w:sz w:val="24"/>
          <w:szCs w:val="24"/>
        </w:rPr>
        <w:t>.</w:t>
      </w:r>
      <w:r w:rsidR="00FE7F37" w:rsidRPr="00FE7F37">
        <w:rPr>
          <w:sz w:val="24"/>
          <w:szCs w:val="24"/>
        </w:rPr>
        <w:t xml:space="preserve"> </w:t>
      </w:r>
      <w:r w:rsidR="00FE7F37">
        <w:rPr>
          <w:sz w:val="24"/>
          <w:szCs w:val="24"/>
        </w:rPr>
        <w:t xml:space="preserve">La aplicación de sistemas de IA para detectar, cuantificar y responder educativamente a estos fenómenos representa una frontera nueva en la intersección entre </w:t>
      </w:r>
      <w:r w:rsidR="00AB571A">
        <w:rPr>
          <w:sz w:val="24"/>
          <w:szCs w:val="24"/>
        </w:rPr>
        <w:t xml:space="preserve">la </w:t>
      </w:r>
      <w:r w:rsidR="00FE7F37">
        <w:rPr>
          <w:sz w:val="24"/>
          <w:szCs w:val="24"/>
        </w:rPr>
        <w:t xml:space="preserve">tecnología y </w:t>
      </w:r>
      <w:r w:rsidR="00AB571A">
        <w:rPr>
          <w:sz w:val="24"/>
          <w:szCs w:val="24"/>
        </w:rPr>
        <w:t xml:space="preserve">la </w:t>
      </w:r>
      <w:r w:rsidR="00FE7F37">
        <w:rPr>
          <w:sz w:val="24"/>
          <w:szCs w:val="24"/>
        </w:rPr>
        <w:t>protección del patrimonio.</w:t>
      </w:r>
    </w:p>
    <w:p w:rsidR="00C80417" w:rsidRDefault="00FE7F37" w:rsidP="00FE7F37">
      <w:pPr>
        <w:spacing w:after="160" w:line="360" w:lineRule="auto"/>
        <w:ind w:firstLine="720"/>
        <w:jc w:val="both"/>
        <w:rPr>
          <w:sz w:val="24"/>
          <w:szCs w:val="24"/>
        </w:rPr>
      </w:pPr>
      <w:r>
        <w:rPr>
          <w:sz w:val="24"/>
          <w:szCs w:val="24"/>
        </w:rPr>
        <w:t xml:space="preserve">El </w:t>
      </w:r>
      <w:r w:rsidR="001C2F6D">
        <w:rPr>
          <w:sz w:val="24"/>
          <w:szCs w:val="24"/>
        </w:rPr>
        <w:t xml:space="preserve">presente </w:t>
      </w:r>
      <w:r>
        <w:rPr>
          <w:sz w:val="24"/>
          <w:szCs w:val="24"/>
        </w:rPr>
        <w:t>tema de investigación propuesto se</w:t>
      </w:r>
      <w:r w:rsidR="00AB571A">
        <w:rPr>
          <w:sz w:val="24"/>
          <w:szCs w:val="24"/>
        </w:rPr>
        <w:t xml:space="preserve"> establece</w:t>
      </w:r>
      <w:r w:rsidR="004405C9">
        <w:rPr>
          <w:sz w:val="24"/>
          <w:szCs w:val="24"/>
        </w:rPr>
        <w:t xml:space="preserve"> en el área de </w:t>
      </w:r>
      <w:r w:rsidR="004405C9" w:rsidRPr="004405C9">
        <w:rPr>
          <w:sz w:val="24"/>
          <w:szCs w:val="24"/>
        </w:rPr>
        <w:t>Ciencias de la Computación Aplicadas</w:t>
      </w:r>
      <w:r w:rsidR="004405C9">
        <w:rPr>
          <w:sz w:val="24"/>
          <w:szCs w:val="24"/>
        </w:rPr>
        <w:t xml:space="preserve"> </w:t>
      </w:r>
      <w:r w:rsidR="00EA7B5B">
        <w:rPr>
          <w:sz w:val="24"/>
          <w:szCs w:val="24"/>
        </w:rPr>
        <w:t xml:space="preserve">ya que </w:t>
      </w:r>
      <w:r w:rsidR="004405C9" w:rsidRPr="004405C9">
        <w:rPr>
          <w:sz w:val="24"/>
          <w:szCs w:val="24"/>
        </w:rPr>
        <w:t>la investigación aplica conocimientos computacionales avanzados a un problema real del contexto boliviano (patrimonio cultural), combinando múltiples disciplinas y produciendo prototipos funcionales y recursos académicos reutilizables</w:t>
      </w:r>
      <w:r w:rsidR="00EA7B5B">
        <w:rPr>
          <w:sz w:val="24"/>
          <w:szCs w:val="24"/>
        </w:rPr>
        <w:t>.</w:t>
      </w:r>
    </w:p>
    <w:p w:rsidR="001C2F6D" w:rsidRDefault="001C2F6D">
      <w:pPr>
        <w:spacing w:after="160" w:line="360" w:lineRule="auto"/>
        <w:ind w:firstLine="720"/>
        <w:jc w:val="both"/>
        <w:rPr>
          <w:sz w:val="24"/>
          <w:szCs w:val="24"/>
        </w:rPr>
      </w:pPr>
      <w:r w:rsidRPr="001C2F6D">
        <w:rPr>
          <w:sz w:val="24"/>
          <w:szCs w:val="24"/>
        </w:rPr>
        <w:lastRenderedPageBreak/>
        <w:t xml:space="preserve">Este proyecto se </w:t>
      </w:r>
      <w:r>
        <w:rPr>
          <w:sz w:val="24"/>
          <w:szCs w:val="24"/>
        </w:rPr>
        <w:t>centra</w:t>
      </w:r>
      <w:r w:rsidRPr="001C2F6D">
        <w:rPr>
          <w:sz w:val="24"/>
          <w:szCs w:val="24"/>
        </w:rPr>
        <w:t xml:space="preserve"> </w:t>
      </w:r>
      <w:r>
        <w:rPr>
          <w:sz w:val="24"/>
          <w:szCs w:val="24"/>
        </w:rPr>
        <w:t>en</w:t>
      </w:r>
      <w:r w:rsidRPr="001C2F6D">
        <w:rPr>
          <w:sz w:val="24"/>
          <w:szCs w:val="24"/>
        </w:rPr>
        <w:t xml:space="preserve"> la línea de Sistemas Inteligentes al proponer una solución técnica integral para la defensa del patrimonio. Su pertinencia se fundamenta en cinco ejes estratégicos: primero, el uso de NLP (BETO/XLM-RoBERTa) para la detección automática de atribuciones culturales erróneas; segundo, la implementación de Agentes Inteligentes (LangChain/CrewAI) que transforman la recuperación de datos en respuestas educativas con razonamiento propio. Asimismo, se apoya en el Aprendizaje Supervisado para garantizar la precisión del modelo frente a métodos clásicos, y en la Minería de Datos para mapear geográficamente patrones de plagio y desinformación. Finalmente, el eje de Ontologías asegura que toda defensa de la identidad cultural esté blindada por una estructura de conocimiento con rigor académico y fuentes primarias verificadas.</w:t>
      </w:r>
    </w:p>
    <w:p w:rsidR="009532F5" w:rsidRDefault="00000000" w:rsidP="00F130D9">
      <w:pPr>
        <w:spacing w:after="160" w:line="360" w:lineRule="auto"/>
        <w:ind w:firstLine="708"/>
        <w:jc w:val="both"/>
      </w:pPr>
      <w:r>
        <w:rPr>
          <w:sz w:val="24"/>
          <w:szCs w:val="24"/>
        </w:rPr>
        <w:t>La subl</w:t>
      </w:r>
      <w:r w:rsidR="00B8781E">
        <w:rPr>
          <w:sz w:val="24"/>
          <w:szCs w:val="24"/>
        </w:rPr>
        <w:t>í</w:t>
      </w:r>
      <w:r>
        <w:rPr>
          <w:sz w:val="24"/>
          <w:szCs w:val="24"/>
        </w:rPr>
        <w:t xml:space="preserve">nea de </w:t>
      </w:r>
      <w:r w:rsidR="00B8781E">
        <w:rPr>
          <w:sz w:val="24"/>
          <w:szCs w:val="24"/>
        </w:rPr>
        <w:t>Psicolingüísticas</w:t>
      </w:r>
      <w:r>
        <w:rPr>
          <w:sz w:val="24"/>
          <w:szCs w:val="24"/>
        </w:rPr>
        <w:t xml:space="preserve"> en TIC establece como eje </w:t>
      </w:r>
      <w:r w:rsidR="00B8781E">
        <w:rPr>
          <w:sz w:val="24"/>
          <w:szCs w:val="24"/>
        </w:rPr>
        <w:t>temático</w:t>
      </w:r>
      <w:r>
        <w:rPr>
          <w:sz w:val="24"/>
          <w:szCs w:val="24"/>
        </w:rPr>
        <w:t xml:space="preserve"> los estudios del proceso de </w:t>
      </w:r>
      <w:r w:rsidR="00B8781E">
        <w:rPr>
          <w:sz w:val="24"/>
          <w:szCs w:val="24"/>
        </w:rPr>
        <w:t>comunicación</w:t>
      </w:r>
      <w:r>
        <w:rPr>
          <w:sz w:val="24"/>
          <w:szCs w:val="24"/>
        </w:rPr>
        <w:t xml:space="preserve"> y la </w:t>
      </w:r>
      <w:r w:rsidR="00B8781E">
        <w:rPr>
          <w:sz w:val="24"/>
          <w:szCs w:val="24"/>
        </w:rPr>
        <w:t>identificación</w:t>
      </w:r>
      <w:r>
        <w:rPr>
          <w:sz w:val="24"/>
          <w:szCs w:val="24"/>
        </w:rPr>
        <w:t xml:space="preserve"> de problemas de significado </w:t>
      </w:r>
      <w:r w:rsidR="00B8781E">
        <w:rPr>
          <w:sz w:val="24"/>
          <w:szCs w:val="24"/>
        </w:rPr>
        <w:t>lingüístico</w:t>
      </w:r>
      <w:r>
        <w:rPr>
          <w:sz w:val="24"/>
          <w:szCs w:val="24"/>
        </w:rPr>
        <w:t xml:space="preserve"> o </w:t>
      </w:r>
      <w:r w:rsidR="001C2F6D">
        <w:rPr>
          <w:sz w:val="24"/>
          <w:szCs w:val="24"/>
        </w:rPr>
        <w:t xml:space="preserve">semántico. </w:t>
      </w:r>
      <w:r>
        <w:rPr>
          <w:sz w:val="24"/>
          <w:szCs w:val="24"/>
        </w:rPr>
        <w:t xml:space="preserve">La </w:t>
      </w:r>
      <w:r w:rsidR="00B8781E">
        <w:rPr>
          <w:sz w:val="24"/>
          <w:szCs w:val="24"/>
        </w:rPr>
        <w:t>construcción</w:t>
      </w:r>
      <w:r>
        <w:rPr>
          <w:sz w:val="24"/>
          <w:szCs w:val="24"/>
        </w:rPr>
        <w:t xml:space="preserve"> del corpus etiquetado y el </w:t>
      </w:r>
      <w:r w:rsidR="00B8781E">
        <w:rPr>
          <w:sz w:val="24"/>
          <w:szCs w:val="24"/>
        </w:rPr>
        <w:t>análisis</w:t>
      </w:r>
      <w:r>
        <w:rPr>
          <w:sz w:val="24"/>
          <w:szCs w:val="24"/>
        </w:rPr>
        <w:t xml:space="preserve"> de los patrones de </w:t>
      </w:r>
      <w:r w:rsidR="00B8781E">
        <w:rPr>
          <w:sz w:val="24"/>
          <w:szCs w:val="24"/>
        </w:rPr>
        <w:t>atribución</w:t>
      </w:r>
      <w:r>
        <w:rPr>
          <w:sz w:val="24"/>
          <w:szCs w:val="24"/>
        </w:rPr>
        <w:t xml:space="preserve"> cultural en textos digitales constituye una </w:t>
      </w:r>
      <w:r w:rsidR="00B8781E">
        <w:rPr>
          <w:sz w:val="24"/>
          <w:szCs w:val="24"/>
        </w:rPr>
        <w:t>investigación</w:t>
      </w:r>
      <w:r>
        <w:rPr>
          <w:sz w:val="24"/>
          <w:szCs w:val="24"/>
        </w:rPr>
        <w:t xml:space="preserve"> sobre los procesos de significado </w:t>
      </w:r>
      <w:r w:rsidR="00B8781E">
        <w:rPr>
          <w:sz w:val="24"/>
          <w:szCs w:val="24"/>
        </w:rPr>
        <w:t>semántico</w:t>
      </w:r>
      <w:r>
        <w:rPr>
          <w:sz w:val="24"/>
          <w:szCs w:val="24"/>
        </w:rPr>
        <w:t xml:space="preserve"> en la </w:t>
      </w:r>
      <w:r w:rsidR="00B8781E">
        <w:rPr>
          <w:sz w:val="24"/>
          <w:szCs w:val="24"/>
        </w:rPr>
        <w:t>comunicación</w:t>
      </w:r>
      <w:r>
        <w:rPr>
          <w:sz w:val="24"/>
          <w:szCs w:val="24"/>
        </w:rPr>
        <w:t xml:space="preserve"> digital: como los textos construyen, omiten o distorsionan el origen cultural de las expresiones que describen. El modelado computacional del lenguaje que subyace al sistema de </w:t>
      </w:r>
      <w:r w:rsidR="00B8781E">
        <w:rPr>
          <w:sz w:val="24"/>
          <w:szCs w:val="24"/>
        </w:rPr>
        <w:t>clasificación</w:t>
      </w:r>
      <w:r>
        <w:rPr>
          <w:sz w:val="24"/>
          <w:szCs w:val="24"/>
        </w:rPr>
        <w:t xml:space="preserve"> es la </w:t>
      </w:r>
      <w:r w:rsidR="00B8781E">
        <w:rPr>
          <w:sz w:val="24"/>
          <w:szCs w:val="24"/>
        </w:rPr>
        <w:t>expresión</w:t>
      </w:r>
      <w:r>
        <w:rPr>
          <w:sz w:val="24"/>
          <w:szCs w:val="24"/>
        </w:rPr>
        <w:t xml:space="preserve"> </w:t>
      </w:r>
      <w:r w:rsidR="00B8781E">
        <w:rPr>
          <w:sz w:val="24"/>
          <w:szCs w:val="24"/>
        </w:rPr>
        <w:t>tecnológica</w:t>
      </w:r>
      <w:r>
        <w:rPr>
          <w:sz w:val="24"/>
          <w:szCs w:val="24"/>
        </w:rPr>
        <w:t xml:space="preserve"> de este enfoque </w:t>
      </w:r>
      <w:r w:rsidR="00B8781E">
        <w:rPr>
          <w:sz w:val="24"/>
          <w:szCs w:val="24"/>
        </w:rPr>
        <w:t>psicolingüístico</w:t>
      </w:r>
      <w:r>
        <w:rPr>
          <w:sz w:val="24"/>
          <w:szCs w:val="24"/>
        </w:rPr>
        <w:t>.</w:t>
      </w:r>
    </w:p>
    <w:p w:rsidR="00B8781E" w:rsidRDefault="00E36AB7" w:rsidP="00B8781E">
      <w:pPr>
        <w:spacing w:after="160" w:line="360" w:lineRule="auto"/>
        <w:ind w:firstLine="720"/>
        <w:jc w:val="both"/>
        <w:rPr>
          <w:sz w:val="24"/>
          <w:szCs w:val="24"/>
        </w:rPr>
      </w:pPr>
      <w:r>
        <w:rPr>
          <w:sz w:val="24"/>
          <w:szCs w:val="24"/>
        </w:rPr>
        <w:t>El ámbito temático d</w:t>
      </w:r>
      <w:r w:rsidR="00FB6ECB">
        <w:rPr>
          <w:sz w:val="24"/>
          <w:szCs w:val="24"/>
        </w:rPr>
        <w:t>el trabajo propuesto se centra</w:t>
      </w:r>
      <w:r>
        <w:rPr>
          <w:sz w:val="24"/>
          <w:szCs w:val="24"/>
        </w:rPr>
        <w:t xml:space="preserve"> en el </w:t>
      </w:r>
      <w:r w:rsidR="00FB6ECB">
        <w:rPr>
          <w:sz w:val="24"/>
          <w:szCs w:val="24"/>
        </w:rPr>
        <w:t>Área</w:t>
      </w:r>
      <w:r w:rsidR="00340764">
        <w:rPr>
          <w:sz w:val="24"/>
          <w:szCs w:val="24"/>
        </w:rPr>
        <w:t xml:space="preserve"> de </w:t>
      </w:r>
      <w:r w:rsidR="00340764" w:rsidRPr="004405C9">
        <w:rPr>
          <w:sz w:val="24"/>
          <w:szCs w:val="24"/>
        </w:rPr>
        <w:t>Ciencias de la Computación Aplicadas</w:t>
      </w:r>
      <w:r>
        <w:rPr>
          <w:sz w:val="24"/>
          <w:szCs w:val="24"/>
        </w:rPr>
        <w:t xml:space="preserve">, </w:t>
      </w:r>
      <w:r w:rsidR="00340764">
        <w:rPr>
          <w:sz w:val="24"/>
          <w:szCs w:val="24"/>
        </w:rPr>
        <w:t xml:space="preserve">Sublínea </w:t>
      </w:r>
      <w:r>
        <w:rPr>
          <w:sz w:val="24"/>
          <w:szCs w:val="24"/>
        </w:rPr>
        <w:t xml:space="preserve">Sistemas Inteligentes, con una </w:t>
      </w:r>
      <w:r w:rsidR="00FB6ECB">
        <w:rPr>
          <w:sz w:val="24"/>
          <w:szCs w:val="24"/>
        </w:rPr>
        <w:t>contribución</w:t>
      </w:r>
      <w:r>
        <w:rPr>
          <w:sz w:val="24"/>
          <w:szCs w:val="24"/>
        </w:rPr>
        <w:t xml:space="preserve"> secundaria a la</w:t>
      </w:r>
      <w:r w:rsidR="00340764">
        <w:rPr>
          <w:sz w:val="24"/>
          <w:szCs w:val="24"/>
        </w:rPr>
        <w:t xml:space="preserve"> </w:t>
      </w:r>
      <w:r>
        <w:rPr>
          <w:sz w:val="24"/>
          <w:szCs w:val="24"/>
        </w:rPr>
        <w:t>Subl</w:t>
      </w:r>
      <w:r w:rsidR="00340764">
        <w:rPr>
          <w:sz w:val="24"/>
          <w:szCs w:val="24"/>
        </w:rPr>
        <w:t>í</w:t>
      </w:r>
      <w:r>
        <w:rPr>
          <w:sz w:val="24"/>
          <w:szCs w:val="24"/>
        </w:rPr>
        <w:t xml:space="preserve">nea </w:t>
      </w:r>
      <w:r w:rsidR="00340764">
        <w:rPr>
          <w:sz w:val="24"/>
          <w:szCs w:val="24"/>
        </w:rPr>
        <w:t>Psicolingüísticas</w:t>
      </w:r>
      <w:r>
        <w:rPr>
          <w:sz w:val="24"/>
          <w:szCs w:val="24"/>
        </w:rPr>
        <w:t xml:space="preserve"> en TIC. Esta doble </w:t>
      </w:r>
      <w:r w:rsidR="00340764">
        <w:rPr>
          <w:sz w:val="24"/>
          <w:szCs w:val="24"/>
        </w:rPr>
        <w:t>alineación</w:t>
      </w:r>
      <w:r>
        <w:rPr>
          <w:sz w:val="24"/>
          <w:szCs w:val="24"/>
        </w:rPr>
        <w:t xml:space="preserve"> refleja la naturaleza transdisciplinar del trabajo, que combina </w:t>
      </w:r>
      <w:r w:rsidR="00B8781E">
        <w:rPr>
          <w:sz w:val="24"/>
          <w:szCs w:val="24"/>
        </w:rPr>
        <w:t>técnicas</w:t>
      </w:r>
      <w:r>
        <w:rPr>
          <w:sz w:val="24"/>
          <w:szCs w:val="24"/>
        </w:rPr>
        <w:t xml:space="preserve"> de sistemas inteligentes con </w:t>
      </w:r>
      <w:r w:rsidR="00B8781E">
        <w:rPr>
          <w:sz w:val="24"/>
          <w:szCs w:val="24"/>
        </w:rPr>
        <w:t>análisis</w:t>
      </w:r>
      <w:r>
        <w:rPr>
          <w:sz w:val="24"/>
          <w:szCs w:val="24"/>
        </w:rPr>
        <w:t xml:space="preserve"> </w:t>
      </w:r>
      <w:r w:rsidR="00B8781E">
        <w:rPr>
          <w:sz w:val="24"/>
          <w:szCs w:val="24"/>
        </w:rPr>
        <w:t>semántico</w:t>
      </w:r>
      <w:r>
        <w:rPr>
          <w:sz w:val="24"/>
          <w:szCs w:val="24"/>
        </w:rPr>
        <w:t xml:space="preserve"> del discurso digital sobre identidad cultural.</w:t>
      </w:r>
    </w:p>
    <w:p w:rsidR="00B8781E" w:rsidRDefault="00340764" w:rsidP="00340764">
      <w:pPr>
        <w:spacing w:after="160" w:line="360" w:lineRule="auto"/>
        <w:ind w:firstLine="720"/>
        <w:jc w:val="both"/>
        <w:rPr>
          <w:sz w:val="24"/>
          <w:szCs w:val="24"/>
        </w:rPr>
      </w:pPr>
      <w:r w:rsidRPr="00340764">
        <w:rPr>
          <w:sz w:val="24"/>
          <w:szCs w:val="24"/>
        </w:rPr>
        <w:t xml:space="preserve">El presente estudio se delimita al análisis de </w:t>
      </w:r>
      <w:r w:rsidR="00A501FD">
        <w:rPr>
          <w:sz w:val="24"/>
          <w:szCs w:val="24"/>
        </w:rPr>
        <w:t>t</w:t>
      </w:r>
      <w:r w:rsidR="00A501FD" w:rsidRPr="00A501FD">
        <w:rPr>
          <w:sz w:val="24"/>
          <w:szCs w:val="24"/>
        </w:rPr>
        <w:t>extos digitales predominantemente en español, con inclusión de textos en inglés</w:t>
      </w:r>
      <w:r w:rsidR="00A501FD">
        <w:rPr>
          <w:sz w:val="24"/>
          <w:szCs w:val="24"/>
        </w:rPr>
        <w:t xml:space="preserve">, </w:t>
      </w:r>
      <w:r w:rsidRPr="00340764">
        <w:rPr>
          <w:sz w:val="24"/>
          <w:szCs w:val="24"/>
        </w:rPr>
        <w:t>publicados en medios digitales de alcance internacional durante el período 202</w:t>
      </w:r>
      <w:r>
        <w:rPr>
          <w:sz w:val="24"/>
          <w:szCs w:val="24"/>
        </w:rPr>
        <w:t>5</w:t>
      </w:r>
      <w:r w:rsidRPr="00340764">
        <w:rPr>
          <w:sz w:val="24"/>
          <w:szCs w:val="24"/>
        </w:rPr>
        <w:t>-202</w:t>
      </w:r>
      <w:r>
        <w:rPr>
          <w:sz w:val="24"/>
          <w:szCs w:val="24"/>
        </w:rPr>
        <w:t>6</w:t>
      </w:r>
      <w:r w:rsidRPr="00340764">
        <w:rPr>
          <w:sz w:val="24"/>
          <w:szCs w:val="24"/>
        </w:rPr>
        <w:t>. La unidad de análisis está constituida por textos digitales provenientes de plataformas digitales</w:t>
      </w:r>
      <w:r>
        <w:rPr>
          <w:sz w:val="24"/>
          <w:szCs w:val="24"/>
        </w:rPr>
        <w:t xml:space="preserve">, </w:t>
      </w:r>
      <w:r w:rsidRPr="00340764">
        <w:rPr>
          <w:sz w:val="24"/>
          <w:szCs w:val="24"/>
        </w:rPr>
        <w:t>incluyendo Wikipedia multilingüe, portales de noticias y redes sociales</w:t>
      </w:r>
      <w:r>
        <w:rPr>
          <w:sz w:val="24"/>
          <w:szCs w:val="24"/>
        </w:rPr>
        <w:t xml:space="preserve">, </w:t>
      </w:r>
      <w:r w:rsidRPr="00340764">
        <w:rPr>
          <w:sz w:val="24"/>
          <w:szCs w:val="24"/>
        </w:rPr>
        <w:t>que referencian expresiones del patrimonio cultural inmaterial boliviano. En este marco, el tema de investigación queda formalmente enunciado como: Sistema de inteligencia artificial para la detección de falsa atribución del patrimonio cultural inmaterial boliviano en medios digitales mediante clasificación de textos y agentes conversacionales, en</w:t>
      </w:r>
      <w:r>
        <w:rPr>
          <w:sz w:val="24"/>
          <w:szCs w:val="24"/>
        </w:rPr>
        <w:t xml:space="preserve"> </w:t>
      </w:r>
      <w:r w:rsidRPr="00340764">
        <w:rPr>
          <w:sz w:val="24"/>
          <w:szCs w:val="24"/>
        </w:rPr>
        <w:t>Bolivia, 202</w:t>
      </w:r>
      <w:r>
        <w:rPr>
          <w:sz w:val="24"/>
          <w:szCs w:val="24"/>
        </w:rPr>
        <w:t>5-2026</w:t>
      </w:r>
      <w:r w:rsidRPr="00340764">
        <w:rPr>
          <w:sz w:val="24"/>
          <w:szCs w:val="24"/>
        </w:rPr>
        <w:t>.</w:t>
      </w:r>
    </w:p>
    <w:p w:rsidR="008A1C12" w:rsidRPr="00DD16F8" w:rsidRDefault="008A1C12" w:rsidP="00F43CE6">
      <w:pPr>
        <w:pStyle w:val="Ttulo2"/>
        <w:numPr>
          <w:ilvl w:val="0"/>
          <w:numId w:val="18"/>
        </w:numPr>
        <w:spacing w:after="240" w:line="276" w:lineRule="auto"/>
        <w:rPr>
          <w:b/>
          <w:bCs/>
          <w:color w:val="000000" w:themeColor="text1"/>
        </w:rPr>
      </w:pPr>
      <w:bookmarkStart w:id="1" w:name="_Toc228308139"/>
      <w:r w:rsidRPr="00DD16F8">
        <w:rPr>
          <w:b/>
          <w:bCs/>
          <w:color w:val="000000" w:themeColor="text1"/>
        </w:rPr>
        <w:lastRenderedPageBreak/>
        <w:t>Antecedentes del problema</w:t>
      </w:r>
      <w:bookmarkEnd w:id="1"/>
    </w:p>
    <w:p w:rsidR="008A1C12" w:rsidRDefault="008A1C12" w:rsidP="008A1C12">
      <w:pPr>
        <w:spacing w:line="480" w:lineRule="auto"/>
        <w:ind w:firstLine="720"/>
        <w:jc w:val="both"/>
      </w:pPr>
      <w:r>
        <w:rPr>
          <w:sz w:val="24"/>
          <w:szCs w:val="24"/>
        </w:rPr>
        <w:t>Entre los antecedentes consultados desde la revisión documental efectuada se ha podido identificar que:</w:t>
      </w:r>
    </w:p>
    <w:p w:rsidR="008A1C12" w:rsidRDefault="008A1C12" w:rsidP="008A1C12">
      <w:pPr>
        <w:spacing w:line="480" w:lineRule="auto"/>
      </w:pPr>
    </w:p>
    <w:p w:rsidR="008A1C12" w:rsidRDefault="008A1C12" w:rsidP="00621D45">
      <w:pPr>
        <w:spacing w:after="240" w:line="480" w:lineRule="auto"/>
        <w:ind w:firstLine="720"/>
        <w:jc w:val="both"/>
      </w:pPr>
      <w:r w:rsidRPr="00621D45">
        <w:rPr>
          <w:sz w:val="24"/>
          <w:szCs w:val="24"/>
        </w:rPr>
        <w:t xml:space="preserve">Devlin et al. (2019) </w:t>
      </w:r>
      <w:r>
        <w:rPr>
          <w:sz w:val="24"/>
          <w:szCs w:val="24"/>
        </w:rPr>
        <w:t>desarrollaron BERT (</w:t>
      </w:r>
      <w:proofErr w:type="spellStart"/>
      <w:r>
        <w:rPr>
          <w:i/>
          <w:iCs/>
          <w:sz w:val="24"/>
          <w:szCs w:val="24"/>
        </w:rPr>
        <w:t>Bidirectional</w:t>
      </w:r>
      <w:proofErr w:type="spellEnd"/>
      <w:r>
        <w:rPr>
          <w:i/>
          <w:iCs/>
          <w:sz w:val="24"/>
          <w:szCs w:val="24"/>
        </w:rPr>
        <w:t xml:space="preserve"> </w:t>
      </w:r>
      <w:proofErr w:type="spellStart"/>
      <w:r>
        <w:rPr>
          <w:i/>
          <w:iCs/>
          <w:sz w:val="24"/>
          <w:szCs w:val="24"/>
        </w:rPr>
        <w:t>Encoder</w:t>
      </w:r>
      <w:proofErr w:type="spellEnd"/>
      <w:r>
        <w:rPr>
          <w:i/>
          <w:iCs/>
          <w:sz w:val="24"/>
          <w:szCs w:val="24"/>
        </w:rPr>
        <w:t xml:space="preserve"> Representations from Transformers</w:t>
      </w:r>
      <w:r>
        <w:rPr>
          <w:sz w:val="24"/>
          <w:szCs w:val="24"/>
        </w:rPr>
        <w:t xml:space="preserve">), un modelo de lenguaje </w:t>
      </w:r>
      <w:proofErr w:type="spellStart"/>
      <w:r>
        <w:rPr>
          <w:sz w:val="24"/>
          <w:szCs w:val="24"/>
        </w:rPr>
        <w:t>preentrenado</w:t>
      </w:r>
      <w:proofErr w:type="spellEnd"/>
      <w:r>
        <w:rPr>
          <w:sz w:val="24"/>
          <w:szCs w:val="24"/>
        </w:rPr>
        <w:t xml:space="preserve"> basado en la arquitectura </w:t>
      </w:r>
      <w:proofErr w:type="spellStart"/>
      <w:r>
        <w:rPr>
          <w:sz w:val="24"/>
          <w:szCs w:val="24"/>
        </w:rPr>
        <w:t>Transformer</w:t>
      </w:r>
      <w:proofErr w:type="spellEnd"/>
      <w:r>
        <w:rPr>
          <w:sz w:val="24"/>
          <w:szCs w:val="24"/>
        </w:rPr>
        <w:t xml:space="preserve"> que estableció el nuevo estándar de múltiples tareas de comprensión de lenguaje natural, incluyendo clasificación de textos y análisis semántico. BERT introduce un mecanismo de preentrenamiento bidireccional que permite al modelo capturar dependencias contextuales entre palabras en ambas direcciones de la oración de manera simultánea. Su trabajo proporciona la arquitectura base sobre la cual se construyen los clasificadores de falsa atribución cultural propuestos en la presente investigación.</w:t>
      </w:r>
    </w:p>
    <w:p w:rsidR="008A1C12" w:rsidRDefault="008A1C12" w:rsidP="008A1C12">
      <w:pPr>
        <w:spacing w:after="240" w:line="480" w:lineRule="auto"/>
        <w:ind w:firstLine="720"/>
        <w:jc w:val="both"/>
        <w:rPr>
          <w:sz w:val="24"/>
          <w:szCs w:val="24"/>
        </w:rPr>
      </w:pPr>
      <w:proofErr w:type="spellStart"/>
      <w:r w:rsidRPr="00621D45">
        <w:rPr>
          <w:sz w:val="24"/>
          <w:szCs w:val="24"/>
        </w:rPr>
        <w:t>Conneau</w:t>
      </w:r>
      <w:proofErr w:type="spellEnd"/>
      <w:r w:rsidRPr="00621D45">
        <w:rPr>
          <w:sz w:val="24"/>
          <w:szCs w:val="24"/>
        </w:rPr>
        <w:t xml:space="preserve"> et al. (2020)</w:t>
      </w:r>
      <w:r>
        <w:rPr>
          <w:sz w:val="24"/>
          <w:szCs w:val="24"/>
        </w:rPr>
        <w:t xml:space="preserve"> </w:t>
      </w:r>
      <w:r w:rsidR="00621D45">
        <w:rPr>
          <w:sz w:val="24"/>
          <w:szCs w:val="24"/>
        </w:rPr>
        <w:t xml:space="preserve">presentaron </w:t>
      </w:r>
      <w:r>
        <w:rPr>
          <w:sz w:val="24"/>
          <w:szCs w:val="24"/>
        </w:rPr>
        <w:t>XLM-RoBERTa, un modelo de lenguaje multilingüe de gran escala entrenado de forma no supervisada sobre corpus en 100 idiomas de manera simultánea. Su trabajo demuestra que el preentrenamiento masivo en múltiples lenguas permite una transferencia de conocimiento entre idiomas sin necesidad de datos paralelos, alcanzando rendimientos superiores a los modelos específicos de cada lengua en varias tareas de clasificación. Este antecedente resulta pertinente para la presente investigación dado que el fenómeno de falsa atribución del patrimonio boliviano ocurre en textos tanto en español como en inglés y otros idiomas, requiriendo un modelo con capacidad de generalización multilingüe.</w:t>
      </w:r>
    </w:p>
    <w:p w:rsidR="008A1C12" w:rsidRDefault="008A1C12" w:rsidP="00D413A1">
      <w:pPr>
        <w:spacing w:after="240" w:line="480" w:lineRule="auto"/>
        <w:ind w:firstLine="720"/>
        <w:jc w:val="both"/>
      </w:pPr>
      <w:proofErr w:type="spellStart"/>
      <w:r w:rsidRPr="00D413A1">
        <w:rPr>
          <w:sz w:val="24"/>
          <w:szCs w:val="24"/>
        </w:rPr>
        <w:t>Marone</w:t>
      </w:r>
      <w:proofErr w:type="spellEnd"/>
      <w:r w:rsidRPr="00D413A1">
        <w:rPr>
          <w:sz w:val="24"/>
          <w:szCs w:val="24"/>
        </w:rPr>
        <w:t xml:space="preserve"> et al. (2025) pr</w:t>
      </w:r>
      <w:r>
        <w:rPr>
          <w:sz w:val="24"/>
          <w:szCs w:val="24"/>
        </w:rPr>
        <w:t xml:space="preserve">esentaron </w:t>
      </w:r>
      <w:proofErr w:type="spellStart"/>
      <w:r>
        <w:rPr>
          <w:sz w:val="24"/>
          <w:szCs w:val="24"/>
        </w:rPr>
        <w:t>mmBERT</w:t>
      </w:r>
      <w:proofErr w:type="spellEnd"/>
      <w:r>
        <w:rPr>
          <w:sz w:val="24"/>
          <w:szCs w:val="24"/>
        </w:rPr>
        <w:t xml:space="preserve">, un </w:t>
      </w:r>
      <w:proofErr w:type="spellStart"/>
      <w:r>
        <w:rPr>
          <w:sz w:val="24"/>
          <w:szCs w:val="24"/>
        </w:rPr>
        <w:t>encoder</w:t>
      </w:r>
      <w:proofErr w:type="spellEnd"/>
      <w:r>
        <w:rPr>
          <w:sz w:val="24"/>
          <w:szCs w:val="24"/>
        </w:rPr>
        <w:t xml:space="preserve"> multilingüe moderno basado en la arquitectura </w:t>
      </w:r>
      <w:proofErr w:type="spellStart"/>
      <w:r>
        <w:rPr>
          <w:sz w:val="24"/>
          <w:szCs w:val="24"/>
        </w:rPr>
        <w:t>ModernBERT</w:t>
      </w:r>
      <w:proofErr w:type="spellEnd"/>
      <w:r>
        <w:rPr>
          <w:sz w:val="24"/>
          <w:szCs w:val="24"/>
        </w:rPr>
        <w:t xml:space="preserve">, </w:t>
      </w:r>
      <w:proofErr w:type="spellStart"/>
      <w:r>
        <w:rPr>
          <w:sz w:val="24"/>
          <w:szCs w:val="24"/>
        </w:rPr>
        <w:t>preentrenado</w:t>
      </w:r>
      <w:proofErr w:type="spellEnd"/>
      <w:r>
        <w:rPr>
          <w:sz w:val="24"/>
          <w:szCs w:val="24"/>
        </w:rPr>
        <w:t xml:space="preserve"> sobre más de tres billones de tokens en 1,833 idiomas mediante un esquema de entrenamiento progresivo por fases. </w:t>
      </w:r>
      <w:r w:rsidR="00D413A1">
        <w:rPr>
          <w:sz w:val="24"/>
          <w:szCs w:val="24"/>
        </w:rPr>
        <w:t xml:space="preserve">Este modelo es </w:t>
      </w:r>
      <w:r>
        <w:rPr>
          <w:sz w:val="24"/>
          <w:szCs w:val="24"/>
        </w:rPr>
        <w:t xml:space="preserve">el </w:t>
      </w:r>
      <w:r>
        <w:rPr>
          <w:sz w:val="24"/>
          <w:szCs w:val="24"/>
        </w:rPr>
        <w:lastRenderedPageBreak/>
        <w:t>primer</w:t>
      </w:r>
      <w:r w:rsidR="00D413A1">
        <w:rPr>
          <w:sz w:val="24"/>
          <w:szCs w:val="24"/>
        </w:rPr>
        <w:t>o</w:t>
      </w:r>
      <w:r>
        <w:rPr>
          <w:sz w:val="24"/>
          <w:szCs w:val="24"/>
        </w:rPr>
        <w:t xml:space="preserve"> en superar significativamente a XLM-RoBERTa en benchmarks multilingües estándar, incluyendo clasificación de inferencia en lenguaje natural (XNLI), recuperación semántica (MTEB) y comprensión de preguntas (</w:t>
      </w:r>
      <w:proofErr w:type="spellStart"/>
      <w:r>
        <w:rPr>
          <w:sz w:val="24"/>
          <w:szCs w:val="24"/>
        </w:rPr>
        <w:t>TyDiQA</w:t>
      </w:r>
      <w:proofErr w:type="spellEnd"/>
      <w:r>
        <w:rPr>
          <w:sz w:val="24"/>
          <w:szCs w:val="24"/>
        </w:rPr>
        <w:t xml:space="preserve">), siendo además sustancialmente más rápido gracias a Flash </w:t>
      </w:r>
      <w:proofErr w:type="spellStart"/>
      <w:r>
        <w:rPr>
          <w:sz w:val="24"/>
          <w:szCs w:val="24"/>
        </w:rPr>
        <w:t>Attention</w:t>
      </w:r>
      <w:proofErr w:type="spellEnd"/>
      <w:r>
        <w:rPr>
          <w:sz w:val="24"/>
          <w:szCs w:val="24"/>
        </w:rPr>
        <w:t xml:space="preserve"> 2 y al procesamiento sin relleno (</w:t>
      </w:r>
      <w:proofErr w:type="spellStart"/>
      <w:r>
        <w:rPr>
          <w:i/>
          <w:iCs/>
          <w:sz w:val="24"/>
          <w:szCs w:val="24"/>
        </w:rPr>
        <w:t>unpadded</w:t>
      </w:r>
      <w:proofErr w:type="spellEnd"/>
      <w:r>
        <w:rPr>
          <w:i/>
          <w:iCs/>
          <w:sz w:val="24"/>
          <w:szCs w:val="24"/>
        </w:rPr>
        <w:t xml:space="preserve"> </w:t>
      </w:r>
      <w:proofErr w:type="spellStart"/>
      <w:r>
        <w:rPr>
          <w:i/>
          <w:iCs/>
          <w:sz w:val="24"/>
          <w:szCs w:val="24"/>
        </w:rPr>
        <w:t>sequence</w:t>
      </w:r>
      <w:proofErr w:type="spellEnd"/>
      <w:r>
        <w:rPr>
          <w:i/>
          <w:iCs/>
          <w:sz w:val="24"/>
          <w:szCs w:val="24"/>
        </w:rPr>
        <w:t xml:space="preserve"> </w:t>
      </w:r>
      <w:proofErr w:type="spellStart"/>
      <w:r>
        <w:rPr>
          <w:i/>
          <w:iCs/>
          <w:sz w:val="24"/>
          <w:szCs w:val="24"/>
        </w:rPr>
        <w:t>processing</w:t>
      </w:r>
      <w:proofErr w:type="spellEnd"/>
      <w:r>
        <w:rPr>
          <w:sz w:val="24"/>
          <w:szCs w:val="24"/>
        </w:rPr>
        <w:t xml:space="preserve">). El modelo soporta secuencias de hasta 8,192 tokens y está disponible públicamente en </w:t>
      </w:r>
      <w:proofErr w:type="spellStart"/>
      <w:r>
        <w:rPr>
          <w:sz w:val="24"/>
          <w:szCs w:val="24"/>
        </w:rPr>
        <w:t>HuggingFace</w:t>
      </w:r>
      <w:proofErr w:type="spellEnd"/>
      <w:r>
        <w:rPr>
          <w:sz w:val="24"/>
          <w:szCs w:val="24"/>
        </w:rPr>
        <w:t xml:space="preserve"> con compatibilidad completa con la API estándar de </w:t>
      </w:r>
      <w:proofErr w:type="spellStart"/>
      <w:r>
        <w:rPr>
          <w:sz w:val="24"/>
          <w:szCs w:val="24"/>
        </w:rPr>
        <w:t>transformers</w:t>
      </w:r>
      <w:proofErr w:type="spellEnd"/>
      <w:r>
        <w:rPr>
          <w:sz w:val="24"/>
          <w:szCs w:val="24"/>
        </w:rPr>
        <w:t>. Sus capacidades multilingües avanzadas lo convierten en el modelo principal para el clasificador propuesto en la presente investigación, permitiendo procesar textos en español e inglés.</w:t>
      </w:r>
    </w:p>
    <w:p w:rsidR="008A1C12" w:rsidRDefault="008A1C12" w:rsidP="00D413A1">
      <w:pPr>
        <w:spacing w:after="240" w:line="480" w:lineRule="auto"/>
        <w:ind w:firstLine="720"/>
        <w:jc w:val="both"/>
      </w:pPr>
      <w:r w:rsidRPr="00D413A1">
        <w:rPr>
          <w:sz w:val="24"/>
          <w:szCs w:val="24"/>
        </w:rPr>
        <w:t>Cañete et al. (2020) desa</w:t>
      </w:r>
      <w:r>
        <w:rPr>
          <w:sz w:val="24"/>
          <w:szCs w:val="24"/>
        </w:rPr>
        <w:t xml:space="preserve">rrollaron BETO, la primera versión de BERT </w:t>
      </w:r>
      <w:proofErr w:type="spellStart"/>
      <w:r>
        <w:rPr>
          <w:sz w:val="24"/>
          <w:szCs w:val="24"/>
        </w:rPr>
        <w:t>preentrenada</w:t>
      </w:r>
      <w:proofErr w:type="spellEnd"/>
      <w:r>
        <w:rPr>
          <w:sz w:val="24"/>
          <w:szCs w:val="24"/>
        </w:rPr>
        <w:t xml:space="preserve"> exclusivamente sobre un corpus de gran escala en español, utilizando la técnica de enmascaramiento de palabras completas (</w:t>
      </w:r>
      <w:proofErr w:type="spellStart"/>
      <w:r>
        <w:rPr>
          <w:i/>
          <w:iCs/>
          <w:sz w:val="24"/>
          <w:szCs w:val="24"/>
        </w:rPr>
        <w:t>Whole</w:t>
      </w:r>
      <w:proofErr w:type="spellEnd"/>
      <w:r>
        <w:rPr>
          <w:i/>
          <w:iCs/>
          <w:sz w:val="24"/>
          <w:szCs w:val="24"/>
        </w:rPr>
        <w:t xml:space="preserve"> Word </w:t>
      </w:r>
      <w:proofErr w:type="spellStart"/>
      <w:r>
        <w:rPr>
          <w:i/>
          <w:iCs/>
          <w:sz w:val="24"/>
          <w:szCs w:val="24"/>
        </w:rPr>
        <w:t>Masking</w:t>
      </w:r>
      <w:proofErr w:type="spellEnd"/>
      <w:r>
        <w:rPr>
          <w:sz w:val="24"/>
          <w:szCs w:val="24"/>
        </w:rPr>
        <w:t xml:space="preserve">). Los autores demostraron que BETO supera al modelo multilingüe </w:t>
      </w:r>
      <w:proofErr w:type="spellStart"/>
      <w:r>
        <w:rPr>
          <w:sz w:val="24"/>
          <w:szCs w:val="24"/>
        </w:rPr>
        <w:t>mBERT</w:t>
      </w:r>
      <w:proofErr w:type="spellEnd"/>
      <w:r>
        <w:rPr>
          <w:sz w:val="24"/>
          <w:szCs w:val="24"/>
        </w:rPr>
        <w:t xml:space="preserve"> en tareas de clasificación, reconocimiento de entidades nombradas y similitud semántica en castellano. Su trabajo justifica la inclusión de BETO como modelo candidato en la fase de </w:t>
      </w:r>
      <w:r>
        <w:rPr>
          <w:i/>
          <w:iCs/>
          <w:sz w:val="24"/>
          <w:szCs w:val="24"/>
        </w:rPr>
        <w:t>fine-</w:t>
      </w:r>
      <w:proofErr w:type="spellStart"/>
      <w:r>
        <w:rPr>
          <w:i/>
          <w:iCs/>
          <w:sz w:val="24"/>
          <w:szCs w:val="24"/>
        </w:rPr>
        <w:t>tuning</w:t>
      </w:r>
      <w:proofErr w:type="spellEnd"/>
      <w:r>
        <w:rPr>
          <w:sz w:val="24"/>
          <w:szCs w:val="24"/>
        </w:rPr>
        <w:t xml:space="preserve"> sobre el corpus de falsa atribución cultural construido en la presente investigación, considerando que la mayoría de los textos objetivo están redactados en español.</w:t>
      </w:r>
    </w:p>
    <w:p w:rsidR="008A1C12" w:rsidRDefault="008A1C12" w:rsidP="00E41BC1">
      <w:pPr>
        <w:spacing w:after="240" w:line="480" w:lineRule="auto"/>
        <w:ind w:firstLine="720"/>
        <w:jc w:val="both"/>
      </w:pPr>
      <w:r w:rsidRPr="00D413A1">
        <w:rPr>
          <w:sz w:val="24"/>
          <w:szCs w:val="24"/>
        </w:rPr>
        <w:t>Zubiaga et al. (2018) realizaro</w:t>
      </w:r>
      <w:r>
        <w:rPr>
          <w:sz w:val="24"/>
          <w:szCs w:val="24"/>
        </w:rPr>
        <w:t xml:space="preserve">n una revisión sistemática exhaustiva de los métodos computacionales para la detección y resolución de rumores en medios sociales, abarcando enfoques de aprendizaje supervisado, no supervisado y de aprendizaje profundo. El estudio evidencia que los clasificadores supervisados basados en representaciones distribuidas superan consistentemente a los métodos clásicos de ingeniería de características en escenarios con corpus etiquetado disponible. Sus conclusiones sobre el tratamiento de clases minoritarias y la generalización entre dominios orientan directamente el diseño del corpus </w:t>
      </w:r>
      <w:r>
        <w:rPr>
          <w:sz w:val="24"/>
          <w:szCs w:val="24"/>
        </w:rPr>
        <w:lastRenderedPageBreak/>
        <w:t>híbrido y la estrategia de anotación propuestas en la presente investigación para el componente de clasificación de falsa atribución.</w:t>
      </w:r>
    </w:p>
    <w:p w:rsidR="008A1C12" w:rsidRDefault="008A1C12" w:rsidP="00E41BC1">
      <w:pPr>
        <w:spacing w:after="240" w:line="480" w:lineRule="auto"/>
        <w:ind w:firstLine="720"/>
        <w:jc w:val="both"/>
      </w:pPr>
      <w:r w:rsidRPr="00E41BC1">
        <w:rPr>
          <w:sz w:val="24"/>
          <w:szCs w:val="24"/>
        </w:rPr>
        <w:t>Lewis et al. (2020) propus</w:t>
      </w:r>
      <w:r>
        <w:rPr>
          <w:sz w:val="24"/>
          <w:szCs w:val="24"/>
        </w:rPr>
        <w:t>ieron el esquema RAG (</w:t>
      </w:r>
      <w:proofErr w:type="spellStart"/>
      <w:r>
        <w:rPr>
          <w:i/>
          <w:iCs/>
          <w:sz w:val="24"/>
          <w:szCs w:val="24"/>
        </w:rPr>
        <w:t>Retrieval-Augmented</w:t>
      </w:r>
      <w:proofErr w:type="spellEnd"/>
      <w:r>
        <w:rPr>
          <w:i/>
          <w:iCs/>
          <w:sz w:val="24"/>
          <w:szCs w:val="24"/>
        </w:rPr>
        <w:t xml:space="preserve"> </w:t>
      </w:r>
      <w:proofErr w:type="spellStart"/>
      <w:r>
        <w:rPr>
          <w:i/>
          <w:iCs/>
          <w:sz w:val="24"/>
          <w:szCs w:val="24"/>
        </w:rPr>
        <w:t>Generation</w:t>
      </w:r>
      <w:proofErr w:type="spellEnd"/>
      <w:r>
        <w:rPr>
          <w:sz w:val="24"/>
          <w:szCs w:val="24"/>
        </w:rPr>
        <w:t>), una arquitectura que combina un módulo recuperador de documentos con un modelo generador de lenguaje, permitiendo que el sistema responda consultas apoyándose en una base de conocimiento externa y actualizable en lugar de depender exclusivamente de la memoria paramétrica del modelo. Los autores demuestran que los modelos RAG generan respuestas significativamente más específicas, diversas y verídicas que los modelos seq2seq puramente paramétricos en tareas intensivas en conocimiento. Esta arquitectura es adoptada en la presente investigación para el componente de agente conversacional, dado que permite anclar las respuestas del sistema en fuentes institucionales verificadas sobre patrimonio cultural boliviano, reduciendo la posibilidad de alucinaciones del modelo generativo.</w:t>
      </w:r>
    </w:p>
    <w:p w:rsidR="008A1C12" w:rsidRDefault="008A1C12" w:rsidP="008A1C12">
      <w:pPr>
        <w:spacing w:line="480" w:lineRule="auto"/>
        <w:ind w:firstLine="720"/>
        <w:jc w:val="both"/>
      </w:pPr>
      <w:r w:rsidRPr="00E41BC1">
        <w:rPr>
          <w:sz w:val="24"/>
          <w:szCs w:val="24"/>
        </w:rPr>
        <w:t>Carroll et al. (2020) formu</w:t>
      </w:r>
      <w:r>
        <w:rPr>
          <w:sz w:val="24"/>
          <w:szCs w:val="24"/>
        </w:rPr>
        <w:t>laron los Principios CARE (</w:t>
      </w:r>
      <w:proofErr w:type="spellStart"/>
      <w:r>
        <w:rPr>
          <w:i/>
          <w:iCs/>
          <w:sz w:val="24"/>
          <w:szCs w:val="24"/>
        </w:rPr>
        <w:t>Collective</w:t>
      </w:r>
      <w:proofErr w:type="spellEnd"/>
      <w:r>
        <w:rPr>
          <w:i/>
          <w:iCs/>
          <w:sz w:val="24"/>
          <w:szCs w:val="24"/>
        </w:rPr>
        <w:t xml:space="preserve"> Benefit, </w:t>
      </w:r>
      <w:proofErr w:type="spellStart"/>
      <w:r>
        <w:rPr>
          <w:i/>
          <w:iCs/>
          <w:sz w:val="24"/>
          <w:szCs w:val="24"/>
        </w:rPr>
        <w:t>Authority</w:t>
      </w:r>
      <w:proofErr w:type="spellEnd"/>
      <w:r>
        <w:rPr>
          <w:i/>
          <w:iCs/>
          <w:sz w:val="24"/>
          <w:szCs w:val="24"/>
        </w:rPr>
        <w:t xml:space="preserve"> </w:t>
      </w:r>
      <w:proofErr w:type="spellStart"/>
      <w:r>
        <w:rPr>
          <w:i/>
          <w:iCs/>
          <w:sz w:val="24"/>
          <w:szCs w:val="24"/>
        </w:rPr>
        <w:t>to</w:t>
      </w:r>
      <w:proofErr w:type="spellEnd"/>
      <w:r>
        <w:rPr>
          <w:i/>
          <w:iCs/>
          <w:sz w:val="24"/>
          <w:szCs w:val="24"/>
        </w:rPr>
        <w:t xml:space="preserve"> Control, </w:t>
      </w:r>
      <w:proofErr w:type="spellStart"/>
      <w:r>
        <w:rPr>
          <w:i/>
          <w:iCs/>
          <w:sz w:val="24"/>
          <w:szCs w:val="24"/>
        </w:rPr>
        <w:t>Responsibility</w:t>
      </w:r>
      <w:proofErr w:type="spellEnd"/>
      <w:r>
        <w:rPr>
          <w:i/>
          <w:iCs/>
          <w:sz w:val="24"/>
          <w:szCs w:val="24"/>
        </w:rPr>
        <w:t xml:space="preserve">, </w:t>
      </w:r>
      <w:proofErr w:type="spellStart"/>
      <w:r>
        <w:rPr>
          <w:i/>
          <w:iCs/>
          <w:sz w:val="24"/>
          <w:szCs w:val="24"/>
        </w:rPr>
        <w:t>Ethics</w:t>
      </w:r>
      <w:proofErr w:type="spellEnd"/>
      <w:r>
        <w:rPr>
          <w:sz w:val="24"/>
          <w:szCs w:val="24"/>
        </w:rPr>
        <w:t>) para la gobernanza de datos indígenas, estableciendo que todo sistema de inteligencia artificial que catalogue, clasifique o etiquete patrimonio cultural de comunidades indígenas debe incorporar mecanismos de atribución comunitaria obligatoria. Los autores argumentan que los algoritmos de clasificación, cuando son entrenados con datos desequilibrados o sin supervisión de las comunidades originarias, producen homogeneización algorítmica: la tendencia de la IA a atribuir expresiones culturales de minorías a categorías culturales mayoritarias o genéricas. Este fenómeno constituye una forma de falsa atribución computacional que el presente trabajo busca detectar y contrarrestar, dotando al sistema clasificador de un corpus etiquetado con fuentes primarias verificadas que respetan la especificidad cultural boliviana.</w:t>
      </w:r>
    </w:p>
    <w:p w:rsidR="008A1C12" w:rsidRDefault="008A1C12" w:rsidP="008A1C12">
      <w:pPr>
        <w:spacing w:line="480" w:lineRule="auto"/>
      </w:pPr>
    </w:p>
    <w:p w:rsidR="008A1C12" w:rsidRDefault="008A1C12" w:rsidP="00E41BC1">
      <w:pPr>
        <w:spacing w:after="240" w:line="480" w:lineRule="auto"/>
        <w:ind w:firstLine="720"/>
        <w:jc w:val="both"/>
      </w:pPr>
      <w:proofErr w:type="spellStart"/>
      <w:r w:rsidRPr="00E41BC1">
        <w:rPr>
          <w:sz w:val="24"/>
          <w:szCs w:val="24"/>
        </w:rPr>
        <w:lastRenderedPageBreak/>
        <w:t>Trichopoulos</w:t>
      </w:r>
      <w:proofErr w:type="spellEnd"/>
      <w:r w:rsidRPr="00E41BC1">
        <w:rPr>
          <w:sz w:val="24"/>
          <w:szCs w:val="24"/>
        </w:rPr>
        <w:t xml:space="preserve"> et al. (2023) desarrolla</w:t>
      </w:r>
      <w:r>
        <w:rPr>
          <w:sz w:val="24"/>
          <w:szCs w:val="24"/>
        </w:rPr>
        <w:t>ron MAGICAL, un sistema guía de museo basado en ChatGPT4 que responde en lenguaje natural preguntas de visitantes sobre colecciones de artefactos culturales, operando sobre un corpus curado de documentación especializada del dominio patrimonial. Los autores demuestran que los modelos de lenguaje de gran escala son técnicamente viables como agentes conversacionales en dominios de patrimonio cultural cuando se les provee una base de conocimiento institucional estructurada, aunque advierten que la información generada puede carecer de integridad científica sin mecanismos de supervisión y validación. Esta limitación —la tendencia a la alucinación en dominios especializados— es precisamente la que motiva la adopción de la arquitectura RAG en el agente conversacional propuesto en la presente investigación, dado que RAG ancla las respuestas en fuentes verificadas en lugar de depender exclusivamente de la memoria paramétrica del modelo generativo.</w:t>
      </w:r>
    </w:p>
    <w:p w:rsidR="008A1C12" w:rsidRDefault="008A1C12" w:rsidP="008A1C12">
      <w:pPr>
        <w:spacing w:line="480" w:lineRule="auto"/>
        <w:ind w:firstLine="720"/>
        <w:jc w:val="both"/>
      </w:pPr>
      <w:r>
        <w:rPr>
          <w:sz w:val="24"/>
          <w:szCs w:val="24"/>
        </w:rPr>
        <w:t>Los antecedentes identificados permiten establecer que existen bases sólidas en arquitecturas NLP multilingüe modernas, en métodos computacionales de detección de desinformación, en marcos éticos de gobernanza de datos culturales indígenas, y en agentes conversacionales aplicados al dominio del patrimonio cultural. Sin embargo, no se identifica en la literatura revisada ningún sistema que integre clasificación NLP y agente conversacional RAG específicamente orientado a la detección de falsa atribución del patrimonio cultural inmaterial en el contexto latinoamericano y boliviano. Esta brecha constituye la contribución principal del presente trabajo de investigación.</w:t>
      </w:r>
    </w:p>
    <w:p w:rsidR="008A1C12" w:rsidRDefault="008A1C12" w:rsidP="008A1C12">
      <w:r>
        <w:br w:type="page"/>
      </w:r>
    </w:p>
    <w:p w:rsidR="008A1C12" w:rsidRPr="00DD16F8" w:rsidRDefault="008A1C12" w:rsidP="00F43CE6">
      <w:pPr>
        <w:pStyle w:val="Ttulo2"/>
        <w:numPr>
          <w:ilvl w:val="0"/>
          <w:numId w:val="0"/>
        </w:numPr>
        <w:spacing w:after="240" w:line="276" w:lineRule="auto"/>
        <w:ind w:left="720"/>
        <w:rPr>
          <w:color w:val="000000" w:themeColor="text1"/>
        </w:rPr>
      </w:pPr>
      <w:bookmarkStart w:id="2" w:name="_Toc228308140"/>
      <w:r w:rsidRPr="00DD16F8">
        <w:rPr>
          <w:b/>
          <w:bCs/>
          <w:color w:val="000000" w:themeColor="text1"/>
        </w:rPr>
        <w:lastRenderedPageBreak/>
        <w:t>Fundamentos</w:t>
      </w:r>
      <w:r w:rsidRPr="00DD16F8">
        <w:rPr>
          <w:b/>
          <w:bCs/>
          <w:color w:val="000000" w:themeColor="text1"/>
          <w:sz w:val="24"/>
          <w:szCs w:val="24"/>
        </w:rPr>
        <w:t xml:space="preserve"> del enfoque, diseño y tipo de investigación</w:t>
      </w:r>
      <w:bookmarkEnd w:id="2"/>
    </w:p>
    <w:p w:rsidR="00BF2947" w:rsidRPr="00BF2947" w:rsidRDefault="00DD16F8" w:rsidP="00BF2947">
      <w:pPr>
        <w:spacing w:after="240" w:line="480" w:lineRule="auto"/>
        <w:ind w:firstLine="720"/>
        <w:jc w:val="both"/>
        <w:rPr>
          <w:sz w:val="24"/>
          <w:szCs w:val="24"/>
        </w:rPr>
      </w:pPr>
      <w:r>
        <w:rPr>
          <w:sz w:val="24"/>
          <w:szCs w:val="24"/>
        </w:rPr>
        <w:t xml:space="preserve">El presente trabajo de </w:t>
      </w:r>
      <w:r w:rsidR="008A1C12">
        <w:rPr>
          <w:sz w:val="24"/>
          <w:szCs w:val="24"/>
        </w:rPr>
        <w:t xml:space="preserve">investigación </w:t>
      </w:r>
      <w:r w:rsidR="008A1C12">
        <w:rPr>
          <w:i/>
          <w:iCs/>
          <w:sz w:val="24"/>
          <w:szCs w:val="24"/>
        </w:rPr>
        <w:t xml:space="preserve">Sistema de inteligencia artificial para la detección de </w:t>
      </w:r>
      <w:r w:rsidR="008A1C12" w:rsidRPr="00DD16F8">
        <w:rPr>
          <w:i/>
          <w:iCs/>
          <w:sz w:val="24"/>
          <w:szCs w:val="24"/>
        </w:rPr>
        <w:t>falsa atribución del patrimonio cultural inmaterial boliviano en medios digitales mediante clasificación de textos y agentes conversacionales, en Bolivia, 2025–2026</w:t>
      </w:r>
      <w:r w:rsidR="008A1C12" w:rsidRPr="00DD16F8">
        <w:rPr>
          <w:sz w:val="24"/>
          <w:szCs w:val="24"/>
        </w:rPr>
        <w:t>, se desarrollará</w:t>
      </w:r>
      <w:r w:rsidR="00C03888">
        <w:rPr>
          <w:sz w:val="24"/>
          <w:szCs w:val="24"/>
        </w:rPr>
        <w:t xml:space="preserve"> desde la</w:t>
      </w:r>
      <w:r w:rsidR="00C03888" w:rsidRPr="00DD16F8">
        <w:rPr>
          <w:sz w:val="24"/>
          <w:szCs w:val="24"/>
        </w:rPr>
        <w:t xml:space="preserve"> perspectiva </w:t>
      </w:r>
      <w:r w:rsidR="00C03888">
        <w:rPr>
          <w:sz w:val="24"/>
          <w:szCs w:val="24"/>
        </w:rPr>
        <w:t>d</w:t>
      </w:r>
      <w:r w:rsidR="00C03888" w:rsidRPr="00DD16F8">
        <w:rPr>
          <w:sz w:val="24"/>
          <w:szCs w:val="24"/>
        </w:rPr>
        <w:t>el paradigma positivista</w:t>
      </w:r>
      <w:r w:rsidR="00C03888">
        <w:rPr>
          <w:sz w:val="24"/>
          <w:szCs w:val="24"/>
        </w:rPr>
        <w:t>,</w:t>
      </w:r>
      <w:r w:rsidR="00BF2947">
        <w:rPr>
          <w:sz w:val="24"/>
          <w:szCs w:val="24"/>
        </w:rPr>
        <w:t xml:space="preserve"> </w:t>
      </w:r>
      <w:r w:rsidR="00BF2947" w:rsidRPr="00BF2947">
        <w:rPr>
          <w:sz w:val="24"/>
          <w:szCs w:val="24"/>
        </w:rPr>
        <w:t>bajo un enfoque cuantitativo, dado que el fenómeno estudiado</w:t>
      </w:r>
      <w:r w:rsidR="00BF2947">
        <w:rPr>
          <w:sz w:val="24"/>
          <w:szCs w:val="24"/>
        </w:rPr>
        <w:t xml:space="preserve"> (</w:t>
      </w:r>
      <w:r w:rsidR="00BF2947" w:rsidRPr="00BF2947">
        <w:rPr>
          <w:sz w:val="24"/>
          <w:szCs w:val="24"/>
        </w:rPr>
        <w:t>la presencia de falsa atribución del patrimonio cultural boliviano en textos digitales</w:t>
      </w:r>
      <w:r w:rsidR="00BF2947">
        <w:rPr>
          <w:sz w:val="24"/>
          <w:szCs w:val="24"/>
        </w:rPr>
        <w:t xml:space="preserve">), </w:t>
      </w:r>
      <w:r w:rsidR="00BF2947" w:rsidRPr="00BF2947">
        <w:rPr>
          <w:sz w:val="24"/>
          <w:szCs w:val="24"/>
        </w:rPr>
        <w:t>es observable, externo al investigador y medible de forma objetiva e independiente. Los textos recolectados se tratan como unidades de análisis discretas, codificadas en etiquetas categóricas (atribución correcta / falsa atribución / sin atribución), y el rendimiento del sistema se eval</w:t>
      </w:r>
      <w:r w:rsidR="00BF2947">
        <w:rPr>
          <w:sz w:val="24"/>
          <w:szCs w:val="24"/>
        </w:rPr>
        <w:t>u</w:t>
      </w:r>
      <w:r w:rsidR="00BF2947" w:rsidRPr="00BF2947">
        <w:rPr>
          <w:sz w:val="24"/>
          <w:szCs w:val="24"/>
        </w:rPr>
        <w:t>a</w:t>
      </w:r>
      <w:r w:rsidR="00BF2947">
        <w:rPr>
          <w:sz w:val="24"/>
          <w:szCs w:val="24"/>
        </w:rPr>
        <w:t>rá</w:t>
      </w:r>
      <w:r w:rsidR="00BF2947" w:rsidRPr="00BF2947">
        <w:rPr>
          <w:sz w:val="24"/>
          <w:szCs w:val="24"/>
        </w:rPr>
        <w:t xml:space="preserve"> mediante métricas estandarizadas: precisión, exhaustividad, puntuación F1 y exactitud, cuyos valores son verificables y replicables por terceros bajo las mismas condiciones (Hernández-Sampieri et al., 2018).</w:t>
      </w:r>
    </w:p>
    <w:p w:rsidR="00E41BC1" w:rsidRDefault="00BF2947" w:rsidP="00BF2947">
      <w:pPr>
        <w:spacing w:after="240" w:line="480" w:lineRule="auto"/>
        <w:ind w:firstLine="720"/>
        <w:jc w:val="both"/>
        <w:rPr>
          <w:sz w:val="24"/>
          <w:szCs w:val="24"/>
        </w:rPr>
      </w:pPr>
      <w:r w:rsidRPr="00BF2947">
        <w:rPr>
          <w:sz w:val="24"/>
          <w:szCs w:val="24"/>
        </w:rPr>
        <w:t>El diseño es no experimental y transeccional descriptivo</w:t>
      </w:r>
      <w:r>
        <w:rPr>
          <w:sz w:val="24"/>
          <w:szCs w:val="24"/>
        </w:rPr>
        <w:t xml:space="preserve"> ya que</w:t>
      </w:r>
      <w:r w:rsidRPr="00BF2947">
        <w:rPr>
          <w:sz w:val="24"/>
          <w:szCs w:val="24"/>
        </w:rPr>
        <w:t xml:space="preserve"> los textos se observan en su estado natural de publicación sin manipulación de variables, y el corpus se recolecta en un único corte temporal delimitado al período 2025–2026 con propósito de caracterizar la distribución del fenómeno y evaluar el sistema, sin establecer relaciones causales. En cuanto al tipo, la investigación se clasifica como aplicada de desarrollo tecnológico, combinando una fase empírica</w:t>
      </w:r>
      <w:r>
        <w:rPr>
          <w:sz w:val="24"/>
          <w:szCs w:val="24"/>
        </w:rPr>
        <w:t xml:space="preserve">, </w:t>
      </w:r>
      <w:r w:rsidRPr="00BF2947">
        <w:rPr>
          <w:sz w:val="24"/>
          <w:szCs w:val="24"/>
        </w:rPr>
        <w:t xml:space="preserve">donde </w:t>
      </w:r>
      <w:r>
        <w:rPr>
          <w:sz w:val="24"/>
          <w:szCs w:val="24"/>
        </w:rPr>
        <w:t xml:space="preserve">se </w:t>
      </w:r>
      <w:r w:rsidRPr="00BF2947">
        <w:rPr>
          <w:sz w:val="24"/>
          <w:szCs w:val="24"/>
        </w:rPr>
        <w:t>aplican los criterios del diseño transeccional para la construcción y evaluación del corpus y los clasificadores</w:t>
      </w:r>
      <w:r>
        <w:rPr>
          <w:sz w:val="24"/>
          <w:szCs w:val="24"/>
        </w:rPr>
        <w:t xml:space="preserve">, </w:t>
      </w:r>
      <w:r w:rsidRPr="00BF2947">
        <w:rPr>
          <w:sz w:val="24"/>
          <w:szCs w:val="24"/>
        </w:rPr>
        <w:t xml:space="preserve">con una fase de desarrollo de </w:t>
      </w:r>
      <w:r>
        <w:rPr>
          <w:sz w:val="24"/>
          <w:szCs w:val="24"/>
        </w:rPr>
        <w:t xml:space="preserve">un prototipo </w:t>
      </w:r>
      <w:r w:rsidRPr="00BF2947">
        <w:rPr>
          <w:sz w:val="24"/>
          <w:szCs w:val="24"/>
        </w:rPr>
        <w:t>clasificador, el agente conversacional y su integración en el sistema final (Hernández-Sampieri et al., 2018).</w:t>
      </w:r>
    </w:p>
    <w:p w:rsidR="00E41BC1" w:rsidRDefault="00E41BC1">
      <w:pPr>
        <w:rPr>
          <w:sz w:val="24"/>
          <w:szCs w:val="24"/>
        </w:rPr>
      </w:pPr>
      <w:r>
        <w:rPr>
          <w:sz w:val="24"/>
          <w:szCs w:val="24"/>
        </w:rPr>
        <w:br w:type="page"/>
      </w:r>
    </w:p>
    <w:p w:rsidR="00E41BC1" w:rsidRPr="00F43CE6" w:rsidRDefault="00E41BC1" w:rsidP="00F43CE6">
      <w:pPr>
        <w:pStyle w:val="Ttulo2"/>
        <w:numPr>
          <w:ilvl w:val="0"/>
          <w:numId w:val="0"/>
        </w:numPr>
        <w:spacing w:after="240" w:line="276" w:lineRule="auto"/>
        <w:rPr>
          <w:b/>
          <w:bCs/>
          <w:color w:val="000000" w:themeColor="text1"/>
          <w:sz w:val="24"/>
          <w:szCs w:val="24"/>
        </w:rPr>
      </w:pPr>
      <w:bookmarkStart w:id="3" w:name="_Toc228308141"/>
      <w:r w:rsidRPr="00F43CE6">
        <w:rPr>
          <w:b/>
          <w:bCs/>
          <w:color w:val="000000" w:themeColor="text1"/>
        </w:rPr>
        <w:lastRenderedPageBreak/>
        <w:t>Fundamentos</w:t>
      </w:r>
      <w:r w:rsidRPr="00F43CE6">
        <w:rPr>
          <w:b/>
          <w:bCs/>
          <w:color w:val="000000" w:themeColor="text1"/>
          <w:sz w:val="24"/>
          <w:szCs w:val="24"/>
        </w:rPr>
        <w:t xml:space="preserve"> del planteamiento del problema</w:t>
      </w:r>
      <w:bookmarkEnd w:id="3"/>
    </w:p>
    <w:p w:rsidR="00E41BC1" w:rsidRPr="006C469A" w:rsidRDefault="00E41BC1" w:rsidP="00E41BC1">
      <w:pPr>
        <w:spacing w:line="480" w:lineRule="auto"/>
        <w:ind w:firstLine="720"/>
        <w:jc w:val="both"/>
        <w:rPr>
          <w:sz w:val="24"/>
          <w:szCs w:val="24"/>
        </w:rPr>
      </w:pPr>
      <w:r w:rsidRPr="006C469A">
        <w:rPr>
          <w:sz w:val="24"/>
          <w:szCs w:val="24"/>
        </w:rPr>
        <w:t xml:space="preserve">A partir de los antecedentes </w:t>
      </w:r>
      <w:r>
        <w:rPr>
          <w:sz w:val="24"/>
          <w:szCs w:val="24"/>
        </w:rPr>
        <w:t xml:space="preserve">mencionados, </w:t>
      </w:r>
      <w:r w:rsidRPr="006C469A">
        <w:rPr>
          <w:sz w:val="24"/>
          <w:szCs w:val="24"/>
        </w:rPr>
        <w:t xml:space="preserve">el diagnóstico del estudio exploratorio del tema en su contexto y la revisión documental efectuada, se </w:t>
      </w:r>
      <w:r>
        <w:rPr>
          <w:sz w:val="24"/>
          <w:szCs w:val="24"/>
        </w:rPr>
        <w:t xml:space="preserve">confirma </w:t>
      </w:r>
      <w:r w:rsidRPr="006C469A">
        <w:rPr>
          <w:sz w:val="24"/>
          <w:szCs w:val="24"/>
        </w:rPr>
        <w:t>las siguientes problemáticas y situación problemática, sostenidas en el uso y aplicación de un Diagrama de Ishikawa (ver Anexo No. 1) para un adecuad</w:t>
      </w:r>
      <w:r>
        <w:rPr>
          <w:sz w:val="24"/>
          <w:szCs w:val="24"/>
        </w:rPr>
        <w:t xml:space="preserve">a aclaración </w:t>
      </w:r>
      <w:r w:rsidRPr="006C469A">
        <w:rPr>
          <w:sz w:val="24"/>
          <w:szCs w:val="24"/>
        </w:rPr>
        <w:t>de las mismas:</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Ausencia de sistemas automatizados para la detección de falsa atribución del patrimonio cultural inmaterial boliviano en plataformas digitales en español e inglés, lo que impide una vigilancia sistemática del fenómeno a escala.</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Inexistencia de corpus etiquetados específicos para el patrimonio cultural inmaterial boliviano, lo que limita el entrenamiento supervisado de clasificadores NLP con capacidad de discriminar atribuciones correctas de atribuciones erróneas o ausentes.</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Limitaciones de los modelos de lenguaje natural de propósito general para capturar la especificidad cultural boliviana, dado que el español estándar empleado en el preentrenamiento no refleja el uso terminológico, histórico y geopolítico asociado al PCI andino boliviano.</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Deficiente monitoreo digital por parte del Ministerio de Culturas y Turismo de Bolivia y demás instituciones responsables de la salvaguardia del patrimonio, que carecen de herramientas tecnológicas para detectar y cuantificar la desinformación cultural en tiempo real.</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Ambigüedad de origen generada por el patrimonio cultural compartido entre países andinos —Bolivia, Perú, Chile y Argentina— que favorece la atribución errónea de expresiones culturales bolivianas a otros estados en medios digitales internacionales.</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lastRenderedPageBreak/>
        <w:t>Descontextualización y omisión sistemática del origen boliviano en contenidos digitales de carácter turístico, periodístico y enciclopédico, incluyendo versiones de Wikipedia en inglés, alemán, francés y otros idiomas con alto número de lectores.</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Vacío normativo en la legislación digital boliviana e internacional para responder técnica y jurídicamente a la falsa atribución del patrimonio cultural inmaterial en entornos virtuales, a pesar de los avances del Tratado de la OMPI (2024) en materia de conocimientos tradicionales.</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 xml:space="preserve">Escasa investigación académica en el ámbito del procesamiento de lenguaje natural aplicado a la protección del patrimonio cultural inmaterial latinoamericano, con ausencia de benchmarks, </w:t>
      </w:r>
      <w:proofErr w:type="spellStart"/>
      <w:r w:rsidRPr="00C869C1">
        <w:rPr>
          <w:sz w:val="24"/>
          <w:szCs w:val="24"/>
        </w:rPr>
        <w:t>datasets</w:t>
      </w:r>
      <w:proofErr w:type="spellEnd"/>
      <w:r w:rsidRPr="00C869C1">
        <w:rPr>
          <w:sz w:val="24"/>
          <w:szCs w:val="24"/>
        </w:rPr>
        <w:t xml:space="preserve"> públicos y líneas base comparativas en este dominio específico.</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Inexistencia de agentes conversacionales con base de conocimiento verificada capaces de responder consultas sobre el origen del patrimonio cultural boliviano frente a afirmaciones erróneas encontradas en textos digitales, generando un vacío en la capacidad de respuesta educativa automatizada.</w:t>
      </w:r>
    </w:p>
    <w:p w:rsidR="00C869C1" w:rsidRPr="00C869C1" w:rsidRDefault="00C869C1" w:rsidP="00C869C1">
      <w:pPr>
        <w:pStyle w:val="Prrafodelista"/>
        <w:numPr>
          <w:ilvl w:val="0"/>
          <w:numId w:val="14"/>
        </w:numPr>
        <w:spacing w:line="480" w:lineRule="auto"/>
        <w:ind w:left="1260"/>
        <w:jc w:val="both"/>
        <w:rPr>
          <w:sz w:val="24"/>
          <w:szCs w:val="24"/>
        </w:rPr>
      </w:pPr>
      <w:r w:rsidRPr="00C869C1">
        <w:rPr>
          <w:sz w:val="24"/>
          <w:szCs w:val="24"/>
        </w:rPr>
        <w:t>Riesgo de sesgo algorítmico en clasificadores entrenados sin supervisión de comunidades originarias, que pueden reproducir la homogeneización cultural al asignar expresiones bolivianas a categorías genéricas andinas, en detrimento de la especificidad identitaria boliviana.</w:t>
      </w:r>
    </w:p>
    <w:p w:rsidR="00E41BC1" w:rsidRPr="006C469A" w:rsidRDefault="00E41BC1" w:rsidP="00E41BC1">
      <w:pPr>
        <w:spacing w:line="480" w:lineRule="auto"/>
        <w:ind w:firstLine="720"/>
        <w:jc w:val="both"/>
        <w:rPr>
          <w:sz w:val="24"/>
          <w:szCs w:val="24"/>
        </w:rPr>
      </w:pPr>
      <w:r>
        <w:rPr>
          <w:sz w:val="24"/>
          <w:szCs w:val="24"/>
        </w:rPr>
        <w:t xml:space="preserve">Las </w:t>
      </w:r>
      <w:r w:rsidRPr="006C469A">
        <w:rPr>
          <w:sz w:val="24"/>
          <w:szCs w:val="24"/>
        </w:rPr>
        <w:t xml:space="preserve">problemáticas identificadas en los medios digitales de alcance internacional que referencian el patrimonio cultural inmaterial boliviano, </w:t>
      </w:r>
      <w:r>
        <w:rPr>
          <w:sz w:val="24"/>
          <w:szCs w:val="24"/>
        </w:rPr>
        <w:t>muestran</w:t>
      </w:r>
      <w:r w:rsidRPr="006C469A">
        <w:rPr>
          <w:sz w:val="24"/>
          <w:szCs w:val="24"/>
        </w:rPr>
        <w:t xml:space="preserve"> una alta exposición del corpus digital a fenómenos de falsa atribución, omisión del origen y desinformación cultural, identificándose que se encuentra comprometida la soberanía cultural digital de Bolivia, la </w:t>
      </w:r>
      <w:r w:rsidRPr="006C469A">
        <w:rPr>
          <w:sz w:val="24"/>
          <w:szCs w:val="24"/>
        </w:rPr>
        <w:lastRenderedPageBreak/>
        <w:t>integridad informativa sobre su patrimonio y la capacidad institucional de respuesta ante estos fenómenos.</w:t>
      </w:r>
    </w:p>
    <w:p w:rsidR="00E41BC1" w:rsidRPr="00E41BC1" w:rsidRDefault="00E41BC1" w:rsidP="00E41BC1">
      <w:pPr>
        <w:spacing w:line="480" w:lineRule="auto"/>
        <w:ind w:firstLine="720"/>
        <w:jc w:val="both"/>
        <w:rPr>
          <w:sz w:val="24"/>
          <w:szCs w:val="24"/>
        </w:rPr>
      </w:pPr>
      <w:r w:rsidRPr="006C469A">
        <w:rPr>
          <w:sz w:val="24"/>
          <w:szCs w:val="24"/>
        </w:rPr>
        <w:t>Hasta donde la autora conoce desde la revisión documental efectuada, no existen proyectos ejecutados o en ejecución que pretendan resolver el mismo problema mediante la integración de clasificación NLP multilingüe, agente conversacional RAG y mapeo geoespacial de ecosistemas lingüísticos, en el contexto específico del patrimonio cultural inmaterial boliviano y latinoamericano.</w:t>
      </w:r>
    </w:p>
    <w:p w:rsidR="00E41BC1" w:rsidRPr="00E41BC1" w:rsidRDefault="00E41BC1" w:rsidP="00F43CE6">
      <w:pPr>
        <w:pStyle w:val="Ttulo2"/>
        <w:numPr>
          <w:ilvl w:val="0"/>
          <w:numId w:val="18"/>
        </w:numPr>
        <w:spacing w:after="240" w:line="276" w:lineRule="auto"/>
        <w:rPr>
          <w:b/>
          <w:bCs/>
          <w:color w:val="000000" w:themeColor="text1"/>
        </w:rPr>
      </w:pPr>
      <w:bookmarkStart w:id="4" w:name="_Toc228308142"/>
      <w:r w:rsidRPr="00E41BC1">
        <w:rPr>
          <w:b/>
          <w:bCs/>
          <w:color w:val="000000" w:themeColor="text1"/>
        </w:rPr>
        <w:t>Formulación del problema</w:t>
      </w:r>
      <w:bookmarkEnd w:id="4"/>
    </w:p>
    <w:p w:rsidR="00E41BC1" w:rsidRDefault="00E41BC1" w:rsidP="00E41BC1">
      <w:pPr>
        <w:spacing w:line="480" w:lineRule="auto"/>
        <w:ind w:firstLine="720"/>
        <w:jc w:val="both"/>
        <w:rPr>
          <w:sz w:val="24"/>
          <w:szCs w:val="24"/>
        </w:rPr>
      </w:pPr>
      <w:r>
        <w:rPr>
          <w:sz w:val="24"/>
          <w:szCs w:val="24"/>
        </w:rPr>
        <w:t>¿</w:t>
      </w:r>
      <w:r w:rsidR="00C869C1" w:rsidRPr="00C869C1">
        <w:rPr>
          <w:sz w:val="24"/>
          <w:szCs w:val="24"/>
        </w:rPr>
        <w:t>Cómo contribuir a la detección de falsa atribución del patrimonio cultural inmaterial boliviano en medios digitales en español e inglés, durante el período 2025–2026</w:t>
      </w:r>
      <w:r>
        <w:rPr>
          <w:sz w:val="24"/>
          <w:szCs w:val="24"/>
        </w:rPr>
        <w:t>?</w:t>
      </w:r>
    </w:p>
    <w:p w:rsidR="00E41BC1" w:rsidRPr="00E41BC1" w:rsidRDefault="00E41BC1" w:rsidP="00522227">
      <w:pPr>
        <w:pStyle w:val="Ttulo2"/>
        <w:numPr>
          <w:ilvl w:val="1"/>
          <w:numId w:val="18"/>
        </w:numPr>
        <w:spacing w:after="240" w:line="276" w:lineRule="auto"/>
        <w:rPr>
          <w:b/>
          <w:bCs/>
          <w:color w:val="000000" w:themeColor="text1"/>
        </w:rPr>
      </w:pPr>
      <w:bookmarkStart w:id="5" w:name="_Toc228308143"/>
      <w:r w:rsidRPr="00E41BC1">
        <w:rPr>
          <w:b/>
          <w:bCs/>
          <w:color w:val="000000" w:themeColor="text1"/>
        </w:rPr>
        <w:t>Objeto de estudio</w:t>
      </w:r>
      <w:bookmarkEnd w:id="5"/>
    </w:p>
    <w:p w:rsidR="00E41BC1" w:rsidRDefault="00E41BC1" w:rsidP="00E41BC1">
      <w:pPr>
        <w:spacing w:line="480" w:lineRule="auto"/>
        <w:ind w:firstLine="720"/>
        <w:jc w:val="both"/>
      </w:pPr>
      <w:r>
        <w:rPr>
          <w:sz w:val="24"/>
          <w:szCs w:val="24"/>
        </w:rPr>
        <w:t>Los textos digitales en español e inglés publicados en medios digitales de alcance internacional, incluyendo portales de noticias y plataformas de difusión cultural, que referencian expresiones del patrimonio cultural inmaterial boliviano</w:t>
      </w:r>
      <w:r w:rsidR="00F43CE6">
        <w:rPr>
          <w:sz w:val="24"/>
          <w:szCs w:val="24"/>
        </w:rPr>
        <w:t>.</w:t>
      </w:r>
    </w:p>
    <w:p w:rsidR="00E41BC1" w:rsidRPr="00696005" w:rsidRDefault="00E41BC1" w:rsidP="00F43CE6">
      <w:pPr>
        <w:pStyle w:val="Ttulo2"/>
        <w:numPr>
          <w:ilvl w:val="1"/>
          <w:numId w:val="18"/>
        </w:numPr>
        <w:spacing w:after="240" w:line="276" w:lineRule="auto"/>
        <w:rPr>
          <w:b/>
          <w:bCs/>
          <w:color w:val="000000" w:themeColor="text1"/>
        </w:rPr>
      </w:pPr>
      <w:bookmarkStart w:id="6" w:name="_Toc228308144"/>
      <w:r w:rsidRPr="00E41BC1">
        <w:rPr>
          <w:b/>
          <w:bCs/>
          <w:color w:val="000000" w:themeColor="text1"/>
        </w:rPr>
        <w:t>Campo de acción</w:t>
      </w:r>
      <w:bookmarkEnd w:id="6"/>
    </w:p>
    <w:p w:rsidR="00E41BC1" w:rsidRDefault="00E41BC1" w:rsidP="00E41BC1">
      <w:pPr>
        <w:spacing w:line="480" w:lineRule="auto"/>
        <w:ind w:firstLine="720"/>
        <w:jc w:val="both"/>
        <w:rPr>
          <w:sz w:val="24"/>
          <w:szCs w:val="24"/>
        </w:rPr>
      </w:pPr>
      <w:r>
        <w:rPr>
          <w:sz w:val="24"/>
          <w:szCs w:val="24"/>
        </w:rPr>
        <w:t xml:space="preserve">La detección automática de falsa atribución del patrimonio cultural inmaterial boliviano </w:t>
      </w:r>
      <w:r w:rsidR="00F43CE6">
        <w:rPr>
          <w:sz w:val="24"/>
          <w:szCs w:val="24"/>
        </w:rPr>
        <w:t>en medios digitales en español e inglés, en el periodo 2025-2026.</w:t>
      </w:r>
    </w:p>
    <w:p w:rsidR="00F43CE6" w:rsidRDefault="00F43CE6" w:rsidP="00F43CE6">
      <w:pPr>
        <w:pStyle w:val="Ttulo2"/>
        <w:numPr>
          <w:ilvl w:val="0"/>
          <w:numId w:val="18"/>
        </w:numPr>
        <w:spacing w:after="240" w:line="276" w:lineRule="auto"/>
        <w:rPr>
          <w:b/>
          <w:bCs/>
          <w:color w:val="000000" w:themeColor="text1"/>
        </w:rPr>
      </w:pPr>
      <w:bookmarkStart w:id="7" w:name="_Toc228308145"/>
      <w:r w:rsidRPr="00F43CE6">
        <w:rPr>
          <w:b/>
          <w:bCs/>
          <w:color w:val="000000" w:themeColor="text1"/>
        </w:rPr>
        <w:t>Objetivos de la investigación</w:t>
      </w:r>
      <w:bookmarkEnd w:id="7"/>
    </w:p>
    <w:p w:rsidR="00F43CE6" w:rsidRPr="00F43CE6" w:rsidRDefault="00F43CE6" w:rsidP="00F43CE6">
      <w:pPr>
        <w:pStyle w:val="Ttulo2"/>
        <w:numPr>
          <w:ilvl w:val="1"/>
          <w:numId w:val="18"/>
        </w:numPr>
        <w:spacing w:after="240" w:line="276" w:lineRule="auto"/>
        <w:rPr>
          <w:b/>
          <w:bCs/>
          <w:color w:val="000000" w:themeColor="text1"/>
        </w:rPr>
      </w:pPr>
      <w:bookmarkStart w:id="8" w:name="_Toc228308146"/>
      <w:r w:rsidRPr="00F43CE6">
        <w:rPr>
          <w:b/>
          <w:bCs/>
          <w:color w:val="000000" w:themeColor="text1"/>
        </w:rPr>
        <w:t>Objetivo general</w:t>
      </w:r>
      <w:bookmarkEnd w:id="8"/>
    </w:p>
    <w:p w:rsidR="00F43CE6" w:rsidRPr="00F43CE6" w:rsidRDefault="00F43CE6" w:rsidP="00F43CE6">
      <w:pPr>
        <w:spacing w:line="480" w:lineRule="auto"/>
        <w:ind w:firstLine="720"/>
        <w:jc w:val="both"/>
        <w:rPr>
          <w:sz w:val="24"/>
          <w:szCs w:val="24"/>
        </w:rPr>
      </w:pPr>
      <w:r w:rsidRPr="00F43CE6">
        <w:rPr>
          <w:sz w:val="24"/>
          <w:szCs w:val="24"/>
        </w:rPr>
        <w:t>Proponer un sistema de inteligencia artificial basado en clasificación NLP multilingüe, mapeo de ecosistemas lingüísticos y agente conversacional con arquitectura RAG, para contribuir a la detección de falsa atribución del patrimonio cultural inmaterial boliviano en medios digitales en español e inglés, durante el período 2025–2026.</w:t>
      </w:r>
    </w:p>
    <w:p w:rsidR="00F43CE6" w:rsidRPr="007826AE" w:rsidRDefault="00F43CE6" w:rsidP="007826AE">
      <w:pPr>
        <w:pStyle w:val="Ttulo2"/>
        <w:numPr>
          <w:ilvl w:val="1"/>
          <w:numId w:val="18"/>
        </w:numPr>
        <w:spacing w:after="240" w:line="276" w:lineRule="auto"/>
        <w:rPr>
          <w:b/>
          <w:bCs/>
          <w:color w:val="000000" w:themeColor="text1"/>
        </w:rPr>
      </w:pPr>
      <w:bookmarkStart w:id="9" w:name="_Toc228308147"/>
      <w:r w:rsidRPr="007826AE">
        <w:rPr>
          <w:b/>
          <w:bCs/>
          <w:color w:val="000000" w:themeColor="text1"/>
        </w:rPr>
        <w:t>Objetivos específicos</w:t>
      </w:r>
      <w:bookmarkEnd w:id="9"/>
    </w:p>
    <w:p w:rsidR="00F43CE6" w:rsidRPr="00F43CE6" w:rsidRDefault="00F43CE6" w:rsidP="00F43CE6">
      <w:pPr>
        <w:pStyle w:val="Prrafodelista"/>
        <w:numPr>
          <w:ilvl w:val="0"/>
          <w:numId w:val="4"/>
        </w:numPr>
        <w:spacing w:line="480" w:lineRule="auto"/>
        <w:jc w:val="both"/>
        <w:rPr>
          <w:sz w:val="24"/>
          <w:szCs w:val="24"/>
        </w:rPr>
      </w:pPr>
      <w:r w:rsidRPr="00F43CE6">
        <w:rPr>
          <w:b/>
          <w:bCs/>
          <w:sz w:val="24"/>
          <w:szCs w:val="24"/>
        </w:rPr>
        <w:lastRenderedPageBreak/>
        <w:t>Determinar</w:t>
      </w:r>
      <w:r w:rsidRPr="00F43CE6">
        <w:rPr>
          <w:sz w:val="24"/>
          <w:szCs w:val="24"/>
        </w:rPr>
        <w:t> los fundamentos teóricos referenciales sobre el procesamiento de lenguaje natural multilingüe, la arquitectura de Recuperación Aumentada por Generación (RAG) y la gobernanza ética de datos culturales aplicables a la detección de falsa atribución del patrimonio cultural inmaterial boliviano en medios digitales en español e inglés, durante el período 2025–2026.</w:t>
      </w:r>
    </w:p>
    <w:p w:rsidR="00F43CE6" w:rsidRPr="00F43CE6" w:rsidRDefault="00F43CE6" w:rsidP="00F43CE6">
      <w:pPr>
        <w:pStyle w:val="Prrafodelista"/>
        <w:numPr>
          <w:ilvl w:val="0"/>
          <w:numId w:val="4"/>
        </w:numPr>
        <w:spacing w:line="480" w:lineRule="auto"/>
        <w:jc w:val="both"/>
        <w:rPr>
          <w:sz w:val="24"/>
          <w:szCs w:val="24"/>
        </w:rPr>
      </w:pPr>
      <w:r w:rsidRPr="00F43CE6">
        <w:rPr>
          <w:b/>
          <w:bCs/>
          <w:sz w:val="24"/>
          <w:szCs w:val="24"/>
        </w:rPr>
        <w:t>Caracterizar</w:t>
      </w:r>
      <w:r w:rsidRPr="00F43CE6">
        <w:rPr>
          <w:sz w:val="24"/>
          <w:szCs w:val="24"/>
        </w:rPr>
        <w:t> el estado actual de la presencia de falsa atribución del patrimonio cultural inmaterial boliviano en textos digitales en español e inglés, mediante la construcción de un corpus etiquetado bajo una estrategia de anotación híbrida (semilla manual experta, anotación asistida por LLM y aumentación sintética) y su análisis exploratorio, durante el período 2025–2026.</w:t>
      </w:r>
    </w:p>
    <w:p w:rsidR="00F43CE6" w:rsidRPr="00F43CE6" w:rsidRDefault="00F43CE6" w:rsidP="00F43CE6">
      <w:pPr>
        <w:pStyle w:val="Prrafodelista"/>
        <w:numPr>
          <w:ilvl w:val="0"/>
          <w:numId w:val="4"/>
        </w:numPr>
        <w:spacing w:line="480" w:lineRule="auto"/>
        <w:jc w:val="both"/>
        <w:rPr>
          <w:sz w:val="24"/>
          <w:szCs w:val="24"/>
        </w:rPr>
      </w:pPr>
      <w:r w:rsidRPr="00F43CE6">
        <w:rPr>
          <w:b/>
          <w:bCs/>
          <w:sz w:val="24"/>
          <w:szCs w:val="24"/>
        </w:rPr>
        <w:t>Diseñar</w:t>
      </w:r>
      <w:r w:rsidRPr="00F43CE6">
        <w:rPr>
          <w:sz w:val="24"/>
          <w:szCs w:val="24"/>
        </w:rPr>
        <w:t xml:space="preserve"> un sistema de inteligencia artificial integrado, compuesto por un clasificador NLP multilingüe basado en BETO, XLM-RoBERTa y </w:t>
      </w:r>
      <w:proofErr w:type="spellStart"/>
      <w:r w:rsidRPr="00F43CE6">
        <w:rPr>
          <w:sz w:val="24"/>
          <w:szCs w:val="24"/>
        </w:rPr>
        <w:t>mmBERT</w:t>
      </w:r>
      <w:proofErr w:type="spellEnd"/>
      <w:r w:rsidRPr="00F43CE6">
        <w:rPr>
          <w:sz w:val="24"/>
          <w:szCs w:val="24"/>
        </w:rPr>
        <w:t xml:space="preserve"> fine-tuneados</w:t>
      </w:r>
      <w:r w:rsidR="007B0BD7">
        <w:rPr>
          <w:sz w:val="24"/>
          <w:szCs w:val="24"/>
        </w:rPr>
        <w:t xml:space="preserve"> y</w:t>
      </w:r>
      <w:r w:rsidRPr="00F43CE6">
        <w:rPr>
          <w:sz w:val="24"/>
          <w:szCs w:val="24"/>
        </w:rPr>
        <w:t xml:space="preserve"> un agente conversacional con arquitectura RAG anclado en una base de conocimiento autoritativa sobre el patrimonio cultural inmaterial boliviano.</w:t>
      </w:r>
    </w:p>
    <w:p w:rsidR="00F43CE6" w:rsidRPr="00F43CE6" w:rsidRDefault="00F43CE6" w:rsidP="00F43CE6">
      <w:pPr>
        <w:pStyle w:val="Prrafodelista"/>
        <w:numPr>
          <w:ilvl w:val="0"/>
          <w:numId w:val="4"/>
        </w:numPr>
        <w:spacing w:line="480" w:lineRule="auto"/>
        <w:jc w:val="both"/>
        <w:rPr>
          <w:sz w:val="24"/>
          <w:szCs w:val="24"/>
        </w:rPr>
      </w:pPr>
      <w:r w:rsidRPr="00F43CE6">
        <w:rPr>
          <w:b/>
          <w:bCs/>
          <w:sz w:val="24"/>
          <w:szCs w:val="24"/>
        </w:rPr>
        <w:t>Valorar</w:t>
      </w:r>
      <w:r w:rsidRPr="00F43CE6">
        <w:rPr>
          <w:sz w:val="24"/>
          <w:szCs w:val="24"/>
        </w:rPr>
        <w:t> la pertinencia del sistema propuesto mediante criterio de expertos en patrimonio cultural inmaterial boliviano y en procesamiento de lenguaje natural, considerando además los Principios CARE de gobernanza de datos indígenas.</w:t>
      </w:r>
    </w:p>
    <w:p w:rsidR="00F43CE6" w:rsidRPr="00F43CE6" w:rsidRDefault="00F43CE6" w:rsidP="00F43CE6">
      <w:pPr>
        <w:pStyle w:val="Prrafodelista"/>
        <w:numPr>
          <w:ilvl w:val="0"/>
          <w:numId w:val="4"/>
        </w:numPr>
        <w:spacing w:line="480" w:lineRule="auto"/>
        <w:jc w:val="both"/>
        <w:rPr>
          <w:sz w:val="24"/>
          <w:szCs w:val="24"/>
        </w:rPr>
      </w:pPr>
      <w:r w:rsidRPr="00F43CE6">
        <w:rPr>
          <w:b/>
          <w:bCs/>
          <w:sz w:val="24"/>
          <w:szCs w:val="24"/>
        </w:rPr>
        <w:t>Evaluar</w:t>
      </w:r>
      <w:r w:rsidRPr="00F43CE6">
        <w:rPr>
          <w:sz w:val="24"/>
          <w:szCs w:val="24"/>
        </w:rPr>
        <w:t xml:space="preserve"> la efectividad del sistema propuesto mediante métricas estandarizadas (precisión, exhaustividad, puntuación F1 y exactitud) sobre el corpus etiquetado, en comparación con </w:t>
      </w:r>
      <w:proofErr w:type="spellStart"/>
      <w:r w:rsidRPr="00F43CE6">
        <w:rPr>
          <w:sz w:val="24"/>
          <w:szCs w:val="24"/>
        </w:rPr>
        <w:t>baselines</w:t>
      </w:r>
      <w:proofErr w:type="spellEnd"/>
      <w:r w:rsidRPr="00F43CE6">
        <w:rPr>
          <w:sz w:val="24"/>
          <w:szCs w:val="24"/>
        </w:rPr>
        <w:t xml:space="preserve"> de LLM </w:t>
      </w:r>
      <w:proofErr w:type="spellStart"/>
      <w:r w:rsidRPr="00F43CE6">
        <w:rPr>
          <w:sz w:val="24"/>
          <w:szCs w:val="24"/>
        </w:rPr>
        <w:t>zero-shot</w:t>
      </w:r>
      <w:proofErr w:type="spellEnd"/>
      <w:r w:rsidRPr="00F43CE6">
        <w:rPr>
          <w:sz w:val="24"/>
          <w:szCs w:val="24"/>
        </w:rPr>
        <w:t>, durante el período 2025–2026.</w:t>
      </w:r>
    </w:p>
    <w:p w:rsidR="00F43CE6" w:rsidRDefault="00F43CE6" w:rsidP="00E41BC1">
      <w:pPr>
        <w:spacing w:line="480" w:lineRule="auto"/>
        <w:ind w:firstLine="720"/>
        <w:jc w:val="both"/>
      </w:pPr>
    </w:p>
    <w:p w:rsidR="00E41BC1" w:rsidRPr="00E41BC1" w:rsidRDefault="00E41BC1" w:rsidP="00A61061">
      <w:pPr>
        <w:pStyle w:val="Ttulo2"/>
        <w:numPr>
          <w:ilvl w:val="0"/>
          <w:numId w:val="18"/>
        </w:numPr>
        <w:spacing w:after="240" w:line="276" w:lineRule="auto"/>
        <w:rPr>
          <w:b/>
          <w:bCs/>
          <w:color w:val="000000" w:themeColor="text1"/>
        </w:rPr>
      </w:pPr>
      <w:bookmarkStart w:id="10" w:name="_Toc228308148"/>
      <w:r w:rsidRPr="00E41BC1">
        <w:rPr>
          <w:b/>
          <w:bCs/>
          <w:color w:val="000000" w:themeColor="text1"/>
        </w:rPr>
        <w:t>Justificación de la Investigación</w:t>
      </w:r>
      <w:bookmarkEnd w:id="10"/>
    </w:p>
    <w:p w:rsidR="00E41BC1" w:rsidRDefault="00E41BC1" w:rsidP="00E41BC1">
      <w:pPr>
        <w:spacing w:line="480" w:lineRule="auto"/>
        <w:ind w:firstLine="720"/>
        <w:jc w:val="both"/>
      </w:pPr>
      <w:r>
        <w:rPr>
          <w:b/>
          <w:bCs/>
          <w:sz w:val="24"/>
          <w:szCs w:val="24"/>
        </w:rPr>
        <w:t xml:space="preserve">Justificación Teórica: </w:t>
      </w:r>
      <w:r>
        <w:rPr>
          <w:sz w:val="24"/>
          <w:szCs w:val="24"/>
        </w:rPr>
        <w:t xml:space="preserve">La presente investigación se fundamenta en la intersección de tres campos teóricos en pleno desarrollo: el procesamiento de lenguaje natural multilingüe, la recuperación de información aumentada por generación y la gobernanza de </w:t>
      </w:r>
      <w:r>
        <w:rPr>
          <w:sz w:val="24"/>
          <w:szCs w:val="24"/>
        </w:rPr>
        <w:lastRenderedPageBreak/>
        <w:t>datos de patrimonio cultural inmaterial. La literatura existente sobre arquitecturas NLP —BERT (Devlin et al., 2019), XLM-RoBERTa (</w:t>
      </w:r>
      <w:proofErr w:type="spellStart"/>
      <w:r>
        <w:rPr>
          <w:sz w:val="24"/>
          <w:szCs w:val="24"/>
        </w:rPr>
        <w:t>Conneau</w:t>
      </w:r>
      <w:proofErr w:type="spellEnd"/>
      <w:r>
        <w:rPr>
          <w:sz w:val="24"/>
          <w:szCs w:val="24"/>
        </w:rPr>
        <w:t xml:space="preserve"> et al., 2020) y </w:t>
      </w:r>
      <w:proofErr w:type="spellStart"/>
      <w:r>
        <w:rPr>
          <w:sz w:val="24"/>
          <w:szCs w:val="24"/>
        </w:rPr>
        <w:t>mmBERT</w:t>
      </w:r>
      <w:proofErr w:type="spellEnd"/>
      <w:r>
        <w:rPr>
          <w:sz w:val="24"/>
          <w:szCs w:val="24"/>
        </w:rPr>
        <w:t xml:space="preserve"> (</w:t>
      </w:r>
      <w:proofErr w:type="spellStart"/>
      <w:r>
        <w:rPr>
          <w:sz w:val="24"/>
          <w:szCs w:val="24"/>
        </w:rPr>
        <w:t>Marone</w:t>
      </w:r>
      <w:proofErr w:type="spellEnd"/>
      <w:r>
        <w:rPr>
          <w:sz w:val="24"/>
          <w:szCs w:val="24"/>
        </w:rPr>
        <w:t xml:space="preserve"> et al., 2025)— ha demostrado la viabilidad técnica de la clasificación de textos en múltiples idiomas, pero ningún trabajo previo ha aplicado estas arquitecturas a la problemática específica de la falsa atribución del PCI. Asimismo, el marco conceptual de los Principios CARE (Carroll et al., 2020) establece las bases éticas para el tratamiento de datos culturales indígenas en sistemas de IA. Al integrar estos marcos, la investigación genera nuevo conocimiento teórico sobre la aplicabilidad y los límites de los clasificadores supervisados en dominios culturalmente sensibles, y sobre las condiciones bajo las cuales una arquitectura RAG puede anclar respuestas generativas en fuentes institucionales verificadas para el dominio patrimonial latinoamericano.</w:t>
      </w:r>
    </w:p>
    <w:p w:rsidR="00E41BC1" w:rsidRDefault="00E41BC1" w:rsidP="00E41BC1">
      <w:pPr>
        <w:spacing w:line="480" w:lineRule="auto"/>
        <w:ind w:firstLine="720"/>
        <w:jc w:val="both"/>
      </w:pPr>
      <w:r>
        <w:rPr>
          <w:b/>
          <w:bCs/>
          <w:sz w:val="24"/>
          <w:szCs w:val="24"/>
        </w:rPr>
        <w:t xml:space="preserve">Justificación Práctica: </w:t>
      </w:r>
      <w:r>
        <w:rPr>
          <w:sz w:val="24"/>
          <w:szCs w:val="24"/>
        </w:rPr>
        <w:t>En términos prácticos, la investigación producirá un prototipo funcional de sistema de detección compuesto por tres módulos integrados: un clasificador NLP multilingüe</w:t>
      </w:r>
      <w:r w:rsidR="007B0BD7">
        <w:rPr>
          <w:sz w:val="24"/>
          <w:szCs w:val="24"/>
        </w:rPr>
        <w:t xml:space="preserve"> </w:t>
      </w:r>
      <w:r>
        <w:rPr>
          <w:sz w:val="24"/>
          <w:szCs w:val="24"/>
        </w:rPr>
        <w:t>y un agente conversacional RAG. Este prototipo será directamente utilizable por el Ministerio de Culturas y Turismo de Bolivia, museos nacionales y organizaciones de salvaguardia del patrimonio para monitorear la presencia de falsa atribución en medios digitales, cuantificar su distribución por idioma y ecosistema lingüístico, y responder automáticamente con información verificada a consultas sobre el origen del PCI boliviano. Adicionalmente, el corpus etiquetado construido durante la investigación constituye un recurso reutilizable para futuras investigaciones en NLP aplicado al patrimonio cultural latinoamericano.</w:t>
      </w:r>
    </w:p>
    <w:p w:rsidR="00E41BC1" w:rsidRDefault="00E41BC1" w:rsidP="00E41BC1">
      <w:pPr>
        <w:spacing w:line="480" w:lineRule="auto"/>
        <w:ind w:firstLine="720"/>
        <w:jc w:val="both"/>
      </w:pPr>
      <w:r>
        <w:rPr>
          <w:b/>
          <w:bCs/>
          <w:sz w:val="24"/>
          <w:szCs w:val="24"/>
        </w:rPr>
        <w:t xml:space="preserve">Justificación Social: </w:t>
      </w:r>
      <w:r>
        <w:rPr>
          <w:sz w:val="24"/>
          <w:szCs w:val="24"/>
        </w:rPr>
        <w:t xml:space="preserve">La falsa atribución del patrimonio cultural inmaterial boliviano en medios digitales no es un fenómeno neutro: contribuye a la erosión de la identidad cultural boliviana, al desconocimiento internacional de la especificidad del PCI andino originado en Bolivia, y a la desinformación de millones de usuarios de plataformas digitales globales. La </w:t>
      </w:r>
      <w:r>
        <w:rPr>
          <w:sz w:val="24"/>
          <w:szCs w:val="24"/>
        </w:rPr>
        <w:lastRenderedPageBreak/>
        <w:t>investigación tiene relevancia social directa para las comunidades portadoras de estas expresiones culturales —los bailarines del Carnaval de Oruro, los músicos de charango, las comunidades del Gran Poder— cuya identidad colectiva es sistemáticamente omitida o distorsionada en el entorno digital. Desde el enfoque de los Principios CARE (Carroll et al., 2020), la investigación incorpora consideraciones éticas sobre la representación de los conocimientos tradicionales de las naciones originarias de Bolivia, evitando que el sistema reproduzca sesgos de homogeneización cultural que perjudiquen a las comunidades que el trabajo pretende proteger.</w:t>
      </w:r>
    </w:p>
    <w:p w:rsidR="007B0BD7" w:rsidRDefault="00E41BC1" w:rsidP="00A61061">
      <w:pPr>
        <w:spacing w:after="240" w:line="480" w:lineRule="auto"/>
        <w:ind w:firstLine="720"/>
        <w:jc w:val="both"/>
        <w:rPr>
          <w:sz w:val="24"/>
          <w:szCs w:val="24"/>
        </w:rPr>
      </w:pPr>
      <w:r>
        <w:rPr>
          <w:b/>
          <w:bCs/>
          <w:sz w:val="24"/>
          <w:szCs w:val="24"/>
        </w:rPr>
        <w:t xml:space="preserve">Justificación Metodológica: </w:t>
      </w:r>
      <w:r>
        <w:rPr>
          <w:sz w:val="24"/>
          <w:szCs w:val="24"/>
        </w:rPr>
        <w:t>Metodológicamente, la investigación propone y valida una arquitectura híbrida inédita para el dominio del patrimonio cultural inmaterial, que combina: (a) una estrategia de construcción de corpus supervisada con fuentes primarias verificadas y generación de datos sintéticos etiquetados para tratar el desequilibrio de clases; (b) un protocolo de comparación sistemática entre modelos de fine-</w:t>
      </w:r>
      <w:proofErr w:type="spellStart"/>
      <w:r>
        <w:rPr>
          <w:sz w:val="24"/>
          <w:szCs w:val="24"/>
        </w:rPr>
        <w:t>tuning</w:t>
      </w:r>
      <w:proofErr w:type="spellEnd"/>
      <w:r>
        <w:rPr>
          <w:sz w:val="24"/>
          <w:szCs w:val="24"/>
        </w:rPr>
        <w:t xml:space="preserve"> (BETO, XLM-RoBERTa, </w:t>
      </w:r>
      <w:proofErr w:type="spellStart"/>
      <w:r>
        <w:rPr>
          <w:sz w:val="24"/>
          <w:szCs w:val="24"/>
        </w:rPr>
        <w:t>mmBERT</w:t>
      </w:r>
      <w:proofErr w:type="spellEnd"/>
      <w:r>
        <w:rPr>
          <w:sz w:val="24"/>
          <w:szCs w:val="24"/>
        </w:rPr>
        <w:t xml:space="preserve">) y </w:t>
      </w:r>
      <w:proofErr w:type="spellStart"/>
      <w:r>
        <w:rPr>
          <w:sz w:val="24"/>
          <w:szCs w:val="24"/>
        </w:rPr>
        <w:t>baselines</w:t>
      </w:r>
      <w:proofErr w:type="spellEnd"/>
      <w:r>
        <w:rPr>
          <w:sz w:val="24"/>
          <w:szCs w:val="24"/>
        </w:rPr>
        <w:t xml:space="preserve"> de LLM </w:t>
      </w:r>
      <w:proofErr w:type="spellStart"/>
      <w:r>
        <w:rPr>
          <w:sz w:val="24"/>
          <w:szCs w:val="24"/>
        </w:rPr>
        <w:t>zero-shot</w:t>
      </w:r>
      <w:proofErr w:type="spellEnd"/>
      <w:r>
        <w:rPr>
          <w:sz w:val="24"/>
          <w:szCs w:val="24"/>
        </w:rPr>
        <w:t>; y (c) un marco de evaluación que integra métricas cuantitativas estándar (precisión, exhaustividad, F1) con criterios cualitativos de adecuación cultural. Esta arquitectura metodológica es replicable para la protección del patrimonio cultural inmaterial de otros países latinoamericanos con problemáticas análogas, lo que multiplica el alcance potencial de los resultados más allá del contexto boliviano.</w:t>
      </w:r>
    </w:p>
    <w:p w:rsidR="007B0BD7" w:rsidRPr="00A61061" w:rsidRDefault="007B0BD7" w:rsidP="00A61061">
      <w:pPr>
        <w:pStyle w:val="Ttulo2"/>
        <w:numPr>
          <w:ilvl w:val="0"/>
          <w:numId w:val="18"/>
        </w:numPr>
        <w:spacing w:after="240" w:line="276" w:lineRule="auto"/>
        <w:rPr>
          <w:b/>
          <w:bCs/>
          <w:color w:val="000000" w:themeColor="text1"/>
        </w:rPr>
      </w:pPr>
      <w:bookmarkStart w:id="11" w:name="_Toc228308149"/>
      <w:r w:rsidRPr="00A61061">
        <w:rPr>
          <w:b/>
          <w:bCs/>
          <w:color w:val="000000" w:themeColor="text1"/>
        </w:rPr>
        <w:t>Formulación de la construcción teórica. Hipótesis para defender</w:t>
      </w:r>
      <w:bookmarkEnd w:id="11"/>
    </w:p>
    <w:p w:rsidR="007B0BD7" w:rsidRPr="007B0BD7" w:rsidRDefault="007B0BD7" w:rsidP="007B0BD7">
      <w:pPr>
        <w:spacing w:line="480" w:lineRule="auto"/>
        <w:ind w:firstLine="720"/>
        <w:jc w:val="both"/>
        <w:rPr>
          <w:sz w:val="24"/>
          <w:szCs w:val="24"/>
        </w:rPr>
      </w:pPr>
      <w:r w:rsidRPr="007B0BD7">
        <w:rPr>
          <w:sz w:val="24"/>
          <w:szCs w:val="24"/>
        </w:rPr>
        <w:t xml:space="preserve">Si se propone un sistema de inteligencia artificial integrado por un clasificador NLP multilingüe basado en BETO, XLM-RoBERTa y </w:t>
      </w:r>
      <w:proofErr w:type="spellStart"/>
      <w:r w:rsidRPr="007B0BD7">
        <w:rPr>
          <w:sz w:val="24"/>
          <w:szCs w:val="24"/>
        </w:rPr>
        <w:t>mmBERT</w:t>
      </w:r>
      <w:proofErr w:type="spellEnd"/>
      <w:r w:rsidRPr="007B0BD7">
        <w:rPr>
          <w:sz w:val="24"/>
          <w:szCs w:val="24"/>
        </w:rPr>
        <w:t xml:space="preserve"> fine-tuneados, y un agente conversacional con arquitectura de Recuperación Aumentada por Generación (RAG), </w:t>
      </w:r>
      <w:r w:rsidRPr="007B0BD7">
        <w:rPr>
          <w:sz w:val="24"/>
          <w:szCs w:val="24"/>
        </w:rPr>
        <w:lastRenderedPageBreak/>
        <w:t>entonces se podrá contribuir a la detección de falsa atribución del patrimonio cultural inmaterial boliviano en medios digitales en español e inglés, durante el período 2025–2026.</w:t>
      </w:r>
    </w:p>
    <w:p w:rsidR="007B0BD7" w:rsidRPr="00A61061" w:rsidRDefault="007B0BD7" w:rsidP="00A61061">
      <w:pPr>
        <w:pStyle w:val="Ttulo2"/>
        <w:numPr>
          <w:ilvl w:val="1"/>
          <w:numId w:val="18"/>
        </w:numPr>
        <w:spacing w:after="240" w:line="276" w:lineRule="auto"/>
        <w:rPr>
          <w:b/>
          <w:bCs/>
          <w:color w:val="000000" w:themeColor="text1"/>
        </w:rPr>
      </w:pPr>
      <w:bookmarkStart w:id="12" w:name="_Toc228308150"/>
      <w:r w:rsidRPr="00A61061">
        <w:rPr>
          <w:b/>
          <w:bCs/>
          <w:color w:val="000000" w:themeColor="text1"/>
        </w:rPr>
        <w:t>Identificación de las variables</w:t>
      </w:r>
      <w:bookmarkEnd w:id="12"/>
    </w:p>
    <w:p w:rsidR="007B0BD7" w:rsidRPr="007B0BD7" w:rsidRDefault="007B0BD7" w:rsidP="007B0BD7">
      <w:pPr>
        <w:spacing w:line="480" w:lineRule="auto"/>
        <w:ind w:firstLine="720"/>
        <w:jc w:val="both"/>
        <w:rPr>
          <w:sz w:val="24"/>
          <w:szCs w:val="24"/>
        </w:rPr>
      </w:pPr>
      <w:r w:rsidRPr="007B0BD7">
        <w:rPr>
          <w:b/>
          <w:bCs/>
          <w:sz w:val="24"/>
          <w:szCs w:val="24"/>
        </w:rPr>
        <w:t>Variable independiente:</w:t>
      </w:r>
      <w:r w:rsidRPr="007B0BD7">
        <w:rPr>
          <w:sz w:val="24"/>
          <w:szCs w:val="24"/>
        </w:rPr>
        <w:t xml:space="preserve"> Sistema de inteligencia artificial para la detección de falsa atribución del patrimonio cultural inmaterial boliviano (compuesto por </w:t>
      </w:r>
      <w:r w:rsidR="00A61061">
        <w:rPr>
          <w:sz w:val="24"/>
          <w:szCs w:val="24"/>
        </w:rPr>
        <w:t>dos</w:t>
      </w:r>
      <w:r w:rsidRPr="007B0BD7">
        <w:rPr>
          <w:sz w:val="24"/>
          <w:szCs w:val="24"/>
        </w:rPr>
        <w:t xml:space="preserve"> módulos integrados: clasificador NLP multilingüe fine-tuneado</w:t>
      </w:r>
      <w:r w:rsidR="00A61061">
        <w:rPr>
          <w:sz w:val="24"/>
          <w:szCs w:val="24"/>
        </w:rPr>
        <w:t xml:space="preserve"> y </w:t>
      </w:r>
      <w:r w:rsidRPr="007B0BD7">
        <w:rPr>
          <w:sz w:val="24"/>
          <w:szCs w:val="24"/>
        </w:rPr>
        <w:t>agente conversacional con arquitectura RAG).</w:t>
      </w:r>
    </w:p>
    <w:p w:rsidR="007B0BD7" w:rsidRPr="007B0BD7" w:rsidRDefault="007B0BD7" w:rsidP="007B0BD7">
      <w:pPr>
        <w:spacing w:line="480" w:lineRule="auto"/>
        <w:ind w:firstLine="720"/>
        <w:jc w:val="both"/>
        <w:rPr>
          <w:sz w:val="24"/>
          <w:szCs w:val="24"/>
        </w:rPr>
      </w:pPr>
      <w:r w:rsidRPr="007B0BD7">
        <w:rPr>
          <w:b/>
          <w:bCs/>
          <w:sz w:val="24"/>
          <w:szCs w:val="24"/>
        </w:rPr>
        <w:t>Variable dependiente:</w:t>
      </w:r>
      <w:r w:rsidRPr="007B0BD7">
        <w:rPr>
          <w:sz w:val="24"/>
          <w:szCs w:val="24"/>
        </w:rPr>
        <w:t> Detección de falsa atribución del patrimonio cultural inmaterial boliviano en textos digitales multilingües.</w:t>
      </w:r>
    </w:p>
    <w:p w:rsidR="00A61061" w:rsidRDefault="00A61061">
      <w:pPr>
        <w:rPr>
          <w:sz w:val="24"/>
          <w:szCs w:val="24"/>
        </w:rPr>
      </w:pPr>
      <w:r>
        <w:rPr>
          <w:sz w:val="24"/>
          <w:szCs w:val="24"/>
        </w:rPr>
        <w:br w:type="page"/>
      </w:r>
    </w:p>
    <w:p w:rsidR="00A61061" w:rsidRPr="00A61061" w:rsidRDefault="00A61061" w:rsidP="00722D9C">
      <w:pPr>
        <w:pStyle w:val="Ttulo1"/>
        <w:spacing w:after="240" w:line="276" w:lineRule="auto"/>
        <w:jc w:val="center"/>
        <w:rPr>
          <w:b/>
          <w:bCs/>
          <w:color w:val="000000" w:themeColor="text1"/>
          <w:sz w:val="28"/>
          <w:szCs w:val="28"/>
        </w:rPr>
      </w:pPr>
      <w:bookmarkStart w:id="13" w:name="_Toc228308151"/>
      <w:r w:rsidRPr="00A61061">
        <w:rPr>
          <w:b/>
          <w:bCs/>
          <w:color w:val="000000" w:themeColor="text1"/>
          <w:sz w:val="28"/>
          <w:szCs w:val="28"/>
        </w:rPr>
        <w:lastRenderedPageBreak/>
        <w:t>CAPÍTULO 1. REFERENTES TEÓRICOS</w:t>
      </w:r>
      <w:bookmarkEnd w:id="13"/>
    </w:p>
    <w:p w:rsidR="00722D9C" w:rsidRPr="00722D9C" w:rsidRDefault="00A61061" w:rsidP="00722D9C">
      <w:pPr>
        <w:pStyle w:val="Ttulo2"/>
        <w:spacing w:after="240" w:line="276" w:lineRule="auto"/>
        <w:ind w:left="720"/>
        <w:rPr>
          <w:b/>
          <w:bCs/>
          <w:color w:val="000000" w:themeColor="text1"/>
        </w:rPr>
      </w:pPr>
      <w:bookmarkStart w:id="14" w:name="_Toc228308152"/>
      <w:r w:rsidRPr="00722D9C">
        <w:rPr>
          <w:b/>
          <w:bCs/>
          <w:color w:val="000000" w:themeColor="text1"/>
        </w:rPr>
        <w:t>Referencia a núcleos teóricos a desarrollar en la investigación</w:t>
      </w:r>
      <w:bookmarkEnd w:id="14"/>
    </w:p>
    <w:p w:rsidR="00A61061" w:rsidRPr="00722D9C" w:rsidRDefault="00A61061" w:rsidP="00722D9C">
      <w:pPr>
        <w:pStyle w:val="Ttulo3"/>
        <w:spacing w:after="240" w:line="276" w:lineRule="auto"/>
        <w:ind w:left="1440"/>
        <w:rPr>
          <w:b/>
          <w:bCs/>
          <w:color w:val="000000" w:themeColor="text1"/>
          <w:sz w:val="26"/>
          <w:szCs w:val="26"/>
        </w:rPr>
      </w:pPr>
      <w:bookmarkStart w:id="15" w:name="_Toc228308153"/>
      <w:r w:rsidRPr="00722D9C">
        <w:rPr>
          <w:b/>
          <w:bCs/>
          <w:color w:val="000000" w:themeColor="text1"/>
        </w:rPr>
        <w:t>Objeto de estudio</w:t>
      </w:r>
      <w:bookmarkEnd w:id="15"/>
    </w:p>
    <w:p w:rsidR="00A61061" w:rsidRPr="00A61061" w:rsidRDefault="00A61061" w:rsidP="00A61061">
      <w:pPr>
        <w:spacing w:line="480" w:lineRule="auto"/>
        <w:ind w:firstLine="720"/>
        <w:jc w:val="both"/>
        <w:rPr>
          <w:sz w:val="24"/>
          <w:szCs w:val="24"/>
        </w:rPr>
      </w:pPr>
      <w:r w:rsidRPr="00A61061">
        <w:rPr>
          <w:sz w:val="24"/>
          <w:szCs w:val="24"/>
        </w:rPr>
        <w:t>El proceso de detección de atribuciones culturales del patrimonio cultural inmaterial boliviano en textos digitales se sustenta en varios núcleos teóricos fundamentales ampliamente reconocidos en la literatura especializada.</w:t>
      </w:r>
    </w:p>
    <w:p w:rsidR="00A61061" w:rsidRPr="00A61061" w:rsidRDefault="00A61061" w:rsidP="00A61061">
      <w:pPr>
        <w:spacing w:line="480" w:lineRule="auto"/>
        <w:ind w:firstLine="720"/>
        <w:jc w:val="both"/>
        <w:rPr>
          <w:sz w:val="24"/>
          <w:szCs w:val="24"/>
        </w:rPr>
      </w:pPr>
      <w:r w:rsidRPr="00A61061">
        <w:rPr>
          <w:sz w:val="24"/>
          <w:szCs w:val="24"/>
        </w:rPr>
        <w:t xml:space="preserve">El procesamiento de lenguaje natural (PLN) constituye el núcleo teórico central. Devlin et al. (2019), con la arquitectura BERT, establecieron el preentrenamiento bidireccional sobre </w:t>
      </w:r>
      <w:proofErr w:type="spellStart"/>
      <w:r w:rsidRPr="00A61061">
        <w:rPr>
          <w:sz w:val="24"/>
          <w:szCs w:val="24"/>
        </w:rPr>
        <w:t>Transformer</w:t>
      </w:r>
      <w:proofErr w:type="spellEnd"/>
      <w:r w:rsidRPr="00A61061">
        <w:rPr>
          <w:sz w:val="24"/>
          <w:szCs w:val="24"/>
        </w:rPr>
        <w:t xml:space="preserve"> como el estándar para tareas de comprensión textual y clasificación, evidenciando que las representaciones contextuales superan a las estáticas en virtualmente todas las tareas semánticas. </w:t>
      </w:r>
      <w:proofErr w:type="spellStart"/>
      <w:r w:rsidRPr="00A61061">
        <w:rPr>
          <w:sz w:val="24"/>
          <w:szCs w:val="24"/>
        </w:rPr>
        <w:t>Conneau</w:t>
      </w:r>
      <w:proofErr w:type="spellEnd"/>
      <w:r w:rsidRPr="00A61061">
        <w:rPr>
          <w:sz w:val="24"/>
          <w:szCs w:val="24"/>
        </w:rPr>
        <w:t xml:space="preserve"> et al. (2020), con XLM-RoBERTa, demostraron que un único modelo entrenado sobre 100 idiomas habilita transferencia </w:t>
      </w:r>
      <w:proofErr w:type="spellStart"/>
      <w:r w:rsidRPr="00A61061">
        <w:rPr>
          <w:sz w:val="24"/>
          <w:szCs w:val="24"/>
        </w:rPr>
        <w:t>cross</w:t>
      </w:r>
      <w:proofErr w:type="spellEnd"/>
      <w:r w:rsidRPr="00A61061">
        <w:rPr>
          <w:sz w:val="24"/>
          <w:szCs w:val="24"/>
        </w:rPr>
        <w:t xml:space="preserve">-lingual sin datos paralelos, fundamento técnico imprescindible cuando el fenómeno bajo estudio (falsa atribución del PCI) se manifiesta simultáneamente en español e inglés. </w:t>
      </w:r>
      <w:proofErr w:type="spellStart"/>
      <w:r w:rsidRPr="00A61061">
        <w:rPr>
          <w:sz w:val="24"/>
          <w:szCs w:val="24"/>
        </w:rPr>
        <w:t>Marone</w:t>
      </w:r>
      <w:proofErr w:type="spellEnd"/>
      <w:r w:rsidRPr="00A61061">
        <w:rPr>
          <w:sz w:val="24"/>
          <w:szCs w:val="24"/>
        </w:rPr>
        <w:t xml:space="preserve"> et al. (2025), con </w:t>
      </w:r>
      <w:proofErr w:type="spellStart"/>
      <w:r w:rsidRPr="00A61061">
        <w:rPr>
          <w:sz w:val="24"/>
          <w:szCs w:val="24"/>
        </w:rPr>
        <w:t>mmBERT</w:t>
      </w:r>
      <w:proofErr w:type="spellEnd"/>
      <w:r w:rsidRPr="00A61061">
        <w:rPr>
          <w:sz w:val="24"/>
          <w:szCs w:val="24"/>
        </w:rPr>
        <w:t xml:space="preserve">, escalaron este principio a 1.833 idiomas mediante un esquema progresivo de </w:t>
      </w:r>
      <w:proofErr w:type="spellStart"/>
      <w:r w:rsidRPr="00A61061">
        <w:rPr>
          <w:sz w:val="24"/>
          <w:szCs w:val="24"/>
        </w:rPr>
        <w:t>annealing</w:t>
      </w:r>
      <w:proofErr w:type="spellEnd"/>
      <w:r w:rsidRPr="00A61061">
        <w:rPr>
          <w:sz w:val="24"/>
          <w:szCs w:val="24"/>
        </w:rPr>
        <w:t xml:space="preserve"> y procesamiento sin relleno, superando significativamente a XLM-RoBERTa en benchmarks multilingües (XNLI, MTEB, </w:t>
      </w:r>
      <w:proofErr w:type="spellStart"/>
      <w:r w:rsidRPr="00A61061">
        <w:rPr>
          <w:sz w:val="24"/>
          <w:szCs w:val="24"/>
        </w:rPr>
        <w:t>TyDiQA</w:t>
      </w:r>
      <w:proofErr w:type="spellEnd"/>
      <w:r w:rsidRPr="00A61061">
        <w:rPr>
          <w:sz w:val="24"/>
          <w:szCs w:val="24"/>
        </w:rPr>
        <w:t>).</w:t>
      </w:r>
    </w:p>
    <w:p w:rsidR="00A61061" w:rsidRPr="00A61061" w:rsidRDefault="00A61061" w:rsidP="00A61061">
      <w:pPr>
        <w:spacing w:line="480" w:lineRule="auto"/>
        <w:ind w:firstLine="720"/>
        <w:jc w:val="both"/>
        <w:rPr>
          <w:sz w:val="24"/>
          <w:szCs w:val="24"/>
        </w:rPr>
      </w:pPr>
      <w:r w:rsidRPr="00A61061">
        <w:rPr>
          <w:sz w:val="24"/>
          <w:szCs w:val="24"/>
        </w:rPr>
        <w:t>La detección computacional de desinformación textual aporta el marco metodológico para la clasificación supervisada del fenómeno. Zubiaga et al. (2018) sistematizaron el campo de la detección de rumores en medios sociales, evidenciando que los clasificadores supervisados con representaciones distribuidas superan consistentemente a los basados en ingeniería manual de características, y proponiendo principios para el tratamiento de clases minoritarias y la generalización entre dominios — núcleo aplicable directamente al diseño del corpus híbrido propuesto.</w:t>
      </w:r>
    </w:p>
    <w:p w:rsidR="00A61061" w:rsidRPr="00A61061" w:rsidRDefault="00A61061" w:rsidP="00A61061">
      <w:pPr>
        <w:spacing w:line="480" w:lineRule="auto"/>
        <w:ind w:firstLine="720"/>
        <w:jc w:val="both"/>
        <w:rPr>
          <w:sz w:val="24"/>
          <w:szCs w:val="24"/>
        </w:rPr>
      </w:pPr>
      <w:r w:rsidRPr="00A61061">
        <w:rPr>
          <w:sz w:val="24"/>
          <w:szCs w:val="24"/>
        </w:rPr>
        <w:lastRenderedPageBreak/>
        <w:t xml:space="preserve">La soberanía cultural digital constituye el núcleo teórico-normativo que sustenta el problema de investigación. La UNESCO (2003), mediante la Convención para la Salvaguardia del Patrimonio Cultural Inmaterial, estableció la obligación de los Estados de proteger las expresiones culturales intangibles frente a fenómenos de erosión simbólica. El Ministerio de Culturas y Turismo de Bolivia (2022) operacionalizó este marco a nivel nacional mediante la Política nacional de soberanía cultural digital, que reconoce explícitamente la necesidad de monitoreo automatizado del discurso cultural en el espacio digital. Young y </w:t>
      </w:r>
      <w:proofErr w:type="spellStart"/>
      <w:r w:rsidRPr="00A61061">
        <w:rPr>
          <w:sz w:val="24"/>
          <w:szCs w:val="24"/>
        </w:rPr>
        <w:t>Brunk</w:t>
      </w:r>
      <w:proofErr w:type="spellEnd"/>
      <w:r w:rsidRPr="00A61061">
        <w:rPr>
          <w:sz w:val="24"/>
          <w:szCs w:val="24"/>
        </w:rPr>
        <w:t xml:space="preserve"> (2012) aportan el marco ético-filosófico al analizar las dimensiones de la apropiación cultural y argumentar que la descontextualización y la omisión del origen constituyen formas de erosión identitaria de los pueblos originarios.</w:t>
      </w:r>
    </w:p>
    <w:p w:rsidR="00A61061" w:rsidRPr="00A61061" w:rsidRDefault="00A61061" w:rsidP="00A61061">
      <w:pPr>
        <w:spacing w:line="480" w:lineRule="auto"/>
        <w:ind w:firstLine="720"/>
        <w:jc w:val="both"/>
        <w:rPr>
          <w:sz w:val="24"/>
          <w:szCs w:val="24"/>
        </w:rPr>
      </w:pPr>
      <w:r w:rsidRPr="00A61061">
        <w:rPr>
          <w:sz w:val="24"/>
          <w:szCs w:val="24"/>
        </w:rPr>
        <w:t>Los Principios CARE de gobernanza de datos indígenas (Carroll et al., 2020) constituyen el núcleo ético de la investigación. Los autores establecen que todo sistema de IA que catalogue, clasifique o etiquete patrimonio cultural de comunidades indígenas debe incorporar mecanismos de atribución comunitaria obligatoria. Su análisis de la </w:t>
      </w:r>
      <w:r w:rsidRPr="00A61061">
        <w:rPr>
          <w:i/>
          <w:iCs/>
          <w:sz w:val="24"/>
          <w:szCs w:val="24"/>
        </w:rPr>
        <w:t>homogeneización algorítmica</w:t>
      </w:r>
      <w:r w:rsidRPr="00A61061">
        <w:rPr>
          <w:sz w:val="24"/>
          <w:szCs w:val="24"/>
        </w:rPr>
        <w:t> —tendencia de la IA a asignar expresiones de minorías culturales a categorías mayoritarias o genéricas— es directamente pertinente al fenómeno bajo estudio, dado que el patrimonio andino boliviano es estructuralmente vulnerable a ser absorbido en categorías "andinas" o "latinoamericanas" sin especific</w:t>
      </w:r>
      <w:r w:rsidR="00974144">
        <w:rPr>
          <w:sz w:val="24"/>
          <w:szCs w:val="24"/>
        </w:rPr>
        <w:t>ar</w:t>
      </w:r>
      <w:r w:rsidRPr="00A61061">
        <w:rPr>
          <w:sz w:val="24"/>
          <w:szCs w:val="24"/>
        </w:rPr>
        <w:t xml:space="preserve"> n</w:t>
      </w:r>
      <w:r w:rsidR="00974144">
        <w:rPr>
          <w:sz w:val="24"/>
          <w:szCs w:val="24"/>
        </w:rPr>
        <w:t>acionalidad</w:t>
      </w:r>
      <w:r w:rsidRPr="00A61061">
        <w:rPr>
          <w:sz w:val="24"/>
          <w:szCs w:val="24"/>
        </w:rPr>
        <w:t>.</w:t>
      </w:r>
    </w:p>
    <w:p w:rsidR="00A61061" w:rsidRPr="00A61061" w:rsidRDefault="00A61061" w:rsidP="00A61061">
      <w:pPr>
        <w:spacing w:line="480" w:lineRule="auto"/>
        <w:ind w:firstLine="720"/>
        <w:jc w:val="both"/>
        <w:rPr>
          <w:sz w:val="24"/>
          <w:szCs w:val="24"/>
        </w:rPr>
      </w:pPr>
      <w:r w:rsidRPr="00A61061">
        <w:rPr>
          <w:sz w:val="24"/>
          <w:szCs w:val="24"/>
        </w:rPr>
        <w:t>La fundamentación teórica del proceso de detección de atribuciones culturales se basa, por tanto, en principios sólidos y bien establecidos en la literatura del PLN, la detección computacional de desinformación, la soberanía cultural digital y la ética de los datos indígenas. Aplicar estos núcleos teóricos permitirá construir un sistema robusto, replicable y culturalmente legítimo para la protección del PCI boliviano en el espacio digital.</w:t>
      </w:r>
    </w:p>
    <w:p w:rsidR="00A61061" w:rsidRPr="00974144" w:rsidRDefault="00A61061" w:rsidP="00974144">
      <w:pPr>
        <w:pStyle w:val="Ttulo3"/>
        <w:spacing w:after="240" w:line="276" w:lineRule="auto"/>
        <w:ind w:left="1440"/>
        <w:rPr>
          <w:b/>
          <w:bCs/>
          <w:color w:val="000000" w:themeColor="text1"/>
        </w:rPr>
      </w:pPr>
      <w:bookmarkStart w:id="16" w:name="_Toc228308154"/>
      <w:r w:rsidRPr="00974144">
        <w:rPr>
          <w:b/>
          <w:bCs/>
          <w:color w:val="000000" w:themeColor="text1"/>
        </w:rPr>
        <w:t>Campo de acción</w:t>
      </w:r>
      <w:bookmarkEnd w:id="16"/>
    </w:p>
    <w:p w:rsidR="00A61061" w:rsidRPr="00A61061" w:rsidRDefault="00A61061" w:rsidP="00A61061">
      <w:pPr>
        <w:spacing w:line="480" w:lineRule="auto"/>
        <w:ind w:firstLine="720"/>
        <w:jc w:val="both"/>
        <w:rPr>
          <w:sz w:val="24"/>
          <w:szCs w:val="24"/>
        </w:rPr>
      </w:pPr>
      <w:r w:rsidRPr="00A61061">
        <w:rPr>
          <w:sz w:val="24"/>
          <w:szCs w:val="24"/>
        </w:rPr>
        <w:lastRenderedPageBreak/>
        <w:t>La detección de falsa atribución del patrimonio cultural inmaterial boliviano en medios digitales en español e inglés en el período 2025–2026 se sustenta y toma en consideración los mismos principios teóricos pertenecientes al objeto de estudio antes declarado; no obstante, es importante dejar explícito que "la detección de falsa atribución del PCI" se rige por fundamentos teóricos específicos del fine-</w:t>
      </w:r>
      <w:proofErr w:type="spellStart"/>
      <w:r w:rsidRPr="00A61061">
        <w:rPr>
          <w:sz w:val="24"/>
          <w:szCs w:val="24"/>
        </w:rPr>
        <w:t>tuning</w:t>
      </w:r>
      <w:proofErr w:type="spellEnd"/>
      <w:r w:rsidRPr="00A61061">
        <w:rPr>
          <w:sz w:val="24"/>
          <w:szCs w:val="24"/>
        </w:rPr>
        <w:t xml:space="preserve"> supervisado de clasificadores </w:t>
      </w:r>
      <w:proofErr w:type="spellStart"/>
      <w:r w:rsidRPr="00A61061">
        <w:rPr>
          <w:sz w:val="24"/>
          <w:szCs w:val="24"/>
        </w:rPr>
        <w:t>Transformer</w:t>
      </w:r>
      <w:proofErr w:type="spellEnd"/>
      <w:r w:rsidRPr="00A61061">
        <w:rPr>
          <w:sz w:val="24"/>
          <w:szCs w:val="24"/>
        </w:rPr>
        <w:t xml:space="preserve"> y de la generación aumentada por recuperación.</w:t>
      </w:r>
    </w:p>
    <w:p w:rsidR="00A61061" w:rsidRPr="00A61061" w:rsidRDefault="00A61061" w:rsidP="00A61061">
      <w:pPr>
        <w:spacing w:line="480" w:lineRule="auto"/>
        <w:ind w:firstLine="720"/>
        <w:jc w:val="both"/>
        <w:rPr>
          <w:sz w:val="24"/>
          <w:szCs w:val="24"/>
        </w:rPr>
      </w:pPr>
      <w:r w:rsidRPr="00A61061">
        <w:rPr>
          <w:sz w:val="24"/>
          <w:szCs w:val="24"/>
        </w:rPr>
        <w:t>Cañete et al. (2020), con BETO, demostraron que el preentrenamiento monolingüe específico en español, mediante enmascaramiento de palabras completas (</w:t>
      </w:r>
      <w:proofErr w:type="spellStart"/>
      <w:r w:rsidRPr="00A61061">
        <w:rPr>
          <w:sz w:val="24"/>
          <w:szCs w:val="24"/>
        </w:rPr>
        <w:t>Whole</w:t>
      </w:r>
      <w:proofErr w:type="spellEnd"/>
      <w:r w:rsidRPr="00A61061">
        <w:rPr>
          <w:sz w:val="24"/>
          <w:szCs w:val="24"/>
        </w:rPr>
        <w:t xml:space="preserve"> Word </w:t>
      </w:r>
      <w:proofErr w:type="spellStart"/>
      <w:r w:rsidRPr="00A61061">
        <w:rPr>
          <w:sz w:val="24"/>
          <w:szCs w:val="24"/>
        </w:rPr>
        <w:t>Masking</w:t>
      </w:r>
      <w:proofErr w:type="spellEnd"/>
      <w:r w:rsidRPr="00A61061">
        <w:rPr>
          <w:sz w:val="24"/>
          <w:szCs w:val="24"/>
        </w:rPr>
        <w:t xml:space="preserve">), supera al modelo multilingüe </w:t>
      </w:r>
      <w:proofErr w:type="spellStart"/>
      <w:r w:rsidRPr="00A61061">
        <w:rPr>
          <w:sz w:val="24"/>
          <w:szCs w:val="24"/>
        </w:rPr>
        <w:t>mBERT</w:t>
      </w:r>
      <w:proofErr w:type="spellEnd"/>
      <w:r w:rsidRPr="00A61061">
        <w:rPr>
          <w:sz w:val="24"/>
          <w:szCs w:val="24"/>
        </w:rPr>
        <w:t xml:space="preserve"> en clasificación, reconocimiento de entidades nombradas y similitud semántica en castellano, fundamento técnico que justifica BETO como modelo candidato dado que la mayor parte del corpus objetivo está en español.</w:t>
      </w:r>
    </w:p>
    <w:p w:rsidR="00A61061" w:rsidRPr="00A61061" w:rsidRDefault="00A61061" w:rsidP="00A61061">
      <w:pPr>
        <w:spacing w:line="480" w:lineRule="auto"/>
        <w:ind w:firstLine="720"/>
        <w:jc w:val="both"/>
        <w:rPr>
          <w:sz w:val="24"/>
          <w:szCs w:val="24"/>
        </w:rPr>
      </w:pPr>
      <w:r w:rsidRPr="00A61061">
        <w:rPr>
          <w:sz w:val="24"/>
          <w:szCs w:val="24"/>
        </w:rPr>
        <w:t xml:space="preserve">Lewis et al. (2020), con la arquitectura RAG, establecieron que combinar un módulo recuperador con un generador permite anclar las respuestas en una base de conocimiento externa actualizable, generando salidas más específicas, diversas y verídicas que los modelos seq2seq puramente paramétricos. </w:t>
      </w:r>
      <w:proofErr w:type="spellStart"/>
      <w:r w:rsidRPr="00A61061">
        <w:rPr>
          <w:sz w:val="24"/>
          <w:szCs w:val="24"/>
        </w:rPr>
        <w:t>Trichopoulos</w:t>
      </w:r>
      <w:proofErr w:type="spellEnd"/>
      <w:r w:rsidRPr="00A61061">
        <w:rPr>
          <w:sz w:val="24"/>
          <w:szCs w:val="24"/>
        </w:rPr>
        <w:t xml:space="preserve"> et al. (2023), con MAGICAL, demostraron la viabilidad de agentes conversacionales en dominios patrimoniales cuando se les provee documentación institucional estructurada, advirtiendo a la vez sobre la tendencia a la alucinación que motiva precisamente la adopción de RAG en el agente educativo propuesto.</w:t>
      </w:r>
    </w:p>
    <w:p w:rsidR="00A61061" w:rsidRPr="00A61061" w:rsidRDefault="00A61061" w:rsidP="00A61061">
      <w:pPr>
        <w:spacing w:line="480" w:lineRule="auto"/>
        <w:ind w:firstLine="720"/>
        <w:jc w:val="both"/>
        <w:rPr>
          <w:sz w:val="24"/>
          <w:szCs w:val="24"/>
        </w:rPr>
      </w:pPr>
      <w:r w:rsidRPr="00A61061">
        <w:rPr>
          <w:sz w:val="24"/>
          <w:szCs w:val="24"/>
        </w:rPr>
        <w:t>Estos marcos y principios teóricos, junto con los Principios CARE (Carroll et al., 2020), aseguran que el sistema cumpla no solo con los requisitos técnicos de detección y respuesta automatizada, sino también con criterios de adecuación cultural y soberanía simbólica, mitigando los riesgos de homogeneización algorítmica detectados en la literatura.</w:t>
      </w:r>
    </w:p>
    <w:p w:rsidR="00A61061" w:rsidRPr="00974144" w:rsidRDefault="00A61061" w:rsidP="00974144">
      <w:pPr>
        <w:pStyle w:val="Ttulo3"/>
        <w:spacing w:after="240" w:line="276" w:lineRule="auto"/>
        <w:ind w:left="1440"/>
        <w:rPr>
          <w:b/>
          <w:bCs/>
          <w:color w:val="000000" w:themeColor="text1"/>
        </w:rPr>
      </w:pPr>
      <w:bookmarkStart w:id="17" w:name="_Toc228308155"/>
      <w:r w:rsidRPr="00974144">
        <w:rPr>
          <w:b/>
          <w:bCs/>
          <w:color w:val="000000" w:themeColor="text1"/>
        </w:rPr>
        <w:t>Cómo del objetivo general</w:t>
      </w:r>
      <w:bookmarkEnd w:id="17"/>
    </w:p>
    <w:p w:rsidR="00A61061" w:rsidRPr="00A61061" w:rsidRDefault="00A61061" w:rsidP="00A61061">
      <w:pPr>
        <w:spacing w:line="480" w:lineRule="auto"/>
        <w:ind w:firstLine="720"/>
        <w:jc w:val="both"/>
        <w:rPr>
          <w:sz w:val="24"/>
          <w:szCs w:val="24"/>
        </w:rPr>
      </w:pPr>
      <w:r w:rsidRPr="00A61061">
        <w:rPr>
          <w:sz w:val="24"/>
          <w:szCs w:val="24"/>
        </w:rPr>
        <w:t xml:space="preserve">La fundamentación teórica para proponer un sistema de inteligencia artificial para la detección de falsa atribución del PCI boliviano se basa en los principios del PLN multilingüe </w:t>
      </w:r>
      <w:r w:rsidRPr="00A61061">
        <w:rPr>
          <w:sz w:val="24"/>
          <w:szCs w:val="24"/>
        </w:rPr>
        <w:lastRenderedPageBreak/>
        <w:t xml:space="preserve">(BETO, XLM-RoBERTa, </w:t>
      </w:r>
      <w:proofErr w:type="spellStart"/>
      <w:r w:rsidRPr="00A61061">
        <w:rPr>
          <w:sz w:val="24"/>
          <w:szCs w:val="24"/>
        </w:rPr>
        <w:t>mmBERT</w:t>
      </w:r>
      <w:proofErr w:type="spellEnd"/>
      <w:r w:rsidRPr="00A61061">
        <w:rPr>
          <w:sz w:val="24"/>
          <w:szCs w:val="24"/>
        </w:rPr>
        <w:t>), la arquitectura RAG, los métodos computacionales de detección de desinformación, la soberanía cultural digital y los Principios CARE de gobernanza de datos indígenas. Estos núcleos teóricos —desde el objeto de estudio y el campo de acción declarados— garantizarán un marco integral y sostenible para construir un sistema que detecte, caracterice y contribuya a corregir las atribuciones erróneas del patrimonio cultural inmaterial boliviano en el espacio digital, respetando los derechos colectivos de las comunidades portadoras.</w:t>
      </w:r>
    </w:p>
    <w:p w:rsidR="00A61061" w:rsidRPr="00974144" w:rsidRDefault="00A61061" w:rsidP="00974144">
      <w:pPr>
        <w:pStyle w:val="Ttulo2"/>
        <w:spacing w:after="240" w:line="276" w:lineRule="auto"/>
        <w:ind w:left="720"/>
        <w:rPr>
          <w:b/>
          <w:bCs/>
          <w:color w:val="000000" w:themeColor="text1"/>
        </w:rPr>
      </w:pPr>
      <w:bookmarkStart w:id="18" w:name="_Toc228308156"/>
      <w:r w:rsidRPr="00974144">
        <w:rPr>
          <w:b/>
          <w:bCs/>
          <w:color w:val="000000" w:themeColor="text1"/>
        </w:rPr>
        <w:t>Índice tentativo para el desarrollo del marco teórico</w:t>
      </w:r>
      <w:bookmarkEnd w:id="18"/>
    </w:p>
    <w:p w:rsidR="00A61061" w:rsidRPr="00A61061" w:rsidRDefault="00A61061" w:rsidP="00657890">
      <w:pPr>
        <w:spacing w:line="480" w:lineRule="auto"/>
        <w:jc w:val="both"/>
        <w:rPr>
          <w:sz w:val="24"/>
          <w:szCs w:val="24"/>
        </w:rPr>
      </w:pPr>
      <w:r w:rsidRPr="00A61061">
        <w:rPr>
          <w:sz w:val="24"/>
          <w:szCs w:val="24"/>
        </w:rPr>
        <w:t>1.1. Breve esbozo del estado del arte sobre detección de falsa atribución cultural mediante NLP</w:t>
      </w:r>
    </w:p>
    <w:p w:rsidR="00A61061" w:rsidRPr="00A61061" w:rsidRDefault="00A61061" w:rsidP="00657890">
      <w:pPr>
        <w:spacing w:line="480" w:lineRule="auto"/>
        <w:jc w:val="both"/>
        <w:rPr>
          <w:sz w:val="24"/>
          <w:szCs w:val="24"/>
        </w:rPr>
      </w:pPr>
      <w:r w:rsidRPr="00A61061">
        <w:rPr>
          <w:sz w:val="24"/>
          <w:szCs w:val="24"/>
        </w:rPr>
        <w:t>1.2. Fundamentos teóricos del Procesamiento de Lenguaje Natural multilingüe</w:t>
      </w:r>
    </w:p>
    <w:p w:rsidR="00A61061" w:rsidRPr="00A61061" w:rsidRDefault="00A61061" w:rsidP="00A61061">
      <w:pPr>
        <w:spacing w:line="480" w:lineRule="auto"/>
        <w:ind w:firstLine="720"/>
        <w:jc w:val="both"/>
        <w:rPr>
          <w:sz w:val="24"/>
          <w:szCs w:val="24"/>
        </w:rPr>
      </w:pPr>
      <w:r w:rsidRPr="00A61061">
        <w:rPr>
          <w:sz w:val="24"/>
          <w:szCs w:val="24"/>
        </w:rPr>
        <w:t xml:space="preserve">1.2.1. Arquitectura </w:t>
      </w:r>
      <w:proofErr w:type="spellStart"/>
      <w:r w:rsidRPr="00A61061">
        <w:rPr>
          <w:sz w:val="24"/>
          <w:szCs w:val="24"/>
        </w:rPr>
        <w:t>Transformer</w:t>
      </w:r>
      <w:proofErr w:type="spellEnd"/>
      <w:r w:rsidRPr="00A61061">
        <w:rPr>
          <w:sz w:val="24"/>
          <w:szCs w:val="24"/>
        </w:rPr>
        <w:t xml:space="preserve"> y modelos de lenguaje </w:t>
      </w:r>
      <w:proofErr w:type="spellStart"/>
      <w:r w:rsidRPr="00A61061">
        <w:rPr>
          <w:sz w:val="24"/>
          <w:szCs w:val="24"/>
        </w:rPr>
        <w:t>preentrenados</w:t>
      </w:r>
      <w:proofErr w:type="spellEnd"/>
    </w:p>
    <w:p w:rsidR="00A61061" w:rsidRPr="00A61061" w:rsidRDefault="00A61061" w:rsidP="00A61061">
      <w:pPr>
        <w:spacing w:line="480" w:lineRule="auto"/>
        <w:ind w:firstLine="720"/>
        <w:jc w:val="both"/>
        <w:rPr>
          <w:sz w:val="24"/>
          <w:szCs w:val="24"/>
        </w:rPr>
      </w:pPr>
      <w:r w:rsidRPr="00A61061">
        <w:rPr>
          <w:sz w:val="24"/>
          <w:szCs w:val="24"/>
        </w:rPr>
        <w:t>1.2.2. BERT y sus extensiones para clasificación textual</w:t>
      </w:r>
    </w:p>
    <w:p w:rsidR="00A61061" w:rsidRPr="00A61061" w:rsidRDefault="00A61061" w:rsidP="00A61061">
      <w:pPr>
        <w:spacing w:line="480" w:lineRule="auto"/>
        <w:ind w:firstLine="720"/>
        <w:jc w:val="both"/>
        <w:rPr>
          <w:sz w:val="24"/>
          <w:szCs w:val="24"/>
        </w:rPr>
      </w:pPr>
      <w:r w:rsidRPr="00A61061">
        <w:rPr>
          <w:sz w:val="24"/>
          <w:szCs w:val="24"/>
        </w:rPr>
        <w:t xml:space="preserve">1.2.3. XLM-RoBERTa y la transferencia </w:t>
      </w:r>
      <w:proofErr w:type="spellStart"/>
      <w:r w:rsidRPr="00A61061">
        <w:rPr>
          <w:sz w:val="24"/>
          <w:szCs w:val="24"/>
        </w:rPr>
        <w:t>cross</w:t>
      </w:r>
      <w:proofErr w:type="spellEnd"/>
      <w:r w:rsidRPr="00A61061">
        <w:rPr>
          <w:sz w:val="24"/>
          <w:szCs w:val="24"/>
        </w:rPr>
        <w:t>-lingual sin datos paralelos</w:t>
      </w:r>
    </w:p>
    <w:p w:rsidR="00A61061" w:rsidRPr="00A61061" w:rsidRDefault="00A61061" w:rsidP="00A61061">
      <w:pPr>
        <w:spacing w:line="480" w:lineRule="auto"/>
        <w:ind w:firstLine="720"/>
        <w:jc w:val="both"/>
        <w:rPr>
          <w:sz w:val="24"/>
          <w:szCs w:val="24"/>
        </w:rPr>
      </w:pPr>
      <w:r w:rsidRPr="00A61061">
        <w:rPr>
          <w:sz w:val="24"/>
          <w:szCs w:val="24"/>
        </w:rPr>
        <w:t xml:space="preserve">1.2.4. </w:t>
      </w:r>
      <w:proofErr w:type="spellStart"/>
      <w:r w:rsidRPr="00A61061">
        <w:rPr>
          <w:sz w:val="24"/>
          <w:szCs w:val="24"/>
        </w:rPr>
        <w:t>mmBERT</w:t>
      </w:r>
      <w:proofErr w:type="spellEnd"/>
      <w:r w:rsidRPr="00A61061">
        <w:rPr>
          <w:sz w:val="24"/>
          <w:szCs w:val="24"/>
        </w:rPr>
        <w:t xml:space="preserve"> y los </w:t>
      </w:r>
      <w:proofErr w:type="spellStart"/>
      <w:r w:rsidRPr="00A61061">
        <w:rPr>
          <w:sz w:val="24"/>
          <w:szCs w:val="24"/>
        </w:rPr>
        <w:t>encoders</w:t>
      </w:r>
      <w:proofErr w:type="spellEnd"/>
      <w:r w:rsidRPr="00A61061">
        <w:rPr>
          <w:sz w:val="24"/>
          <w:szCs w:val="24"/>
        </w:rPr>
        <w:t xml:space="preserve"> multilingües modernos</w:t>
      </w:r>
    </w:p>
    <w:p w:rsidR="00A61061" w:rsidRPr="00A61061" w:rsidRDefault="00A61061" w:rsidP="00A61061">
      <w:pPr>
        <w:spacing w:line="480" w:lineRule="auto"/>
        <w:ind w:firstLine="720"/>
        <w:jc w:val="both"/>
        <w:rPr>
          <w:sz w:val="24"/>
          <w:szCs w:val="24"/>
        </w:rPr>
      </w:pPr>
      <w:r w:rsidRPr="00A61061">
        <w:rPr>
          <w:sz w:val="24"/>
          <w:szCs w:val="24"/>
        </w:rPr>
        <w:t xml:space="preserve">1.2.5. BETO y los modelos </w:t>
      </w:r>
      <w:proofErr w:type="spellStart"/>
      <w:r w:rsidRPr="00A61061">
        <w:rPr>
          <w:sz w:val="24"/>
          <w:szCs w:val="24"/>
        </w:rPr>
        <w:t>preentrenados</w:t>
      </w:r>
      <w:proofErr w:type="spellEnd"/>
      <w:r w:rsidRPr="00A61061">
        <w:rPr>
          <w:sz w:val="24"/>
          <w:szCs w:val="24"/>
        </w:rPr>
        <w:t xml:space="preserve"> en español</w:t>
      </w:r>
    </w:p>
    <w:p w:rsidR="00A61061" w:rsidRPr="00A61061" w:rsidRDefault="00A61061" w:rsidP="00657890">
      <w:pPr>
        <w:spacing w:line="480" w:lineRule="auto"/>
        <w:jc w:val="both"/>
        <w:rPr>
          <w:sz w:val="24"/>
          <w:szCs w:val="24"/>
        </w:rPr>
      </w:pPr>
      <w:r w:rsidRPr="00A61061">
        <w:rPr>
          <w:sz w:val="24"/>
          <w:szCs w:val="24"/>
        </w:rPr>
        <w:t>1.3. Detección computacional de desinformación y atribución incorrecta en medios digitales</w:t>
      </w:r>
    </w:p>
    <w:p w:rsidR="00A61061" w:rsidRPr="00A61061" w:rsidRDefault="00A61061" w:rsidP="00A61061">
      <w:pPr>
        <w:spacing w:line="480" w:lineRule="auto"/>
        <w:ind w:firstLine="720"/>
        <w:jc w:val="both"/>
        <w:rPr>
          <w:sz w:val="24"/>
          <w:szCs w:val="24"/>
        </w:rPr>
      </w:pPr>
      <w:r w:rsidRPr="00A61061">
        <w:rPr>
          <w:sz w:val="24"/>
          <w:szCs w:val="24"/>
        </w:rPr>
        <w:t>1.3.1. Detección de rumores y noticias falsas</w:t>
      </w:r>
    </w:p>
    <w:p w:rsidR="00A61061" w:rsidRPr="00A61061" w:rsidRDefault="00A61061" w:rsidP="00A61061">
      <w:pPr>
        <w:spacing w:line="480" w:lineRule="auto"/>
        <w:ind w:firstLine="720"/>
        <w:jc w:val="both"/>
        <w:rPr>
          <w:sz w:val="24"/>
          <w:szCs w:val="24"/>
        </w:rPr>
      </w:pPr>
      <w:r w:rsidRPr="00A61061">
        <w:rPr>
          <w:sz w:val="24"/>
          <w:szCs w:val="24"/>
        </w:rPr>
        <w:t>1.3.2. Estrategias de clasificación supervisada con clases desequilibradas</w:t>
      </w:r>
    </w:p>
    <w:p w:rsidR="00A61061" w:rsidRPr="00A61061" w:rsidRDefault="00A61061" w:rsidP="00A61061">
      <w:pPr>
        <w:spacing w:line="480" w:lineRule="auto"/>
        <w:ind w:firstLine="720"/>
        <w:jc w:val="both"/>
        <w:rPr>
          <w:sz w:val="24"/>
          <w:szCs w:val="24"/>
        </w:rPr>
      </w:pPr>
      <w:r w:rsidRPr="00A61061">
        <w:rPr>
          <w:sz w:val="24"/>
          <w:szCs w:val="24"/>
        </w:rPr>
        <w:t>1.3.3. Aumentación sintética y anotación híbrida en corpus de bajos recursos</w:t>
      </w:r>
    </w:p>
    <w:p w:rsidR="00A61061" w:rsidRPr="00A61061" w:rsidRDefault="00A61061" w:rsidP="00A61061">
      <w:pPr>
        <w:spacing w:line="480" w:lineRule="auto"/>
        <w:ind w:firstLine="720"/>
        <w:jc w:val="both"/>
        <w:rPr>
          <w:sz w:val="24"/>
          <w:szCs w:val="24"/>
        </w:rPr>
      </w:pPr>
      <w:r w:rsidRPr="00A61061">
        <w:rPr>
          <w:sz w:val="24"/>
          <w:szCs w:val="24"/>
        </w:rPr>
        <w:t>1.3.4. Generalización de clasificadores entre dominios y lenguas</w:t>
      </w:r>
    </w:p>
    <w:p w:rsidR="00A61061" w:rsidRPr="00A61061" w:rsidRDefault="00A61061" w:rsidP="00657890">
      <w:pPr>
        <w:spacing w:line="480" w:lineRule="auto"/>
        <w:jc w:val="both"/>
        <w:rPr>
          <w:sz w:val="24"/>
          <w:szCs w:val="24"/>
        </w:rPr>
      </w:pPr>
      <w:r w:rsidRPr="00A61061">
        <w:rPr>
          <w:sz w:val="24"/>
          <w:szCs w:val="24"/>
        </w:rPr>
        <w:t>1.4. Patrimonio cultural inmaterial y soberanía cultural digital</w:t>
      </w:r>
    </w:p>
    <w:p w:rsidR="00A61061" w:rsidRPr="00A61061" w:rsidRDefault="00A61061" w:rsidP="00A61061">
      <w:pPr>
        <w:spacing w:line="480" w:lineRule="auto"/>
        <w:ind w:firstLine="720"/>
        <w:jc w:val="both"/>
        <w:rPr>
          <w:sz w:val="24"/>
          <w:szCs w:val="24"/>
        </w:rPr>
      </w:pPr>
      <w:r w:rsidRPr="00A61061">
        <w:rPr>
          <w:sz w:val="24"/>
          <w:szCs w:val="24"/>
        </w:rPr>
        <w:t>1.4.1. Convención UNESCO para la Salvaguardia del PCI</w:t>
      </w:r>
    </w:p>
    <w:p w:rsidR="00A61061" w:rsidRPr="00A61061" w:rsidRDefault="00A61061" w:rsidP="00A61061">
      <w:pPr>
        <w:spacing w:line="480" w:lineRule="auto"/>
        <w:ind w:firstLine="720"/>
        <w:jc w:val="both"/>
        <w:rPr>
          <w:sz w:val="24"/>
          <w:szCs w:val="24"/>
        </w:rPr>
      </w:pPr>
      <w:r w:rsidRPr="00A61061">
        <w:rPr>
          <w:sz w:val="24"/>
          <w:szCs w:val="24"/>
        </w:rPr>
        <w:t>1.4.2. PCI boliviano: Carnaval de Oruro,</w:t>
      </w:r>
      <w:r w:rsidR="00657890">
        <w:rPr>
          <w:sz w:val="24"/>
          <w:szCs w:val="24"/>
        </w:rPr>
        <w:t xml:space="preserve"> Diablada,</w:t>
      </w:r>
      <w:r w:rsidRPr="00A61061">
        <w:rPr>
          <w:sz w:val="24"/>
          <w:szCs w:val="24"/>
        </w:rPr>
        <w:t xml:space="preserve"> Morenada, Tinku, Caporales, charango y otras expresiones</w:t>
      </w:r>
    </w:p>
    <w:p w:rsidR="00A61061" w:rsidRPr="00A61061" w:rsidRDefault="00A61061" w:rsidP="00A61061">
      <w:pPr>
        <w:spacing w:line="480" w:lineRule="auto"/>
        <w:ind w:firstLine="720"/>
        <w:jc w:val="both"/>
        <w:rPr>
          <w:sz w:val="24"/>
          <w:szCs w:val="24"/>
        </w:rPr>
      </w:pPr>
      <w:r w:rsidRPr="00A61061">
        <w:rPr>
          <w:sz w:val="24"/>
          <w:szCs w:val="24"/>
        </w:rPr>
        <w:lastRenderedPageBreak/>
        <w:t>1.4.3. Apropiación cultural y omisión del origen en medios digitales</w:t>
      </w:r>
    </w:p>
    <w:p w:rsidR="00A61061" w:rsidRPr="00A61061" w:rsidRDefault="00A61061" w:rsidP="00A61061">
      <w:pPr>
        <w:spacing w:line="480" w:lineRule="auto"/>
        <w:ind w:firstLine="720"/>
        <w:jc w:val="both"/>
        <w:rPr>
          <w:sz w:val="24"/>
          <w:szCs w:val="24"/>
        </w:rPr>
      </w:pPr>
      <w:r w:rsidRPr="00A61061">
        <w:rPr>
          <w:sz w:val="24"/>
          <w:szCs w:val="24"/>
        </w:rPr>
        <w:t>1.4.4. Política nacional de soberanía cultural digital de Bolivia</w:t>
      </w:r>
    </w:p>
    <w:p w:rsidR="00A61061" w:rsidRPr="00A61061" w:rsidRDefault="00A61061" w:rsidP="00A61061">
      <w:pPr>
        <w:spacing w:line="480" w:lineRule="auto"/>
        <w:ind w:firstLine="720"/>
        <w:jc w:val="both"/>
        <w:rPr>
          <w:sz w:val="24"/>
          <w:szCs w:val="24"/>
        </w:rPr>
      </w:pPr>
      <w:r w:rsidRPr="00A61061">
        <w:rPr>
          <w:sz w:val="24"/>
          <w:szCs w:val="24"/>
        </w:rPr>
        <w:t>1.4.5. Tratado OMPI sobre conocimientos tradicionales</w:t>
      </w:r>
    </w:p>
    <w:p w:rsidR="00A61061" w:rsidRPr="00A61061" w:rsidRDefault="00A61061" w:rsidP="00657890">
      <w:pPr>
        <w:spacing w:line="480" w:lineRule="auto"/>
        <w:jc w:val="both"/>
        <w:rPr>
          <w:sz w:val="24"/>
          <w:szCs w:val="24"/>
        </w:rPr>
      </w:pPr>
      <w:r w:rsidRPr="00A61061">
        <w:rPr>
          <w:sz w:val="24"/>
          <w:szCs w:val="24"/>
        </w:rPr>
        <w:t>1.5. Recuperación Aumentada por Generación (RAG) y agentes conversacionales</w:t>
      </w:r>
    </w:p>
    <w:p w:rsidR="00A61061" w:rsidRPr="00A61061" w:rsidRDefault="00A61061" w:rsidP="00A61061">
      <w:pPr>
        <w:spacing w:line="480" w:lineRule="auto"/>
        <w:ind w:firstLine="720"/>
        <w:jc w:val="both"/>
        <w:rPr>
          <w:sz w:val="24"/>
          <w:szCs w:val="24"/>
        </w:rPr>
      </w:pPr>
      <w:r w:rsidRPr="00A61061">
        <w:rPr>
          <w:sz w:val="24"/>
          <w:szCs w:val="24"/>
        </w:rPr>
        <w:t>1.5.1. Fundamentos teóricos de RAG (recuperador + generador)</w:t>
      </w:r>
    </w:p>
    <w:p w:rsidR="00A61061" w:rsidRPr="00A61061" w:rsidRDefault="00A61061" w:rsidP="00A61061">
      <w:pPr>
        <w:spacing w:line="480" w:lineRule="auto"/>
        <w:ind w:firstLine="720"/>
        <w:jc w:val="both"/>
        <w:rPr>
          <w:sz w:val="24"/>
          <w:szCs w:val="24"/>
        </w:rPr>
      </w:pPr>
      <w:r w:rsidRPr="00A61061">
        <w:rPr>
          <w:sz w:val="24"/>
          <w:szCs w:val="24"/>
        </w:rPr>
        <w:t xml:space="preserve">1.5.2. Bases de conocimiento autoritativas y </w:t>
      </w:r>
      <w:proofErr w:type="spellStart"/>
      <w:r w:rsidRPr="00A61061">
        <w:rPr>
          <w:sz w:val="24"/>
          <w:szCs w:val="24"/>
        </w:rPr>
        <w:t>embeddings</w:t>
      </w:r>
      <w:proofErr w:type="spellEnd"/>
      <w:r w:rsidRPr="00A61061">
        <w:rPr>
          <w:sz w:val="24"/>
          <w:szCs w:val="24"/>
        </w:rPr>
        <w:t xml:space="preserve"> semánticos</w:t>
      </w:r>
    </w:p>
    <w:p w:rsidR="00A61061" w:rsidRPr="00A61061" w:rsidRDefault="00A61061" w:rsidP="00A61061">
      <w:pPr>
        <w:spacing w:line="480" w:lineRule="auto"/>
        <w:ind w:firstLine="720"/>
        <w:jc w:val="both"/>
        <w:rPr>
          <w:sz w:val="24"/>
          <w:szCs w:val="24"/>
        </w:rPr>
      </w:pPr>
      <w:r w:rsidRPr="00A61061">
        <w:rPr>
          <w:sz w:val="24"/>
          <w:szCs w:val="24"/>
        </w:rPr>
        <w:t>1.5.3. Agentes conversacionales aplicados al patrimonio cultural</w:t>
      </w:r>
    </w:p>
    <w:p w:rsidR="00A61061" w:rsidRPr="00A61061" w:rsidRDefault="00A61061" w:rsidP="00A61061">
      <w:pPr>
        <w:spacing w:line="480" w:lineRule="auto"/>
        <w:ind w:firstLine="720"/>
        <w:jc w:val="both"/>
        <w:rPr>
          <w:sz w:val="24"/>
          <w:szCs w:val="24"/>
        </w:rPr>
      </w:pPr>
      <w:r w:rsidRPr="00A61061">
        <w:rPr>
          <w:sz w:val="24"/>
          <w:szCs w:val="24"/>
        </w:rPr>
        <w:t>1.5.4. Mitigación de alucinaciones mediante anclaje documental</w:t>
      </w:r>
    </w:p>
    <w:p w:rsidR="00A61061" w:rsidRPr="00A61061" w:rsidRDefault="00A61061" w:rsidP="00657890">
      <w:pPr>
        <w:spacing w:line="480" w:lineRule="auto"/>
        <w:jc w:val="both"/>
        <w:rPr>
          <w:sz w:val="24"/>
          <w:szCs w:val="24"/>
        </w:rPr>
      </w:pPr>
      <w:r w:rsidRPr="00A61061">
        <w:rPr>
          <w:sz w:val="24"/>
          <w:szCs w:val="24"/>
        </w:rPr>
        <w:t>1.7. Ética de la inteligencia artificial aplicada al patrimonio cultural</w:t>
      </w:r>
    </w:p>
    <w:p w:rsidR="00A61061" w:rsidRPr="00A61061" w:rsidRDefault="00A61061" w:rsidP="00A61061">
      <w:pPr>
        <w:spacing w:line="480" w:lineRule="auto"/>
        <w:ind w:firstLine="720"/>
        <w:jc w:val="both"/>
        <w:rPr>
          <w:sz w:val="24"/>
          <w:szCs w:val="24"/>
        </w:rPr>
      </w:pPr>
      <w:r w:rsidRPr="00A61061">
        <w:rPr>
          <w:sz w:val="24"/>
          <w:szCs w:val="24"/>
        </w:rPr>
        <w:t>1.7.1. Principios CARE de gobernanza de datos indígenas</w:t>
      </w:r>
    </w:p>
    <w:p w:rsidR="00A61061" w:rsidRPr="00A61061" w:rsidRDefault="00A61061" w:rsidP="00A61061">
      <w:pPr>
        <w:spacing w:line="480" w:lineRule="auto"/>
        <w:ind w:firstLine="720"/>
        <w:jc w:val="both"/>
        <w:rPr>
          <w:sz w:val="24"/>
          <w:szCs w:val="24"/>
        </w:rPr>
      </w:pPr>
      <w:r w:rsidRPr="00A61061">
        <w:rPr>
          <w:sz w:val="24"/>
          <w:szCs w:val="24"/>
        </w:rPr>
        <w:t>1.7.2. Homogeneización algorítmica y sesgos en clasificadores</w:t>
      </w:r>
    </w:p>
    <w:p w:rsidR="00A61061" w:rsidRPr="00A61061" w:rsidRDefault="00A61061" w:rsidP="00A61061">
      <w:pPr>
        <w:spacing w:line="480" w:lineRule="auto"/>
        <w:ind w:firstLine="720"/>
        <w:jc w:val="both"/>
        <w:rPr>
          <w:sz w:val="24"/>
          <w:szCs w:val="24"/>
        </w:rPr>
      </w:pPr>
      <w:r w:rsidRPr="00A61061">
        <w:rPr>
          <w:sz w:val="24"/>
          <w:szCs w:val="24"/>
        </w:rPr>
        <w:t>1.7.3. Consentimiento, atribución comunitaria y representación</w:t>
      </w:r>
    </w:p>
    <w:p w:rsidR="00A61061" w:rsidRPr="00A61061" w:rsidRDefault="00A61061" w:rsidP="00657890">
      <w:pPr>
        <w:spacing w:line="480" w:lineRule="auto"/>
        <w:jc w:val="both"/>
        <w:rPr>
          <w:sz w:val="24"/>
          <w:szCs w:val="24"/>
        </w:rPr>
      </w:pPr>
      <w:r w:rsidRPr="00A61061">
        <w:rPr>
          <w:sz w:val="24"/>
          <w:szCs w:val="24"/>
        </w:rPr>
        <w:t>1.8. Marco normativo y legal aplicable</w:t>
      </w:r>
    </w:p>
    <w:p w:rsidR="00A61061" w:rsidRPr="00A61061" w:rsidRDefault="00A61061" w:rsidP="00A61061">
      <w:pPr>
        <w:spacing w:line="480" w:lineRule="auto"/>
        <w:ind w:firstLine="720"/>
        <w:jc w:val="both"/>
        <w:rPr>
          <w:sz w:val="24"/>
          <w:szCs w:val="24"/>
        </w:rPr>
      </w:pPr>
      <w:r w:rsidRPr="00A61061">
        <w:rPr>
          <w:sz w:val="24"/>
          <w:szCs w:val="24"/>
        </w:rPr>
        <w:t>1.8.1. Normativas internacionales (UNESCO, OMPI, ONU)</w:t>
      </w:r>
    </w:p>
    <w:p w:rsidR="00A61061" w:rsidRPr="00A61061" w:rsidRDefault="00A61061" w:rsidP="00A61061">
      <w:pPr>
        <w:spacing w:line="480" w:lineRule="auto"/>
        <w:ind w:firstLine="720"/>
        <w:jc w:val="both"/>
        <w:rPr>
          <w:sz w:val="24"/>
          <w:szCs w:val="24"/>
        </w:rPr>
      </w:pPr>
      <w:r w:rsidRPr="00A61061">
        <w:rPr>
          <w:sz w:val="24"/>
          <w:szCs w:val="24"/>
        </w:rPr>
        <w:t>1.8.2. Normativas nacionales bolivianas</w:t>
      </w:r>
    </w:p>
    <w:p w:rsidR="00A61061" w:rsidRPr="00A61061" w:rsidRDefault="00A61061" w:rsidP="00A61061">
      <w:pPr>
        <w:spacing w:line="480" w:lineRule="auto"/>
        <w:ind w:firstLine="720"/>
        <w:jc w:val="both"/>
        <w:rPr>
          <w:sz w:val="24"/>
          <w:szCs w:val="24"/>
        </w:rPr>
      </w:pPr>
      <w:r w:rsidRPr="00A61061">
        <w:rPr>
          <w:sz w:val="24"/>
          <w:szCs w:val="24"/>
        </w:rPr>
        <w:t>1.8.3. Vacíos regulatorios en el entorno digital</w:t>
      </w:r>
    </w:p>
    <w:p w:rsidR="00A61061" w:rsidRPr="00A61061" w:rsidRDefault="00A61061" w:rsidP="00657890">
      <w:pPr>
        <w:spacing w:line="480" w:lineRule="auto"/>
        <w:jc w:val="both"/>
        <w:rPr>
          <w:sz w:val="24"/>
          <w:szCs w:val="24"/>
        </w:rPr>
      </w:pPr>
      <w:r w:rsidRPr="00A61061">
        <w:rPr>
          <w:sz w:val="24"/>
          <w:szCs w:val="24"/>
        </w:rPr>
        <w:t>1.9. Implementación de sistemas integrados de detección y respuesta educativa</w:t>
      </w:r>
    </w:p>
    <w:p w:rsidR="00A61061" w:rsidRPr="00A61061" w:rsidRDefault="00A61061" w:rsidP="00A61061">
      <w:pPr>
        <w:spacing w:line="480" w:lineRule="auto"/>
        <w:ind w:firstLine="720"/>
        <w:jc w:val="both"/>
        <w:rPr>
          <w:sz w:val="24"/>
          <w:szCs w:val="24"/>
        </w:rPr>
      </w:pPr>
      <w:r w:rsidRPr="00A61061">
        <w:rPr>
          <w:sz w:val="24"/>
          <w:szCs w:val="24"/>
        </w:rPr>
        <w:t>1.9.1. Evaluación del estado actual del corpus digital sobre PCI boliviano</w:t>
      </w:r>
    </w:p>
    <w:p w:rsidR="00A61061" w:rsidRPr="00A61061" w:rsidRDefault="00A61061" w:rsidP="00A61061">
      <w:pPr>
        <w:spacing w:line="480" w:lineRule="auto"/>
        <w:ind w:firstLine="720"/>
        <w:jc w:val="both"/>
        <w:rPr>
          <w:sz w:val="24"/>
          <w:szCs w:val="24"/>
        </w:rPr>
      </w:pPr>
      <w:r w:rsidRPr="00A61061">
        <w:rPr>
          <w:sz w:val="24"/>
          <w:szCs w:val="24"/>
        </w:rPr>
        <w:t>1.9.2. Identificación de requisitos técnicos, computacionales y éticos</w:t>
      </w:r>
    </w:p>
    <w:p w:rsidR="00A61061" w:rsidRPr="00A61061" w:rsidRDefault="00A61061" w:rsidP="00A61061">
      <w:pPr>
        <w:spacing w:line="480" w:lineRule="auto"/>
        <w:ind w:firstLine="720"/>
        <w:jc w:val="both"/>
        <w:rPr>
          <w:sz w:val="24"/>
          <w:szCs w:val="24"/>
        </w:rPr>
      </w:pPr>
      <w:r w:rsidRPr="00A61061">
        <w:rPr>
          <w:sz w:val="24"/>
          <w:szCs w:val="24"/>
        </w:rPr>
        <w:t>1.9.3. Diseño e integración del clasificador, el mapa y el agente RAG</w:t>
      </w:r>
    </w:p>
    <w:p w:rsidR="00A61061" w:rsidRPr="00A61061" w:rsidRDefault="00A61061" w:rsidP="00657890">
      <w:pPr>
        <w:spacing w:line="480" w:lineRule="auto"/>
        <w:jc w:val="both"/>
        <w:rPr>
          <w:sz w:val="24"/>
          <w:szCs w:val="24"/>
        </w:rPr>
      </w:pPr>
      <w:r w:rsidRPr="00A61061">
        <w:rPr>
          <w:sz w:val="24"/>
          <w:szCs w:val="24"/>
        </w:rPr>
        <w:t>1.10. Evaluación continua y mejora del sistema</w:t>
      </w:r>
    </w:p>
    <w:p w:rsidR="00A61061" w:rsidRPr="00A61061" w:rsidRDefault="00A61061" w:rsidP="00A61061">
      <w:pPr>
        <w:spacing w:line="480" w:lineRule="auto"/>
        <w:ind w:firstLine="720"/>
        <w:jc w:val="both"/>
        <w:rPr>
          <w:sz w:val="24"/>
          <w:szCs w:val="24"/>
        </w:rPr>
      </w:pPr>
      <w:r w:rsidRPr="00A61061">
        <w:rPr>
          <w:sz w:val="24"/>
          <w:szCs w:val="24"/>
        </w:rPr>
        <w:t>1.10.1. Métricas estandarizadas (precisión, exhaustividad, F1, exactitud)</w:t>
      </w:r>
    </w:p>
    <w:p w:rsidR="00A61061" w:rsidRPr="00A61061" w:rsidRDefault="00A61061" w:rsidP="00A61061">
      <w:pPr>
        <w:spacing w:line="480" w:lineRule="auto"/>
        <w:ind w:firstLine="720"/>
        <w:jc w:val="both"/>
        <w:rPr>
          <w:sz w:val="24"/>
          <w:szCs w:val="24"/>
        </w:rPr>
      </w:pPr>
      <w:r w:rsidRPr="00A61061">
        <w:rPr>
          <w:sz w:val="24"/>
          <w:szCs w:val="24"/>
        </w:rPr>
        <w:t xml:space="preserve">1.10.2. Comparación con </w:t>
      </w:r>
      <w:proofErr w:type="spellStart"/>
      <w:r w:rsidRPr="00A61061">
        <w:rPr>
          <w:sz w:val="24"/>
          <w:szCs w:val="24"/>
        </w:rPr>
        <w:t>baselines</w:t>
      </w:r>
      <w:proofErr w:type="spellEnd"/>
      <w:r w:rsidRPr="00A61061">
        <w:rPr>
          <w:sz w:val="24"/>
          <w:szCs w:val="24"/>
        </w:rPr>
        <w:t xml:space="preserve"> de LLM </w:t>
      </w:r>
      <w:proofErr w:type="spellStart"/>
      <w:r w:rsidRPr="00A61061">
        <w:rPr>
          <w:sz w:val="24"/>
          <w:szCs w:val="24"/>
        </w:rPr>
        <w:t>zero-shot</w:t>
      </w:r>
      <w:proofErr w:type="spellEnd"/>
    </w:p>
    <w:p w:rsidR="00A61061" w:rsidRPr="00A61061" w:rsidRDefault="00A61061" w:rsidP="00A61061">
      <w:pPr>
        <w:spacing w:line="480" w:lineRule="auto"/>
        <w:ind w:firstLine="720"/>
        <w:jc w:val="both"/>
        <w:rPr>
          <w:sz w:val="24"/>
          <w:szCs w:val="24"/>
        </w:rPr>
      </w:pPr>
      <w:r w:rsidRPr="00A61061">
        <w:rPr>
          <w:sz w:val="24"/>
          <w:szCs w:val="24"/>
        </w:rPr>
        <w:t>1.10.3. Validación cualitativa por expertos y comunidades portadoras</w:t>
      </w:r>
    </w:p>
    <w:p w:rsidR="007B0BD7" w:rsidRPr="007B0BD7" w:rsidRDefault="007B0BD7" w:rsidP="00E41BC1">
      <w:pPr>
        <w:spacing w:line="480" w:lineRule="auto"/>
        <w:ind w:firstLine="720"/>
        <w:jc w:val="both"/>
        <w:rPr>
          <w:sz w:val="24"/>
          <w:szCs w:val="24"/>
        </w:rPr>
      </w:pPr>
    </w:p>
    <w:p w:rsidR="00E108DE" w:rsidRPr="00BA343B" w:rsidRDefault="00E108DE" w:rsidP="00BA343B">
      <w:pPr>
        <w:pStyle w:val="Ttulo1"/>
        <w:spacing w:after="240" w:line="276" w:lineRule="auto"/>
        <w:jc w:val="center"/>
        <w:rPr>
          <w:b/>
          <w:bCs/>
          <w:color w:val="000000" w:themeColor="text1"/>
          <w:sz w:val="28"/>
          <w:szCs w:val="28"/>
        </w:rPr>
      </w:pPr>
      <w:bookmarkStart w:id="19" w:name="_Toc228308157"/>
      <w:r w:rsidRPr="00BA343B">
        <w:rPr>
          <w:b/>
          <w:bCs/>
          <w:color w:val="000000" w:themeColor="text1"/>
          <w:sz w:val="28"/>
          <w:szCs w:val="28"/>
        </w:rPr>
        <w:lastRenderedPageBreak/>
        <w:t>CAPÍTULO 2. DISEÑO METODOLÓGICO</w:t>
      </w:r>
      <w:bookmarkEnd w:id="19"/>
    </w:p>
    <w:p w:rsidR="00E108DE" w:rsidRPr="00BA343B" w:rsidRDefault="00E108DE" w:rsidP="00BA343B">
      <w:pPr>
        <w:pStyle w:val="Ttulo2"/>
        <w:numPr>
          <w:ilvl w:val="1"/>
          <w:numId w:val="41"/>
        </w:numPr>
        <w:spacing w:after="240" w:line="276" w:lineRule="auto"/>
        <w:rPr>
          <w:b/>
          <w:bCs/>
          <w:color w:val="000000" w:themeColor="text1"/>
        </w:rPr>
      </w:pPr>
      <w:bookmarkStart w:id="20" w:name="_Toc228308158"/>
      <w:r w:rsidRPr="00BA343B">
        <w:rPr>
          <w:b/>
          <w:bCs/>
          <w:color w:val="000000" w:themeColor="text1"/>
        </w:rPr>
        <w:t>Tipo, enfoque y alcance de la investigación</w:t>
      </w:r>
      <w:bookmarkEnd w:id="20"/>
    </w:p>
    <w:p w:rsidR="00E108DE" w:rsidRPr="00E108DE" w:rsidRDefault="00E108DE" w:rsidP="00E108DE">
      <w:pPr>
        <w:spacing w:line="480" w:lineRule="auto"/>
        <w:ind w:firstLine="720"/>
        <w:jc w:val="both"/>
        <w:rPr>
          <w:sz w:val="24"/>
          <w:szCs w:val="24"/>
        </w:rPr>
      </w:pPr>
      <w:r w:rsidRPr="00E108DE">
        <w:rPr>
          <w:sz w:val="24"/>
          <w:szCs w:val="24"/>
        </w:rPr>
        <w:t>El tipo de investigación es propositiva y aplicada de desarrollo tecnológico. El proyecto se desarrollará desde la perspectiva del paradigma positivista, bajo un enfoque cuantitativo, dado que el fenómeno estudiado —la presencia de falsa atribución del patrimonio cultural inmaterial boliviano en textos digitales— es observable, externo al investigador y medible de forma objetiva e independiente. Los textos recolectados se tratan como unidades de análisis discretas, codificadas en etiquetas categóricas (atribución correcta / falsa atribución / sin atribución), y el rendimiento del sistema se evaluará mediante métricas estandarizadas: precisión, exhaustividad, puntuación F1 y exactitud, cuyos valores son verificables y replicables por terceros bajo las mismas condiciones (Hernández-Sampieri et al., 2018).</w:t>
      </w:r>
    </w:p>
    <w:p w:rsidR="00E108DE" w:rsidRPr="00E108DE" w:rsidRDefault="00E108DE" w:rsidP="00E108DE">
      <w:pPr>
        <w:spacing w:line="480" w:lineRule="auto"/>
        <w:ind w:firstLine="720"/>
        <w:jc w:val="both"/>
        <w:rPr>
          <w:sz w:val="24"/>
          <w:szCs w:val="24"/>
        </w:rPr>
      </w:pPr>
      <w:r w:rsidRPr="00E108DE">
        <w:rPr>
          <w:sz w:val="24"/>
          <w:szCs w:val="24"/>
        </w:rPr>
        <w:t>El diseño es no experimental y transeccional descriptivo, ya que los textos se observan en su estado natural de publicación sin manipulación de variables, y el corpus se recolecta en un único corte temporal delimitado al período 2025–2026 con propósito de caracterizar la distribución del fenómeno y evaluar el sistema, sin establecer relaciones causales. En cuanto al tipo, la investigación se clasifica como aplicada de desarrollo tecnológico, combinando una fase empírica —donde se aplican los criterios del diseño transeccional para la construcción y evaluación del corpus y los clasificadores— con una fase de desarrollo de un prototipo clasificador, el agente conversacional y su integración en el sistema final (Hernández-Sampieri et al., 2018).</w:t>
      </w:r>
    </w:p>
    <w:p w:rsidR="00E108DE" w:rsidRPr="00E108DE" w:rsidRDefault="00E108DE" w:rsidP="00E108DE">
      <w:pPr>
        <w:spacing w:line="480" w:lineRule="auto"/>
        <w:ind w:firstLine="720"/>
        <w:jc w:val="both"/>
        <w:rPr>
          <w:sz w:val="24"/>
          <w:szCs w:val="24"/>
        </w:rPr>
      </w:pPr>
      <w:r w:rsidRPr="00E108DE">
        <w:rPr>
          <w:sz w:val="24"/>
          <w:szCs w:val="24"/>
        </w:rPr>
        <w:t>Su alcance se concreta al proceso de detección de atribuciones culturales del patrimonio cultural inmaterial boliviano en textos digitales en español e inglés, publicados en medios digitales de alcance internacional durante el período 2025–2026.</w:t>
      </w:r>
    </w:p>
    <w:p w:rsidR="00E108DE" w:rsidRPr="00BA343B" w:rsidRDefault="00E108DE" w:rsidP="00BA343B">
      <w:pPr>
        <w:pStyle w:val="Ttulo2"/>
        <w:numPr>
          <w:ilvl w:val="1"/>
          <w:numId w:val="41"/>
        </w:numPr>
        <w:spacing w:after="240" w:line="276" w:lineRule="auto"/>
        <w:rPr>
          <w:b/>
          <w:bCs/>
          <w:color w:val="000000" w:themeColor="text1"/>
        </w:rPr>
      </w:pPr>
      <w:bookmarkStart w:id="21" w:name="_Toc228308159"/>
      <w:r w:rsidRPr="00BA343B">
        <w:rPr>
          <w:b/>
          <w:bCs/>
          <w:color w:val="000000" w:themeColor="text1"/>
        </w:rPr>
        <w:t>Delimitación de la investigación</w:t>
      </w:r>
      <w:bookmarkEnd w:id="21"/>
    </w:p>
    <w:p w:rsidR="00E108DE" w:rsidRPr="00E108DE" w:rsidRDefault="00E108DE" w:rsidP="00E108DE">
      <w:pPr>
        <w:spacing w:line="480" w:lineRule="auto"/>
        <w:ind w:firstLine="720"/>
        <w:jc w:val="both"/>
        <w:rPr>
          <w:sz w:val="24"/>
          <w:szCs w:val="24"/>
        </w:rPr>
      </w:pPr>
      <w:r w:rsidRPr="00E108DE">
        <w:rPr>
          <w:b/>
          <w:bCs/>
          <w:sz w:val="24"/>
          <w:szCs w:val="24"/>
        </w:rPr>
        <w:lastRenderedPageBreak/>
        <w:t>Delimitación temática:</w:t>
      </w:r>
      <w:r w:rsidRPr="00E108DE">
        <w:rPr>
          <w:sz w:val="24"/>
          <w:szCs w:val="24"/>
        </w:rPr>
        <w:t> La investigación se delimita en la aplicación de teorías esenciales del procesamiento de lenguaje natural multilingüe, la recuperación aumentada por generación (RAG) y la gobernanza ética de datos culturales. Se tomarán en cuenta los modelos BERT (Devlin et al., 2019), XLM-RoBERTa (</w:t>
      </w:r>
      <w:proofErr w:type="spellStart"/>
      <w:r w:rsidRPr="00E108DE">
        <w:rPr>
          <w:sz w:val="24"/>
          <w:szCs w:val="24"/>
        </w:rPr>
        <w:t>Conneau</w:t>
      </w:r>
      <w:proofErr w:type="spellEnd"/>
      <w:r w:rsidRPr="00E108DE">
        <w:rPr>
          <w:sz w:val="24"/>
          <w:szCs w:val="24"/>
        </w:rPr>
        <w:t xml:space="preserve"> et al., 2020), </w:t>
      </w:r>
      <w:proofErr w:type="spellStart"/>
      <w:r w:rsidRPr="00E108DE">
        <w:rPr>
          <w:sz w:val="24"/>
          <w:szCs w:val="24"/>
        </w:rPr>
        <w:t>mmBERT</w:t>
      </w:r>
      <w:proofErr w:type="spellEnd"/>
      <w:r w:rsidRPr="00E108DE">
        <w:rPr>
          <w:sz w:val="24"/>
          <w:szCs w:val="24"/>
        </w:rPr>
        <w:t xml:space="preserve"> (</w:t>
      </w:r>
      <w:proofErr w:type="spellStart"/>
      <w:r w:rsidRPr="00E108DE">
        <w:rPr>
          <w:sz w:val="24"/>
          <w:szCs w:val="24"/>
        </w:rPr>
        <w:t>Marone</w:t>
      </w:r>
      <w:proofErr w:type="spellEnd"/>
      <w:r w:rsidRPr="00E108DE">
        <w:rPr>
          <w:sz w:val="24"/>
          <w:szCs w:val="24"/>
        </w:rPr>
        <w:t xml:space="preserve"> et al., 2025) y BETO (Cañete et al., 2020) como fundamentos del componente de clasificación; la arquitectura RAG (Lewis et al., 2020) como fundamento del agente conversacional; los Principios CARE (Carroll et al., 2020) como marco ético; y la Convención UNESCO 2003 y el Tratado OMPI 2024 como marco normativo. El estudio abarcará áreas del conocimiento como Sistemas Inteligentes, Procesamiento de Lenguaje Natural, Aprendizaje Supervisado, Minería de Datos y Ontologías aplicadas al patrimonio cultural inmaterial.</w:t>
      </w:r>
    </w:p>
    <w:p w:rsidR="00E108DE" w:rsidRPr="00E108DE" w:rsidRDefault="00E108DE" w:rsidP="00E108DE">
      <w:pPr>
        <w:spacing w:line="480" w:lineRule="auto"/>
        <w:ind w:firstLine="720"/>
        <w:jc w:val="both"/>
        <w:rPr>
          <w:sz w:val="24"/>
          <w:szCs w:val="24"/>
        </w:rPr>
      </w:pPr>
      <w:r w:rsidRPr="00E108DE">
        <w:rPr>
          <w:b/>
          <w:bCs/>
          <w:sz w:val="24"/>
          <w:szCs w:val="24"/>
        </w:rPr>
        <w:t>Delimitación espacial:</w:t>
      </w:r>
      <w:r w:rsidRPr="00E108DE">
        <w:rPr>
          <w:sz w:val="24"/>
          <w:szCs w:val="24"/>
        </w:rPr>
        <w:t xml:space="preserve"> La investigación se circunscribe al análisis de textos digitales sobre el patrimonio cultural inmaterial boliviano (Carnaval de Oruro, Morenada, Tinku, Caporales, Llamerada, Saya, charango, quena, siku, festividad del Gran Poder, entre otras expresiones) publicados en medios digitales de alcance internacional —Wikipedia multilingüe, portales de noticias y plataformas de difusión cultural— accesibles desde Bolivia. La autora desarrolla la investigación desde La Paz, Bolivia, en el marco de la Maestría en Ciencia de Datos e Inteligencia Artificial de la UAGRM </w:t>
      </w:r>
      <w:proofErr w:type="spellStart"/>
      <w:r w:rsidRPr="00E108DE">
        <w:rPr>
          <w:sz w:val="24"/>
          <w:szCs w:val="24"/>
        </w:rPr>
        <w:t>School</w:t>
      </w:r>
      <w:proofErr w:type="spellEnd"/>
      <w:r w:rsidRPr="00E108DE">
        <w:rPr>
          <w:sz w:val="24"/>
          <w:szCs w:val="24"/>
        </w:rPr>
        <w:t xml:space="preserve"> </w:t>
      </w:r>
      <w:proofErr w:type="spellStart"/>
      <w:r w:rsidRPr="00E108DE">
        <w:rPr>
          <w:sz w:val="24"/>
          <w:szCs w:val="24"/>
        </w:rPr>
        <w:t>of</w:t>
      </w:r>
      <w:proofErr w:type="spellEnd"/>
      <w:r w:rsidRPr="00E108DE">
        <w:rPr>
          <w:sz w:val="24"/>
          <w:szCs w:val="24"/>
        </w:rPr>
        <w:t xml:space="preserve"> </w:t>
      </w:r>
      <w:proofErr w:type="spellStart"/>
      <w:r w:rsidRPr="00E108DE">
        <w:rPr>
          <w:sz w:val="24"/>
          <w:szCs w:val="24"/>
        </w:rPr>
        <w:t>Engineering</w:t>
      </w:r>
      <w:proofErr w:type="spellEnd"/>
      <w:r w:rsidRPr="00E108DE">
        <w:rPr>
          <w:sz w:val="24"/>
          <w:szCs w:val="24"/>
        </w:rPr>
        <w:t>.</w:t>
      </w:r>
    </w:p>
    <w:p w:rsidR="00E108DE" w:rsidRPr="00E108DE" w:rsidRDefault="00E108DE" w:rsidP="00E108DE">
      <w:pPr>
        <w:spacing w:line="480" w:lineRule="auto"/>
        <w:ind w:firstLine="720"/>
        <w:jc w:val="both"/>
        <w:rPr>
          <w:sz w:val="24"/>
          <w:szCs w:val="24"/>
        </w:rPr>
      </w:pPr>
      <w:r w:rsidRPr="00E108DE">
        <w:rPr>
          <w:b/>
          <w:bCs/>
          <w:sz w:val="24"/>
          <w:szCs w:val="24"/>
        </w:rPr>
        <w:t>Delimitación temporal:</w:t>
      </w:r>
      <w:r w:rsidRPr="00E108DE">
        <w:rPr>
          <w:sz w:val="24"/>
          <w:szCs w:val="24"/>
        </w:rPr>
        <w:t> Se pretende realizar el trabajo de investigación durante un período estimado entre julio de 2025 y diciembre de 2026, abarcando aproximadamente 18 meses de ejecución. La propuesta de sistema sería vigente de forma indefinida, siempre que se cumplan los parámetros y requerimientos de actualización del corpus etiquetado y de la base de conocimiento RAG cada dos años como máximo, lo que le otorga validez bajo las condiciones de evolución de los modelos NLP y de los marcos normativos sobre soberanía cultural digital.</w:t>
      </w:r>
    </w:p>
    <w:p w:rsidR="00E108DE" w:rsidRPr="00BA343B" w:rsidRDefault="00E108DE" w:rsidP="00CE56D2">
      <w:pPr>
        <w:pStyle w:val="Ttulo2"/>
        <w:numPr>
          <w:ilvl w:val="1"/>
          <w:numId w:val="41"/>
        </w:numPr>
        <w:spacing w:after="240" w:line="276" w:lineRule="auto"/>
        <w:rPr>
          <w:b/>
          <w:bCs/>
          <w:color w:val="000000" w:themeColor="text1"/>
        </w:rPr>
      </w:pPr>
      <w:bookmarkStart w:id="22" w:name="_Toc228308160"/>
      <w:r w:rsidRPr="00BA343B">
        <w:rPr>
          <w:b/>
          <w:bCs/>
          <w:color w:val="000000" w:themeColor="text1"/>
        </w:rPr>
        <w:lastRenderedPageBreak/>
        <w:t>Definición conceptual de las variables</w:t>
      </w:r>
      <w:bookmarkEnd w:id="22"/>
    </w:p>
    <w:p w:rsidR="00E108DE" w:rsidRPr="00E108DE" w:rsidRDefault="00E108DE" w:rsidP="00E108DE">
      <w:pPr>
        <w:spacing w:line="480" w:lineRule="auto"/>
        <w:ind w:firstLine="720"/>
        <w:jc w:val="both"/>
        <w:rPr>
          <w:sz w:val="24"/>
          <w:szCs w:val="24"/>
        </w:rPr>
      </w:pPr>
      <w:r w:rsidRPr="00E108DE">
        <w:rPr>
          <w:sz w:val="24"/>
          <w:szCs w:val="24"/>
        </w:rPr>
        <w:t>El </w:t>
      </w:r>
      <w:r w:rsidRPr="00E108DE">
        <w:rPr>
          <w:b/>
          <w:bCs/>
          <w:sz w:val="24"/>
          <w:szCs w:val="24"/>
        </w:rPr>
        <w:t>"sistema de inteligencia artificial para la detección de falsa atribución del PCI boliviano"</w:t>
      </w:r>
      <w:r w:rsidRPr="00E108DE">
        <w:rPr>
          <w:sz w:val="24"/>
          <w:szCs w:val="24"/>
        </w:rPr>
        <w:t xml:space="preserve"> se define conceptualmente como un conjunto integrado de modelos computacionales, bases de conocimiento y procedimientos diseñados para identificar, caracterizar y responder educativamente a atribuciones culturales erróneas en textos digitales, asegurando la trazabilidad, replicabilidad y adecuación cultural del proceso. Según Lewis et al. (2020), un sistema basado en la arquitectura de Recuperación Aumentada por Generación (RAG) combina un módulo recuperador de documentos con un módulo generador de lenguaje, lo que permite que las respuestas del sistema estén ancladas en una base de conocimiento externa verificable en lugar de depender exclusivamente de la memoria paramétrica del modelo. Por otro lado, </w:t>
      </w:r>
      <w:proofErr w:type="spellStart"/>
      <w:r w:rsidRPr="00E108DE">
        <w:rPr>
          <w:sz w:val="24"/>
          <w:szCs w:val="24"/>
        </w:rPr>
        <w:t>Conneau</w:t>
      </w:r>
      <w:proofErr w:type="spellEnd"/>
      <w:r w:rsidRPr="00E108DE">
        <w:rPr>
          <w:sz w:val="24"/>
          <w:szCs w:val="24"/>
        </w:rPr>
        <w:t xml:space="preserve"> et al. (2020) y </w:t>
      </w:r>
      <w:proofErr w:type="spellStart"/>
      <w:r w:rsidRPr="00E108DE">
        <w:rPr>
          <w:sz w:val="24"/>
          <w:szCs w:val="24"/>
        </w:rPr>
        <w:t>Marone</w:t>
      </w:r>
      <w:proofErr w:type="spellEnd"/>
      <w:r w:rsidRPr="00E108DE">
        <w:rPr>
          <w:sz w:val="24"/>
          <w:szCs w:val="24"/>
        </w:rPr>
        <w:t xml:space="preserve"> et al. (2025) enfatizan que un clasificador multilingüe basado en </w:t>
      </w:r>
      <w:proofErr w:type="spellStart"/>
      <w:r w:rsidRPr="00E108DE">
        <w:rPr>
          <w:sz w:val="24"/>
          <w:szCs w:val="24"/>
        </w:rPr>
        <w:t>encoders</w:t>
      </w:r>
      <w:proofErr w:type="spellEnd"/>
      <w:r w:rsidRPr="00E108DE">
        <w:rPr>
          <w:sz w:val="24"/>
          <w:szCs w:val="24"/>
        </w:rPr>
        <w:t xml:space="preserve"> </w:t>
      </w:r>
      <w:proofErr w:type="spellStart"/>
      <w:r w:rsidRPr="00E108DE">
        <w:rPr>
          <w:sz w:val="24"/>
          <w:szCs w:val="24"/>
        </w:rPr>
        <w:t>Transformer</w:t>
      </w:r>
      <w:proofErr w:type="spellEnd"/>
      <w:r w:rsidRPr="00E108DE">
        <w:rPr>
          <w:sz w:val="24"/>
          <w:szCs w:val="24"/>
        </w:rPr>
        <w:t xml:space="preserve"> fine-tuneados sobre un corpus etiquetado del dominio específico permite la transferencia </w:t>
      </w:r>
      <w:proofErr w:type="spellStart"/>
      <w:r w:rsidRPr="00E108DE">
        <w:rPr>
          <w:sz w:val="24"/>
          <w:szCs w:val="24"/>
        </w:rPr>
        <w:t>cross</w:t>
      </w:r>
      <w:proofErr w:type="spellEnd"/>
      <w:r w:rsidRPr="00E108DE">
        <w:rPr>
          <w:sz w:val="24"/>
          <w:szCs w:val="24"/>
        </w:rPr>
        <w:t>-lingual del conocimiento, condición indispensable para detectar fenómenos —como la falsa atribución del PCI— que se manifiestan simultáneamente en múltiples idiomas. Carroll et al. (2020), desde los Principios CARE, añaden que un sistema de IA aplicado a patrimonio cultural indígena debe incorporar mecanismos de atribución comunitaria y mitigación de la homogeneización algorítmica.</w:t>
      </w:r>
    </w:p>
    <w:p w:rsidR="00E108DE" w:rsidRPr="00E108DE" w:rsidRDefault="00E108DE" w:rsidP="00E108DE">
      <w:pPr>
        <w:spacing w:line="480" w:lineRule="auto"/>
        <w:ind w:firstLine="720"/>
        <w:jc w:val="both"/>
        <w:rPr>
          <w:sz w:val="24"/>
          <w:szCs w:val="24"/>
        </w:rPr>
      </w:pPr>
      <w:r w:rsidRPr="00E108DE">
        <w:rPr>
          <w:sz w:val="24"/>
          <w:szCs w:val="24"/>
        </w:rPr>
        <w:t>La </w:t>
      </w:r>
      <w:r w:rsidRPr="00E108DE">
        <w:rPr>
          <w:b/>
          <w:bCs/>
          <w:sz w:val="24"/>
          <w:szCs w:val="24"/>
        </w:rPr>
        <w:t>"detección de falsa atribución del patrimonio cultural inmaterial boliviano"</w:t>
      </w:r>
      <w:r w:rsidRPr="00E108DE">
        <w:rPr>
          <w:sz w:val="24"/>
          <w:szCs w:val="24"/>
        </w:rPr>
        <w:t xml:space="preserve"> se refiere conceptualmente al proceso computacional sistemático de identificación, en textos digitales multilingües, de afirmaciones que describen expresiones del patrimonio cultural inmaterial boliviano —tales como el Carnaval de Oruro, la Morenada, el Tinku, los Caporales, la Llamerada, la Saya, el charango, la quena, el siku o la festividad del Gran Poder— omitiendo, distorsionando o asignando erróneamente su origen nacional o cultural. Según UNESCO (2003), el patrimonio cultural inmaterial comprende </w:t>
      </w:r>
      <w:r w:rsidRPr="00E108DE">
        <w:rPr>
          <w:sz w:val="24"/>
          <w:szCs w:val="24"/>
        </w:rPr>
        <w:lastRenderedPageBreak/>
        <w:t xml:space="preserve">usos, representaciones, expresiones, conocimientos y técnicas que las comunidades reconocen como parte integrante de su patrimonio cultural; su salvaguardia exige medidas que aseguren la transmisión y la representación adecuada de su origen. Young y </w:t>
      </w:r>
      <w:proofErr w:type="spellStart"/>
      <w:r w:rsidRPr="00E108DE">
        <w:rPr>
          <w:sz w:val="24"/>
          <w:szCs w:val="24"/>
        </w:rPr>
        <w:t>Brunk</w:t>
      </w:r>
      <w:proofErr w:type="spellEnd"/>
      <w:r w:rsidRPr="00E108DE">
        <w:rPr>
          <w:sz w:val="24"/>
          <w:szCs w:val="24"/>
        </w:rPr>
        <w:t xml:space="preserve"> (2012) añaden que la descontextualización y la omisión del origen constituyen formas de apropiación cultural que erosionan la identidad de los pueblos portadores, fundamentando teóricamente la pertinencia de la detección automatizada como mecanismo de salvaguardia digital.</w:t>
      </w:r>
    </w:p>
    <w:p w:rsidR="00E108DE" w:rsidRPr="00BA343B" w:rsidRDefault="00E108DE" w:rsidP="00CE56D2">
      <w:pPr>
        <w:pStyle w:val="Ttulo2"/>
        <w:numPr>
          <w:ilvl w:val="1"/>
          <w:numId w:val="41"/>
        </w:numPr>
        <w:spacing w:after="240" w:line="276" w:lineRule="auto"/>
        <w:rPr>
          <w:b/>
          <w:bCs/>
          <w:color w:val="000000" w:themeColor="text1"/>
        </w:rPr>
      </w:pPr>
      <w:bookmarkStart w:id="23" w:name="_Toc228308161"/>
      <w:r w:rsidRPr="00BA343B">
        <w:rPr>
          <w:b/>
          <w:bCs/>
          <w:color w:val="000000" w:themeColor="text1"/>
        </w:rPr>
        <w:t>Definición operacional de las variables</w:t>
      </w:r>
      <w:bookmarkEnd w:id="23"/>
    </w:p>
    <w:p w:rsidR="00E108DE" w:rsidRPr="00E108DE" w:rsidRDefault="00E108DE" w:rsidP="00E108DE">
      <w:pPr>
        <w:spacing w:line="480" w:lineRule="auto"/>
        <w:ind w:firstLine="720"/>
        <w:jc w:val="both"/>
        <w:rPr>
          <w:sz w:val="24"/>
          <w:szCs w:val="24"/>
        </w:rPr>
      </w:pPr>
      <w:r w:rsidRPr="00E108DE">
        <w:rPr>
          <w:sz w:val="24"/>
          <w:szCs w:val="24"/>
        </w:rPr>
        <w:t>El </w:t>
      </w:r>
      <w:r w:rsidRPr="00E108DE">
        <w:rPr>
          <w:b/>
          <w:bCs/>
          <w:sz w:val="24"/>
          <w:szCs w:val="24"/>
        </w:rPr>
        <w:t>"sistema de inteligencia artificial para la detección de falsa atribución del PCI boliviano"</w:t>
      </w:r>
      <w:r w:rsidRPr="00E108DE">
        <w:rPr>
          <w:sz w:val="24"/>
          <w:szCs w:val="24"/>
        </w:rPr>
        <w:t xml:space="preserve"> se define operativamente como el conjunto de tres módulos integrados implementados durante la presente investigación: (a) un clasificador NLP multilingüe basado en los modelos BETO, XLM-RoBERTa y </w:t>
      </w:r>
      <w:proofErr w:type="spellStart"/>
      <w:r w:rsidRPr="00E108DE">
        <w:rPr>
          <w:sz w:val="24"/>
          <w:szCs w:val="24"/>
        </w:rPr>
        <w:t>mmBERT</w:t>
      </w:r>
      <w:proofErr w:type="spellEnd"/>
      <w:r w:rsidRPr="00E108DE">
        <w:rPr>
          <w:sz w:val="24"/>
          <w:szCs w:val="24"/>
        </w:rPr>
        <w:t xml:space="preserve"> fine-tuneados sobre un corpus etiquetado de textos digitales sobre PCI boliviano; (b) un mapa de ecosistemas lingüísticos que visualiza la distribución de atribuciones erróneas por idioma y región usando señales proxy (campo country de </w:t>
      </w:r>
      <w:proofErr w:type="spellStart"/>
      <w:r w:rsidRPr="00E108DE">
        <w:rPr>
          <w:sz w:val="24"/>
          <w:szCs w:val="24"/>
        </w:rPr>
        <w:t>NewsAPI</w:t>
      </w:r>
      <w:proofErr w:type="spellEnd"/>
      <w:r w:rsidRPr="00E108DE">
        <w:rPr>
          <w:sz w:val="24"/>
          <w:szCs w:val="24"/>
        </w:rPr>
        <w:t xml:space="preserve">, nombres de </w:t>
      </w:r>
      <w:proofErr w:type="spellStart"/>
      <w:r w:rsidRPr="00E108DE">
        <w:rPr>
          <w:sz w:val="24"/>
          <w:szCs w:val="24"/>
        </w:rPr>
        <w:t>subreddits</w:t>
      </w:r>
      <w:proofErr w:type="spellEnd"/>
      <w:r w:rsidRPr="00E108DE">
        <w:rPr>
          <w:sz w:val="24"/>
          <w:szCs w:val="24"/>
        </w:rPr>
        <w:t>); y (c) un agente conversacional con arquitectura RAG anclado en una base de conocimiento autoritativa construida a partir de fuentes institucionales verificadas (UNESCO, Ministerio de Culturas y Turismo de Bolivia, libros académicos sobre PCI andino).</w:t>
      </w:r>
    </w:p>
    <w:p w:rsidR="00E108DE" w:rsidRPr="00E108DE" w:rsidRDefault="00E108DE" w:rsidP="00E108DE">
      <w:pPr>
        <w:spacing w:line="480" w:lineRule="auto"/>
        <w:ind w:firstLine="720"/>
        <w:jc w:val="both"/>
        <w:rPr>
          <w:sz w:val="24"/>
          <w:szCs w:val="24"/>
        </w:rPr>
      </w:pPr>
      <w:r w:rsidRPr="00E108DE">
        <w:rPr>
          <w:sz w:val="24"/>
          <w:szCs w:val="24"/>
        </w:rPr>
        <w:t>La </w:t>
      </w:r>
      <w:r w:rsidRPr="00E108DE">
        <w:rPr>
          <w:b/>
          <w:bCs/>
          <w:sz w:val="24"/>
          <w:szCs w:val="24"/>
        </w:rPr>
        <w:t>"detección de falsa atribución del patrimonio cultural inmaterial boliviano"</w:t>
      </w:r>
      <w:r w:rsidRPr="00E108DE">
        <w:rPr>
          <w:sz w:val="24"/>
          <w:szCs w:val="24"/>
        </w:rPr>
        <w:t> se define operativamente como la asignación, por parte del sistema propuesto, de cada texto digital del corpus a una de tres etiquetas categóricas —</w:t>
      </w:r>
      <w:r w:rsidRPr="00E108DE">
        <w:rPr>
          <w:i/>
          <w:iCs/>
          <w:sz w:val="24"/>
          <w:szCs w:val="24"/>
        </w:rPr>
        <w:t>atribución correcta</w:t>
      </w:r>
      <w:r w:rsidRPr="00E108DE">
        <w:rPr>
          <w:sz w:val="24"/>
          <w:szCs w:val="24"/>
        </w:rPr>
        <w:t>, </w:t>
      </w:r>
      <w:r w:rsidRPr="00E108DE">
        <w:rPr>
          <w:i/>
          <w:iCs/>
          <w:sz w:val="24"/>
          <w:szCs w:val="24"/>
        </w:rPr>
        <w:t>falsa atribución</w:t>
      </w:r>
      <w:r w:rsidRPr="00E108DE">
        <w:rPr>
          <w:sz w:val="24"/>
          <w:szCs w:val="24"/>
        </w:rPr>
        <w:t> o </w:t>
      </w:r>
      <w:r w:rsidRPr="00E108DE">
        <w:rPr>
          <w:i/>
          <w:iCs/>
          <w:sz w:val="24"/>
          <w:szCs w:val="24"/>
        </w:rPr>
        <w:t>sin atribución</w:t>
      </w:r>
      <w:r w:rsidRPr="00E108DE">
        <w:rPr>
          <w:sz w:val="24"/>
          <w:szCs w:val="24"/>
        </w:rPr>
        <w:t>—, junto con un valor de confianza (score) y la generación, en el caso del agente RAG, de una respuesta educativa anclada en fuentes verificadas, evaluada mediante métricas estandarizadas: precisión, exhaustividad, puntuación F1 y exactitud, calculadas tanto a nivel global como por clase y por idioma.</w:t>
      </w:r>
    </w:p>
    <w:p w:rsidR="00BA343B" w:rsidRPr="00BA343B" w:rsidRDefault="00BA343B" w:rsidP="00F22598">
      <w:pPr>
        <w:spacing w:line="480" w:lineRule="auto"/>
        <w:jc w:val="center"/>
        <w:rPr>
          <w:sz w:val="24"/>
          <w:szCs w:val="24"/>
        </w:rPr>
      </w:pPr>
      <w:r w:rsidRPr="00BA343B">
        <w:rPr>
          <w:sz w:val="24"/>
          <w:szCs w:val="24"/>
        </w:rPr>
        <w:lastRenderedPageBreak/>
        <w:t>Cuadro No. 1. Operacionalización de las variables</w:t>
      </w:r>
    </w:p>
    <w:tbl>
      <w:tblPr>
        <w:tblW w:w="927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520"/>
        <w:gridCol w:w="4590"/>
      </w:tblGrid>
      <w:tr w:rsidR="00F22598" w:rsidRPr="00BA343B" w:rsidTr="00CE56D2">
        <w:trPr>
          <w:tblHeader/>
        </w:trPr>
        <w:tc>
          <w:tcPr>
            <w:tcW w:w="2160" w:type="dxa"/>
            <w:tcMar>
              <w:top w:w="75" w:type="dxa"/>
              <w:left w:w="150" w:type="dxa"/>
              <w:bottom w:w="75" w:type="dxa"/>
              <w:right w:w="150" w:type="dxa"/>
            </w:tcMar>
            <w:vAlign w:val="center"/>
            <w:hideMark/>
          </w:tcPr>
          <w:p w:rsidR="00BA343B" w:rsidRPr="00BA343B" w:rsidRDefault="00BA343B" w:rsidP="00F22598">
            <w:pPr>
              <w:spacing w:line="276" w:lineRule="auto"/>
              <w:ind w:firstLine="26"/>
              <w:jc w:val="center"/>
              <w:rPr>
                <w:b/>
                <w:bCs/>
              </w:rPr>
            </w:pPr>
            <w:r w:rsidRPr="00BA343B">
              <w:rPr>
                <w:b/>
                <w:bCs/>
              </w:rPr>
              <w:t>VARIABLE</w:t>
            </w:r>
          </w:p>
        </w:tc>
        <w:tc>
          <w:tcPr>
            <w:tcW w:w="2520" w:type="dxa"/>
            <w:tcMar>
              <w:top w:w="75" w:type="dxa"/>
              <w:left w:w="150" w:type="dxa"/>
              <w:bottom w:w="75" w:type="dxa"/>
              <w:right w:w="150" w:type="dxa"/>
            </w:tcMar>
            <w:vAlign w:val="center"/>
            <w:hideMark/>
          </w:tcPr>
          <w:p w:rsidR="00BA343B" w:rsidRPr="00BA343B" w:rsidRDefault="00BA343B" w:rsidP="00F22598">
            <w:pPr>
              <w:spacing w:line="276" w:lineRule="auto"/>
              <w:jc w:val="center"/>
              <w:rPr>
                <w:b/>
                <w:bCs/>
              </w:rPr>
            </w:pPr>
            <w:r w:rsidRPr="00BA343B">
              <w:rPr>
                <w:b/>
                <w:bCs/>
              </w:rPr>
              <w:t>DIMENSIONES</w:t>
            </w:r>
          </w:p>
        </w:tc>
        <w:tc>
          <w:tcPr>
            <w:tcW w:w="4590" w:type="dxa"/>
            <w:tcMar>
              <w:top w:w="75" w:type="dxa"/>
              <w:left w:w="150" w:type="dxa"/>
              <w:bottom w:w="75" w:type="dxa"/>
              <w:right w:w="150" w:type="dxa"/>
            </w:tcMar>
            <w:vAlign w:val="center"/>
            <w:hideMark/>
          </w:tcPr>
          <w:p w:rsidR="00BA343B" w:rsidRPr="00BA343B" w:rsidRDefault="00BA343B" w:rsidP="00F22598">
            <w:pPr>
              <w:spacing w:line="276" w:lineRule="auto"/>
              <w:ind w:firstLine="23"/>
              <w:jc w:val="center"/>
              <w:rPr>
                <w:b/>
                <w:bCs/>
              </w:rPr>
            </w:pPr>
            <w:r w:rsidRPr="00BA343B">
              <w:rPr>
                <w:b/>
                <w:bCs/>
              </w:rPr>
              <w:t>INDICADORES</w:t>
            </w:r>
          </w:p>
        </w:tc>
      </w:tr>
      <w:tr w:rsidR="00F22598" w:rsidRPr="00BA343B" w:rsidTr="00CE56D2">
        <w:tc>
          <w:tcPr>
            <w:tcW w:w="2160" w:type="dxa"/>
            <w:tcMar>
              <w:top w:w="75" w:type="dxa"/>
              <w:left w:w="150" w:type="dxa"/>
              <w:bottom w:w="75" w:type="dxa"/>
              <w:right w:w="150" w:type="dxa"/>
            </w:tcMar>
            <w:vAlign w:val="center"/>
            <w:hideMark/>
          </w:tcPr>
          <w:p w:rsidR="00BA343B" w:rsidRPr="00BA343B" w:rsidRDefault="00BA343B" w:rsidP="00BA343B">
            <w:pPr>
              <w:spacing w:line="276" w:lineRule="auto"/>
              <w:ind w:firstLine="26"/>
              <w:jc w:val="both"/>
            </w:pPr>
            <w:r w:rsidRPr="00BA343B">
              <w:t>1. Sistema de inteligencia artificial para la detección de falsa atribución del PCI boliviano (variable independiente)</w:t>
            </w:r>
          </w:p>
        </w:tc>
        <w:tc>
          <w:tcPr>
            <w:tcW w:w="2520" w:type="dxa"/>
            <w:tcMar>
              <w:top w:w="75" w:type="dxa"/>
              <w:left w:w="150" w:type="dxa"/>
              <w:bottom w:w="75" w:type="dxa"/>
              <w:right w:w="150" w:type="dxa"/>
            </w:tcMar>
            <w:vAlign w:val="center"/>
            <w:hideMark/>
          </w:tcPr>
          <w:p w:rsidR="00BA343B" w:rsidRPr="00BA343B" w:rsidRDefault="00BA343B" w:rsidP="00CE56D2">
            <w:pPr>
              <w:spacing w:line="276" w:lineRule="auto"/>
              <w:ind w:firstLine="40"/>
            </w:pPr>
            <w:r w:rsidRPr="00BA343B">
              <w:t xml:space="preserve">1.1. Clasificador NLP multilingüe (BETO, XLM-RoBERTa, </w:t>
            </w:r>
            <w:proofErr w:type="spellStart"/>
            <w:r w:rsidRPr="00BA343B">
              <w:t>mmBERT</w:t>
            </w:r>
            <w:proofErr w:type="spellEnd"/>
            <w:r w:rsidRPr="00BA343B">
              <w:t xml:space="preserve"> fine-tuneados)</w:t>
            </w:r>
          </w:p>
        </w:tc>
        <w:tc>
          <w:tcPr>
            <w:tcW w:w="4590" w:type="dxa"/>
            <w:tcMar>
              <w:top w:w="75" w:type="dxa"/>
              <w:left w:w="150" w:type="dxa"/>
              <w:bottom w:w="75" w:type="dxa"/>
              <w:right w:w="150" w:type="dxa"/>
            </w:tcMar>
            <w:vAlign w:val="center"/>
            <w:hideMark/>
          </w:tcPr>
          <w:p w:rsidR="00BA343B" w:rsidRPr="00BA343B" w:rsidRDefault="00BA343B" w:rsidP="00CE56D2">
            <w:pPr>
              <w:spacing w:line="276" w:lineRule="auto"/>
              <w:ind w:firstLine="27"/>
            </w:pPr>
            <w:r w:rsidRPr="00BA343B">
              <w:t>1.1.1. Tasa de acierto en clasificación tri-clase</w:t>
            </w:r>
            <w:r w:rsidRPr="00BA343B">
              <w:br/>
              <w:t>1.1.2. Macro-F1 sobre el corpus de prueba</w:t>
            </w:r>
            <w:r w:rsidRPr="00BA343B">
              <w:br/>
              <w:t xml:space="preserve">1.1.3. Robustez </w:t>
            </w:r>
            <w:proofErr w:type="spellStart"/>
            <w:r w:rsidRPr="00BA343B">
              <w:t>cross</w:t>
            </w:r>
            <w:proofErr w:type="spellEnd"/>
            <w:r w:rsidRPr="00BA343B">
              <w:t>-lingual entre español e inglés</w:t>
            </w:r>
          </w:p>
        </w:tc>
      </w:tr>
      <w:tr w:rsidR="00F22598" w:rsidRPr="00BA343B" w:rsidTr="00CE56D2">
        <w:tc>
          <w:tcPr>
            <w:tcW w:w="2160" w:type="dxa"/>
            <w:tcMar>
              <w:top w:w="75" w:type="dxa"/>
              <w:left w:w="150" w:type="dxa"/>
              <w:bottom w:w="75" w:type="dxa"/>
              <w:right w:w="150" w:type="dxa"/>
            </w:tcMar>
            <w:vAlign w:val="center"/>
            <w:hideMark/>
          </w:tcPr>
          <w:p w:rsidR="00BA343B" w:rsidRPr="00BA343B" w:rsidRDefault="00BA343B" w:rsidP="00BA343B">
            <w:pPr>
              <w:spacing w:line="276" w:lineRule="auto"/>
              <w:ind w:firstLine="720"/>
              <w:jc w:val="both"/>
            </w:pPr>
          </w:p>
        </w:tc>
        <w:tc>
          <w:tcPr>
            <w:tcW w:w="2520" w:type="dxa"/>
            <w:tcMar>
              <w:top w:w="75" w:type="dxa"/>
              <w:left w:w="150" w:type="dxa"/>
              <w:bottom w:w="75" w:type="dxa"/>
              <w:right w:w="150" w:type="dxa"/>
            </w:tcMar>
            <w:vAlign w:val="center"/>
            <w:hideMark/>
          </w:tcPr>
          <w:p w:rsidR="00BA343B" w:rsidRPr="00BA343B" w:rsidRDefault="00BA343B" w:rsidP="00CE56D2">
            <w:pPr>
              <w:spacing w:line="276" w:lineRule="auto"/>
              <w:ind w:firstLine="40"/>
            </w:pPr>
            <w:r w:rsidRPr="00BA343B">
              <w:t>1.3. Agente conversacional con arquitectura RAG</w:t>
            </w:r>
          </w:p>
        </w:tc>
        <w:tc>
          <w:tcPr>
            <w:tcW w:w="4590" w:type="dxa"/>
            <w:tcMar>
              <w:top w:w="75" w:type="dxa"/>
              <w:left w:w="150" w:type="dxa"/>
              <w:bottom w:w="75" w:type="dxa"/>
              <w:right w:w="150" w:type="dxa"/>
            </w:tcMar>
            <w:vAlign w:val="center"/>
            <w:hideMark/>
          </w:tcPr>
          <w:p w:rsidR="00E66549" w:rsidRDefault="00BA343B" w:rsidP="00CE56D2">
            <w:pPr>
              <w:spacing w:line="276" w:lineRule="auto"/>
              <w:ind w:firstLine="27"/>
            </w:pPr>
            <w:r w:rsidRPr="00BA343B">
              <w:t xml:space="preserve">1.3.1. </w:t>
            </w:r>
            <w:r w:rsidR="00E66549">
              <w:t>P</w:t>
            </w:r>
            <w:r w:rsidRPr="00BA343B">
              <w:t>roporción de</w:t>
            </w:r>
            <w:r w:rsidR="00E66549">
              <w:t xml:space="preserve"> documentos de</w:t>
            </w:r>
            <w:r w:rsidRPr="00BA343B">
              <w:t xml:space="preserve"> respuestas con fuente trazable</w:t>
            </w:r>
            <w:r w:rsidR="00E66549">
              <w:t>.</w:t>
            </w:r>
            <w:r w:rsidRPr="00BA343B">
              <w:br/>
              <w:t>1.3.2. Tasa de alucinaciones detectadas</w:t>
            </w:r>
          </w:p>
          <w:p w:rsidR="00BA343B" w:rsidRPr="00BA343B" w:rsidRDefault="00BA343B" w:rsidP="00E66549">
            <w:pPr>
              <w:spacing w:line="276" w:lineRule="auto"/>
            </w:pPr>
            <w:r w:rsidRPr="00BA343B">
              <w:t>1.3.3. Pertinencia cultural de las respuestas</w:t>
            </w:r>
          </w:p>
        </w:tc>
      </w:tr>
      <w:tr w:rsidR="00F22598" w:rsidRPr="00BA343B" w:rsidTr="00CE56D2">
        <w:tc>
          <w:tcPr>
            <w:tcW w:w="2160" w:type="dxa"/>
            <w:tcMar>
              <w:top w:w="75" w:type="dxa"/>
              <w:left w:w="150" w:type="dxa"/>
              <w:bottom w:w="75" w:type="dxa"/>
              <w:right w:w="150" w:type="dxa"/>
            </w:tcMar>
            <w:vAlign w:val="center"/>
            <w:hideMark/>
          </w:tcPr>
          <w:p w:rsidR="00BA343B" w:rsidRPr="00BA343B" w:rsidRDefault="00BA343B" w:rsidP="00BA343B">
            <w:pPr>
              <w:spacing w:line="276" w:lineRule="auto"/>
              <w:ind w:firstLine="720"/>
              <w:jc w:val="both"/>
            </w:pPr>
          </w:p>
        </w:tc>
        <w:tc>
          <w:tcPr>
            <w:tcW w:w="2520" w:type="dxa"/>
            <w:tcMar>
              <w:top w:w="75" w:type="dxa"/>
              <w:left w:w="150" w:type="dxa"/>
              <w:bottom w:w="75" w:type="dxa"/>
              <w:right w:w="150" w:type="dxa"/>
            </w:tcMar>
            <w:vAlign w:val="center"/>
            <w:hideMark/>
          </w:tcPr>
          <w:p w:rsidR="00BA343B" w:rsidRPr="00BA343B" w:rsidRDefault="00BA343B" w:rsidP="00CE56D2">
            <w:pPr>
              <w:spacing w:line="276" w:lineRule="auto"/>
              <w:ind w:firstLine="40"/>
            </w:pPr>
            <w:r w:rsidRPr="00BA343B">
              <w:t>1.4. Corpus etiquetado y base de conocimiento RAG</w:t>
            </w:r>
          </w:p>
        </w:tc>
        <w:tc>
          <w:tcPr>
            <w:tcW w:w="4590" w:type="dxa"/>
            <w:tcMar>
              <w:top w:w="75" w:type="dxa"/>
              <w:left w:w="150" w:type="dxa"/>
              <w:bottom w:w="75" w:type="dxa"/>
              <w:right w:w="150" w:type="dxa"/>
            </w:tcMar>
            <w:vAlign w:val="center"/>
            <w:hideMark/>
          </w:tcPr>
          <w:p w:rsidR="00BA343B" w:rsidRPr="00BA343B" w:rsidRDefault="00BA343B" w:rsidP="00CE56D2">
            <w:pPr>
              <w:spacing w:line="276" w:lineRule="auto"/>
              <w:ind w:firstLine="27"/>
            </w:pPr>
            <w:r w:rsidRPr="00BA343B">
              <w:t>1.4.1. Tamaño del corpus etiquetado por clase</w:t>
            </w:r>
            <w:r w:rsidRPr="00BA343B">
              <w:br/>
              <w:t>1.4.2. Calidad de la anotación (kappa de Cohen)</w:t>
            </w:r>
            <w:r w:rsidRPr="00BA343B">
              <w:br/>
              <w:t>1.4.3. Volumen y autoridad de la base RAG</w:t>
            </w:r>
          </w:p>
        </w:tc>
      </w:tr>
      <w:tr w:rsidR="00F22598" w:rsidRPr="00BA343B" w:rsidTr="00CE56D2">
        <w:tc>
          <w:tcPr>
            <w:tcW w:w="2160" w:type="dxa"/>
            <w:tcMar>
              <w:top w:w="75" w:type="dxa"/>
              <w:left w:w="150" w:type="dxa"/>
              <w:bottom w:w="75" w:type="dxa"/>
              <w:right w:w="150" w:type="dxa"/>
            </w:tcMar>
            <w:vAlign w:val="center"/>
            <w:hideMark/>
          </w:tcPr>
          <w:p w:rsidR="00BA343B" w:rsidRPr="00BA343B" w:rsidRDefault="00BA343B" w:rsidP="00BA343B">
            <w:pPr>
              <w:spacing w:line="276" w:lineRule="auto"/>
              <w:ind w:firstLine="720"/>
              <w:jc w:val="both"/>
            </w:pPr>
          </w:p>
        </w:tc>
        <w:tc>
          <w:tcPr>
            <w:tcW w:w="2520" w:type="dxa"/>
            <w:tcMar>
              <w:top w:w="75" w:type="dxa"/>
              <w:left w:w="150" w:type="dxa"/>
              <w:bottom w:w="75" w:type="dxa"/>
              <w:right w:w="150" w:type="dxa"/>
            </w:tcMar>
            <w:vAlign w:val="center"/>
            <w:hideMark/>
          </w:tcPr>
          <w:p w:rsidR="00BA343B" w:rsidRPr="00BA343B" w:rsidRDefault="00BA343B" w:rsidP="00CE56D2">
            <w:pPr>
              <w:spacing w:line="276" w:lineRule="auto"/>
              <w:ind w:firstLine="40"/>
            </w:pPr>
            <w:r w:rsidRPr="00BA343B">
              <w:t>1.5. Adecuación ética (Principios CARE)</w:t>
            </w:r>
          </w:p>
        </w:tc>
        <w:tc>
          <w:tcPr>
            <w:tcW w:w="4590" w:type="dxa"/>
            <w:tcMar>
              <w:top w:w="75" w:type="dxa"/>
              <w:left w:w="150" w:type="dxa"/>
              <w:bottom w:w="75" w:type="dxa"/>
              <w:right w:w="150" w:type="dxa"/>
            </w:tcMar>
            <w:vAlign w:val="center"/>
            <w:hideMark/>
          </w:tcPr>
          <w:p w:rsidR="00BA343B" w:rsidRPr="00BA343B" w:rsidRDefault="00BA343B" w:rsidP="00CE56D2">
            <w:pPr>
              <w:spacing w:line="276" w:lineRule="auto"/>
              <w:ind w:firstLine="27"/>
            </w:pPr>
            <w:r w:rsidRPr="00BA343B">
              <w:t>1.5.1. Trazabilidad de fuentes primarias bolivianas</w:t>
            </w:r>
            <w:r w:rsidRPr="00BA343B">
              <w:br/>
              <w:t>1.5.2. Mecanismos de atribución comunitaria</w:t>
            </w:r>
            <w:r w:rsidRPr="00BA343B">
              <w:br/>
              <w:t>1.5.3. Mitigación de homogeneización algorítmica</w:t>
            </w:r>
          </w:p>
        </w:tc>
      </w:tr>
      <w:tr w:rsidR="00F22598" w:rsidRPr="00BA343B" w:rsidTr="00CE56D2">
        <w:tc>
          <w:tcPr>
            <w:tcW w:w="2160" w:type="dxa"/>
            <w:tcMar>
              <w:top w:w="75" w:type="dxa"/>
              <w:left w:w="150" w:type="dxa"/>
              <w:bottom w:w="75" w:type="dxa"/>
              <w:right w:w="150" w:type="dxa"/>
            </w:tcMar>
            <w:vAlign w:val="center"/>
            <w:hideMark/>
          </w:tcPr>
          <w:p w:rsidR="00BA343B" w:rsidRPr="00BA343B" w:rsidRDefault="00BA343B" w:rsidP="00BA343B">
            <w:pPr>
              <w:spacing w:line="276" w:lineRule="auto"/>
              <w:ind w:firstLine="26"/>
              <w:jc w:val="both"/>
            </w:pPr>
            <w:r w:rsidRPr="00BA343B">
              <w:t>2. Detección de falsa atribución del PCI boliviano en textos digitales multilingües (variable dependiente)</w:t>
            </w:r>
          </w:p>
        </w:tc>
        <w:tc>
          <w:tcPr>
            <w:tcW w:w="2520" w:type="dxa"/>
            <w:tcMar>
              <w:top w:w="75" w:type="dxa"/>
              <w:left w:w="150" w:type="dxa"/>
              <w:bottom w:w="75" w:type="dxa"/>
              <w:right w:w="150" w:type="dxa"/>
            </w:tcMar>
            <w:vAlign w:val="center"/>
            <w:hideMark/>
          </w:tcPr>
          <w:p w:rsidR="00BA343B" w:rsidRPr="00BA343B" w:rsidRDefault="00BA343B" w:rsidP="00CE56D2">
            <w:pPr>
              <w:spacing w:line="276" w:lineRule="auto"/>
              <w:ind w:firstLine="40"/>
            </w:pPr>
            <w:r w:rsidRPr="00BA343B">
              <w:t>2.1. Clasificación de la atribución</w:t>
            </w:r>
          </w:p>
        </w:tc>
        <w:tc>
          <w:tcPr>
            <w:tcW w:w="4590" w:type="dxa"/>
            <w:tcMar>
              <w:top w:w="75" w:type="dxa"/>
              <w:left w:w="150" w:type="dxa"/>
              <w:bottom w:w="75" w:type="dxa"/>
              <w:right w:w="150" w:type="dxa"/>
            </w:tcMar>
            <w:vAlign w:val="center"/>
            <w:hideMark/>
          </w:tcPr>
          <w:p w:rsidR="00BA343B" w:rsidRPr="00BA343B" w:rsidRDefault="00BA343B" w:rsidP="00CE56D2">
            <w:pPr>
              <w:spacing w:line="276" w:lineRule="auto"/>
              <w:ind w:firstLine="27"/>
            </w:pPr>
            <w:r w:rsidRPr="00BA343B">
              <w:t>2.1.1. Etiqueta asignada (correcta / falsa / sin atribución)</w:t>
            </w:r>
            <w:r w:rsidRPr="00BA343B">
              <w:br/>
              <w:t>2.1.2. Score de confianza por predicción</w:t>
            </w:r>
            <w:r w:rsidRPr="00BA343B">
              <w:br/>
              <w:t>2.1.3. Precisión por clase</w:t>
            </w:r>
          </w:p>
        </w:tc>
      </w:tr>
      <w:tr w:rsidR="00F22598" w:rsidRPr="00BA343B" w:rsidTr="00CE56D2">
        <w:tc>
          <w:tcPr>
            <w:tcW w:w="2160" w:type="dxa"/>
            <w:tcMar>
              <w:top w:w="75" w:type="dxa"/>
              <w:left w:w="150" w:type="dxa"/>
              <w:bottom w:w="75" w:type="dxa"/>
              <w:right w:w="150" w:type="dxa"/>
            </w:tcMar>
            <w:vAlign w:val="center"/>
            <w:hideMark/>
          </w:tcPr>
          <w:p w:rsidR="00BA343B" w:rsidRPr="00BA343B" w:rsidRDefault="00BA343B" w:rsidP="00BA343B">
            <w:pPr>
              <w:spacing w:line="276" w:lineRule="auto"/>
              <w:ind w:firstLine="720"/>
              <w:jc w:val="both"/>
            </w:pPr>
          </w:p>
        </w:tc>
        <w:tc>
          <w:tcPr>
            <w:tcW w:w="2520" w:type="dxa"/>
            <w:tcMar>
              <w:top w:w="75" w:type="dxa"/>
              <w:left w:w="150" w:type="dxa"/>
              <w:bottom w:w="75" w:type="dxa"/>
              <w:right w:w="150" w:type="dxa"/>
            </w:tcMar>
            <w:vAlign w:val="center"/>
            <w:hideMark/>
          </w:tcPr>
          <w:p w:rsidR="00BA343B" w:rsidRPr="00BA343B" w:rsidRDefault="00BA343B" w:rsidP="00CE56D2">
            <w:pPr>
              <w:spacing w:line="276" w:lineRule="auto"/>
              <w:ind w:firstLine="40"/>
            </w:pPr>
            <w:r w:rsidRPr="00BA343B">
              <w:t>2.2. Caracterización del fenómeno</w:t>
            </w:r>
          </w:p>
        </w:tc>
        <w:tc>
          <w:tcPr>
            <w:tcW w:w="4590" w:type="dxa"/>
            <w:tcMar>
              <w:top w:w="75" w:type="dxa"/>
              <w:left w:w="150" w:type="dxa"/>
              <w:bottom w:w="75" w:type="dxa"/>
              <w:right w:w="150" w:type="dxa"/>
            </w:tcMar>
            <w:vAlign w:val="center"/>
            <w:hideMark/>
          </w:tcPr>
          <w:p w:rsidR="00BA343B" w:rsidRPr="00BA343B" w:rsidRDefault="00BA343B" w:rsidP="00CE56D2">
            <w:pPr>
              <w:spacing w:line="276" w:lineRule="auto"/>
              <w:ind w:firstLine="27"/>
            </w:pPr>
            <w:r w:rsidRPr="00BA343B">
              <w:t>2.2.1. Distribución de falsa atribución por idioma</w:t>
            </w:r>
            <w:r w:rsidRPr="00BA343B">
              <w:br/>
              <w:t>2.2.2. Distribución por tipo de medio (Wikipedia, noticias, redes sociales)</w:t>
            </w:r>
            <w:r w:rsidRPr="00BA343B">
              <w:br/>
              <w:t>2.2.3. Distribución por expresión cultural (Carnaval, Morenada, Tinku, etc.)</w:t>
            </w:r>
          </w:p>
        </w:tc>
      </w:tr>
      <w:tr w:rsidR="00F22598" w:rsidRPr="00BA343B" w:rsidTr="00CE56D2">
        <w:tc>
          <w:tcPr>
            <w:tcW w:w="2160" w:type="dxa"/>
            <w:tcMar>
              <w:top w:w="75" w:type="dxa"/>
              <w:left w:w="150" w:type="dxa"/>
              <w:bottom w:w="75" w:type="dxa"/>
              <w:right w:w="150" w:type="dxa"/>
            </w:tcMar>
            <w:vAlign w:val="center"/>
            <w:hideMark/>
          </w:tcPr>
          <w:p w:rsidR="00BA343B" w:rsidRPr="00BA343B" w:rsidRDefault="00BA343B" w:rsidP="00BA343B">
            <w:pPr>
              <w:spacing w:line="276" w:lineRule="auto"/>
              <w:ind w:firstLine="720"/>
              <w:jc w:val="both"/>
            </w:pPr>
          </w:p>
        </w:tc>
        <w:tc>
          <w:tcPr>
            <w:tcW w:w="2520" w:type="dxa"/>
            <w:tcMar>
              <w:top w:w="75" w:type="dxa"/>
              <w:left w:w="150" w:type="dxa"/>
              <w:bottom w:w="75" w:type="dxa"/>
              <w:right w:w="150" w:type="dxa"/>
            </w:tcMar>
            <w:vAlign w:val="center"/>
            <w:hideMark/>
          </w:tcPr>
          <w:p w:rsidR="00BA343B" w:rsidRPr="00BA343B" w:rsidRDefault="00BA343B" w:rsidP="00CE56D2">
            <w:pPr>
              <w:spacing w:line="276" w:lineRule="auto"/>
              <w:ind w:firstLine="40"/>
            </w:pPr>
            <w:r w:rsidRPr="00BA343B">
              <w:t>2.3. Respuesta educativa</w:t>
            </w:r>
          </w:p>
        </w:tc>
        <w:tc>
          <w:tcPr>
            <w:tcW w:w="4590" w:type="dxa"/>
            <w:tcMar>
              <w:top w:w="75" w:type="dxa"/>
              <w:left w:w="150" w:type="dxa"/>
              <w:bottom w:w="75" w:type="dxa"/>
              <w:right w:w="150" w:type="dxa"/>
            </w:tcMar>
            <w:vAlign w:val="center"/>
            <w:hideMark/>
          </w:tcPr>
          <w:p w:rsidR="00BA343B" w:rsidRPr="00BA343B" w:rsidRDefault="00BA343B" w:rsidP="00CE56D2">
            <w:pPr>
              <w:spacing w:line="276" w:lineRule="auto"/>
              <w:ind w:firstLine="27"/>
            </w:pPr>
            <w:r w:rsidRPr="00BA343B">
              <w:t>2.3.1. Cobertura temática de las consultas respondidas</w:t>
            </w:r>
            <w:r w:rsidRPr="00BA343B">
              <w:br/>
              <w:t>2.3.2. Exactitud factual de las respuestas</w:t>
            </w:r>
            <w:r w:rsidRPr="00BA343B">
              <w:br/>
              <w:t>2.3.3. Citación de fuentes autoritativas</w:t>
            </w:r>
          </w:p>
        </w:tc>
      </w:tr>
      <w:tr w:rsidR="00F22598" w:rsidRPr="00BA343B" w:rsidTr="00CE56D2">
        <w:tc>
          <w:tcPr>
            <w:tcW w:w="2160" w:type="dxa"/>
            <w:tcMar>
              <w:top w:w="75" w:type="dxa"/>
              <w:left w:w="150" w:type="dxa"/>
              <w:bottom w:w="75" w:type="dxa"/>
              <w:right w:w="150" w:type="dxa"/>
            </w:tcMar>
            <w:vAlign w:val="center"/>
            <w:hideMark/>
          </w:tcPr>
          <w:p w:rsidR="00BA343B" w:rsidRPr="00BA343B" w:rsidRDefault="00BA343B" w:rsidP="00BA343B">
            <w:pPr>
              <w:spacing w:line="276" w:lineRule="auto"/>
              <w:ind w:firstLine="720"/>
              <w:jc w:val="both"/>
            </w:pPr>
          </w:p>
        </w:tc>
        <w:tc>
          <w:tcPr>
            <w:tcW w:w="2520" w:type="dxa"/>
            <w:tcMar>
              <w:top w:w="75" w:type="dxa"/>
              <w:left w:w="150" w:type="dxa"/>
              <w:bottom w:w="75" w:type="dxa"/>
              <w:right w:w="150" w:type="dxa"/>
            </w:tcMar>
            <w:vAlign w:val="center"/>
            <w:hideMark/>
          </w:tcPr>
          <w:p w:rsidR="00BA343B" w:rsidRPr="00BA343B" w:rsidRDefault="00BA343B" w:rsidP="00CE56D2">
            <w:pPr>
              <w:spacing w:line="276" w:lineRule="auto"/>
              <w:ind w:firstLine="40"/>
            </w:pPr>
            <w:r w:rsidRPr="00BA343B">
              <w:t xml:space="preserve">2.4. Comparación con </w:t>
            </w:r>
            <w:proofErr w:type="spellStart"/>
            <w:r w:rsidRPr="00BA343B">
              <w:t>baseline</w:t>
            </w:r>
            <w:proofErr w:type="spellEnd"/>
          </w:p>
        </w:tc>
        <w:tc>
          <w:tcPr>
            <w:tcW w:w="4590" w:type="dxa"/>
            <w:tcMar>
              <w:top w:w="75" w:type="dxa"/>
              <w:left w:w="150" w:type="dxa"/>
              <w:bottom w:w="75" w:type="dxa"/>
              <w:right w:w="150" w:type="dxa"/>
            </w:tcMar>
            <w:vAlign w:val="center"/>
            <w:hideMark/>
          </w:tcPr>
          <w:p w:rsidR="00BA343B" w:rsidRPr="00BA343B" w:rsidRDefault="00BA343B" w:rsidP="00CE56D2">
            <w:pPr>
              <w:spacing w:line="276" w:lineRule="auto"/>
              <w:ind w:firstLine="27"/>
            </w:pPr>
            <w:r w:rsidRPr="00BA343B">
              <w:t xml:space="preserve">2.4.1. Diferencia de F1 vs. LLM </w:t>
            </w:r>
            <w:proofErr w:type="spellStart"/>
            <w:r w:rsidRPr="00BA343B">
              <w:t>zero-shot</w:t>
            </w:r>
            <w:proofErr w:type="spellEnd"/>
            <w:r w:rsidRPr="00BA343B">
              <w:br/>
              <w:t>2.4.2. Diferencia de precisión por clase</w:t>
            </w:r>
            <w:r w:rsidRPr="00BA343B">
              <w:br/>
              <w:t xml:space="preserve">2.4.3. Robustez </w:t>
            </w:r>
            <w:proofErr w:type="spellStart"/>
            <w:r w:rsidRPr="00BA343B">
              <w:t>cross</w:t>
            </w:r>
            <w:proofErr w:type="spellEnd"/>
            <w:r w:rsidRPr="00BA343B">
              <w:t>-lingual diferencial</w:t>
            </w:r>
          </w:p>
        </w:tc>
      </w:tr>
    </w:tbl>
    <w:p w:rsidR="00BF2947" w:rsidRDefault="00BA343B" w:rsidP="00CE56D2">
      <w:pPr>
        <w:spacing w:line="480" w:lineRule="auto"/>
        <w:jc w:val="center"/>
        <w:rPr>
          <w:sz w:val="24"/>
          <w:szCs w:val="24"/>
        </w:rPr>
      </w:pPr>
      <w:r w:rsidRPr="00BA343B">
        <w:rPr>
          <w:sz w:val="24"/>
          <w:szCs w:val="24"/>
        </w:rPr>
        <w:t>Fuente: Elaboración propia, 2026.</w:t>
      </w:r>
    </w:p>
    <w:p w:rsidR="00E5780A" w:rsidRDefault="00E5780A">
      <w:pPr>
        <w:rPr>
          <w:b/>
          <w:bCs/>
          <w:sz w:val="26"/>
          <w:szCs w:val="26"/>
        </w:rPr>
      </w:pPr>
    </w:p>
    <w:p w:rsidR="00E66549" w:rsidRDefault="00E66549">
      <w:pPr>
        <w:rPr>
          <w:b/>
          <w:bCs/>
          <w:color w:val="000000" w:themeColor="text1"/>
          <w:sz w:val="28"/>
          <w:szCs w:val="28"/>
        </w:rPr>
      </w:pPr>
      <w:bookmarkStart w:id="24" w:name="_Toc228308162"/>
      <w:r>
        <w:rPr>
          <w:b/>
          <w:bCs/>
          <w:color w:val="000000" w:themeColor="text1"/>
          <w:sz w:val="28"/>
          <w:szCs w:val="28"/>
        </w:rPr>
        <w:br w:type="page"/>
      </w:r>
    </w:p>
    <w:p w:rsidR="009532F5" w:rsidRPr="00C26A1E" w:rsidRDefault="00000000" w:rsidP="00CE56D2">
      <w:pPr>
        <w:pStyle w:val="Ttulo1"/>
        <w:spacing w:after="240" w:line="276" w:lineRule="auto"/>
        <w:jc w:val="center"/>
        <w:rPr>
          <w:b/>
          <w:bCs/>
          <w:color w:val="000000" w:themeColor="text1"/>
        </w:rPr>
      </w:pPr>
      <w:r w:rsidRPr="00CE56D2">
        <w:rPr>
          <w:b/>
          <w:bCs/>
          <w:color w:val="000000" w:themeColor="text1"/>
          <w:sz w:val="28"/>
          <w:szCs w:val="28"/>
        </w:rPr>
        <w:lastRenderedPageBreak/>
        <w:t>REFERENCIAS</w:t>
      </w:r>
      <w:r w:rsidRPr="00C26A1E">
        <w:rPr>
          <w:b/>
          <w:bCs/>
          <w:color w:val="000000" w:themeColor="text1"/>
        </w:rPr>
        <w:t xml:space="preserve"> </w:t>
      </w:r>
      <w:r w:rsidRPr="00CE56D2">
        <w:rPr>
          <w:b/>
          <w:bCs/>
          <w:color w:val="000000" w:themeColor="text1"/>
          <w:sz w:val="28"/>
          <w:szCs w:val="28"/>
        </w:rPr>
        <w:t>BIBLIOGR</w:t>
      </w:r>
      <w:r w:rsidR="00DD16F8" w:rsidRPr="00CE56D2">
        <w:rPr>
          <w:b/>
          <w:bCs/>
          <w:color w:val="000000" w:themeColor="text1"/>
          <w:sz w:val="28"/>
          <w:szCs w:val="28"/>
        </w:rPr>
        <w:t>Á</w:t>
      </w:r>
      <w:r w:rsidRPr="00CE56D2">
        <w:rPr>
          <w:b/>
          <w:bCs/>
          <w:color w:val="000000" w:themeColor="text1"/>
          <w:sz w:val="28"/>
          <w:szCs w:val="28"/>
        </w:rPr>
        <w:t>FICAS</w:t>
      </w:r>
      <w:bookmarkEnd w:id="24"/>
    </w:p>
    <w:p w:rsidR="009532F5" w:rsidRDefault="009532F5"/>
    <w:p w:rsidR="00DD16F8" w:rsidRPr="000B0126" w:rsidRDefault="00DD16F8" w:rsidP="00DD16F8">
      <w:pPr>
        <w:spacing w:line="480" w:lineRule="auto"/>
        <w:ind w:left="720" w:hanging="720"/>
        <w:jc w:val="both"/>
        <w:rPr>
          <w:lang w:val="en-US"/>
        </w:rPr>
      </w:pPr>
      <w:r>
        <w:rPr>
          <w:sz w:val="24"/>
          <w:szCs w:val="24"/>
        </w:rPr>
        <w:t xml:space="preserve">Cañete, J., </w:t>
      </w:r>
      <w:proofErr w:type="spellStart"/>
      <w:r>
        <w:rPr>
          <w:sz w:val="24"/>
          <w:szCs w:val="24"/>
        </w:rPr>
        <w:t>Chaperon</w:t>
      </w:r>
      <w:proofErr w:type="spellEnd"/>
      <w:r>
        <w:rPr>
          <w:sz w:val="24"/>
          <w:szCs w:val="24"/>
        </w:rPr>
        <w:t xml:space="preserve">, G., Fuentes, R., Ho, J.-H., Kang, H., &amp; Pérez, J. (2020). </w:t>
      </w:r>
      <w:r w:rsidRPr="000B0126">
        <w:rPr>
          <w:sz w:val="24"/>
          <w:szCs w:val="24"/>
          <w:lang w:val="en-US"/>
        </w:rPr>
        <w:t xml:space="preserve">Spanish pre-trained BERT model and evaluation data. </w:t>
      </w:r>
      <w:r w:rsidRPr="000B0126">
        <w:rPr>
          <w:i/>
          <w:iCs/>
          <w:sz w:val="24"/>
          <w:szCs w:val="24"/>
          <w:lang w:val="en-US"/>
        </w:rPr>
        <w:t>PML4DC at ICLR 2020</w:t>
      </w:r>
      <w:r w:rsidRPr="000B0126">
        <w:rPr>
          <w:sz w:val="24"/>
          <w:szCs w:val="24"/>
          <w:lang w:val="en-US"/>
        </w:rPr>
        <w:t>.</w:t>
      </w:r>
    </w:p>
    <w:p w:rsidR="00DD16F8" w:rsidRPr="000B0126" w:rsidRDefault="00DD16F8" w:rsidP="00DD16F8">
      <w:pPr>
        <w:spacing w:line="480" w:lineRule="auto"/>
        <w:ind w:left="720" w:hanging="720"/>
        <w:jc w:val="both"/>
        <w:rPr>
          <w:lang w:val="en-US"/>
        </w:rPr>
      </w:pPr>
      <w:r w:rsidRPr="000B0126">
        <w:rPr>
          <w:sz w:val="24"/>
          <w:szCs w:val="24"/>
          <w:lang w:val="en-US"/>
        </w:rPr>
        <w:t xml:space="preserve">Carroll, S. R., Garba, I., Figueroa-Rodríguez, O. L., Holbrook, J., Lovett, R., </w:t>
      </w:r>
      <w:proofErr w:type="spellStart"/>
      <w:r w:rsidRPr="000B0126">
        <w:rPr>
          <w:sz w:val="24"/>
          <w:szCs w:val="24"/>
          <w:lang w:val="en-US"/>
        </w:rPr>
        <w:t>Materechera</w:t>
      </w:r>
      <w:proofErr w:type="spellEnd"/>
      <w:r w:rsidRPr="000B0126">
        <w:rPr>
          <w:sz w:val="24"/>
          <w:szCs w:val="24"/>
          <w:lang w:val="en-US"/>
        </w:rPr>
        <w:t xml:space="preserve">, S., Parsons, M., </w:t>
      </w:r>
      <w:proofErr w:type="spellStart"/>
      <w:r w:rsidRPr="000B0126">
        <w:rPr>
          <w:sz w:val="24"/>
          <w:szCs w:val="24"/>
          <w:lang w:val="en-US"/>
        </w:rPr>
        <w:t>Raseroka</w:t>
      </w:r>
      <w:proofErr w:type="spellEnd"/>
      <w:r w:rsidRPr="000B0126">
        <w:rPr>
          <w:sz w:val="24"/>
          <w:szCs w:val="24"/>
          <w:lang w:val="en-US"/>
        </w:rPr>
        <w:t>, K., Rodriguez-</w:t>
      </w:r>
      <w:proofErr w:type="spellStart"/>
      <w:r w:rsidRPr="000B0126">
        <w:rPr>
          <w:sz w:val="24"/>
          <w:szCs w:val="24"/>
          <w:lang w:val="en-US"/>
        </w:rPr>
        <w:t>Lonebear</w:t>
      </w:r>
      <w:proofErr w:type="spellEnd"/>
      <w:r w:rsidRPr="000B0126">
        <w:rPr>
          <w:sz w:val="24"/>
          <w:szCs w:val="24"/>
          <w:lang w:val="en-US"/>
        </w:rPr>
        <w:t xml:space="preserve">, D., Rowe, R., Sara, R., Walker, J. D., Anderson, J., &amp; Hudson, M. (2020). The CARE principles for indigenous data governance. </w:t>
      </w:r>
      <w:r w:rsidRPr="000B0126">
        <w:rPr>
          <w:i/>
          <w:iCs/>
          <w:sz w:val="24"/>
          <w:szCs w:val="24"/>
          <w:lang w:val="en-US"/>
        </w:rPr>
        <w:t>Data Science Journal, 19</w:t>
      </w:r>
      <w:r w:rsidRPr="000B0126">
        <w:rPr>
          <w:sz w:val="24"/>
          <w:szCs w:val="24"/>
          <w:lang w:val="en-US"/>
        </w:rPr>
        <w:t>(1), Article 43. https://doi.org/10.5334/dsj-2020-043</w:t>
      </w:r>
    </w:p>
    <w:p w:rsidR="00DD16F8" w:rsidRPr="000B0126" w:rsidRDefault="00DD16F8" w:rsidP="00DD16F8">
      <w:pPr>
        <w:spacing w:line="480" w:lineRule="auto"/>
        <w:ind w:left="720" w:hanging="720"/>
        <w:jc w:val="both"/>
        <w:rPr>
          <w:lang w:val="en-US"/>
        </w:rPr>
      </w:pPr>
      <w:proofErr w:type="spellStart"/>
      <w:r w:rsidRPr="000B0126">
        <w:rPr>
          <w:sz w:val="24"/>
          <w:szCs w:val="24"/>
          <w:lang w:val="en-US"/>
        </w:rPr>
        <w:t>Conneau</w:t>
      </w:r>
      <w:proofErr w:type="spellEnd"/>
      <w:r w:rsidRPr="000B0126">
        <w:rPr>
          <w:sz w:val="24"/>
          <w:szCs w:val="24"/>
          <w:lang w:val="en-US"/>
        </w:rPr>
        <w:t xml:space="preserve">, A., Khandelwal, K., Goyal, N., Chaudhary, V., </w:t>
      </w:r>
      <w:proofErr w:type="spellStart"/>
      <w:r w:rsidRPr="000B0126">
        <w:rPr>
          <w:sz w:val="24"/>
          <w:szCs w:val="24"/>
          <w:lang w:val="en-US"/>
        </w:rPr>
        <w:t>Wenzek</w:t>
      </w:r>
      <w:proofErr w:type="spellEnd"/>
      <w:r w:rsidRPr="000B0126">
        <w:rPr>
          <w:sz w:val="24"/>
          <w:szCs w:val="24"/>
          <w:lang w:val="en-US"/>
        </w:rPr>
        <w:t xml:space="preserve">, G., Guzmán, F., Grave, E., Ott, M., </w:t>
      </w:r>
      <w:proofErr w:type="spellStart"/>
      <w:r w:rsidRPr="000B0126">
        <w:rPr>
          <w:sz w:val="24"/>
          <w:szCs w:val="24"/>
          <w:lang w:val="en-US"/>
        </w:rPr>
        <w:t>Zettlemoyer</w:t>
      </w:r>
      <w:proofErr w:type="spellEnd"/>
      <w:r w:rsidRPr="000B0126">
        <w:rPr>
          <w:sz w:val="24"/>
          <w:szCs w:val="24"/>
          <w:lang w:val="en-US"/>
        </w:rPr>
        <w:t xml:space="preserve">, L., &amp; </w:t>
      </w:r>
      <w:proofErr w:type="spellStart"/>
      <w:r w:rsidRPr="000B0126">
        <w:rPr>
          <w:sz w:val="24"/>
          <w:szCs w:val="24"/>
          <w:lang w:val="en-US"/>
        </w:rPr>
        <w:t>Stoyanov</w:t>
      </w:r>
      <w:proofErr w:type="spellEnd"/>
      <w:r w:rsidRPr="000B0126">
        <w:rPr>
          <w:sz w:val="24"/>
          <w:szCs w:val="24"/>
          <w:lang w:val="en-US"/>
        </w:rPr>
        <w:t xml:space="preserve">, V. (2020). Unsupervised cross-lingual representation learning at scale. </w:t>
      </w:r>
      <w:r w:rsidRPr="000B0126">
        <w:rPr>
          <w:i/>
          <w:iCs/>
          <w:sz w:val="24"/>
          <w:szCs w:val="24"/>
          <w:lang w:val="en-US"/>
        </w:rPr>
        <w:t>Proceedings of the 58th Annual Meeting of the Association for Computational Linguistics</w:t>
      </w:r>
      <w:r w:rsidRPr="000B0126">
        <w:rPr>
          <w:sz w:val="24"/>
          <w:szCs w:val="24"/>
          <w:lang w:val="en-US"/>
        </w:rPr>
        <w:t>, 8440–8451. https://doi.org/10.18653/v1/2020.acl-main.747</w:t>
      </w:r>
    </w:p>
    <w:p w:rsidR="00DD16F8" w:rsidRDefault="00DD16F8" w:rsidP="00DD16F8">
      <w:pPr>
        <w:spacing w:line="480" w:lineRule="auto"/>
        <w:ind w:left="720" w:hanging="720"/>
        <w:jc w:val="both"/>
      </w:pPr>
      <w:r w:rsidRPr="000B0126">
        <w:rPr>
          <w:sz w:val="24"/>
          <w:szCs w:val="24"/>
          <w:lang w:val="en-US"/>
        </w:rPr>
        <w:t xml:space="preserve">Devlin, J., Chang, M.-W., Lee, K., &amp; Toutanova, K. (2019). BERT: Pre-training of deep bidirectional transformers for language understanding. </w:t>
      </w:r>
      <w:proofErr w:type="spellStart"/>
      <w:r>
        <w:rPr>
          <w:i/>
          <w:iCs/>
          <w:sz w:val="24"/>
          <w:szCs w:val="24"/>
        </w:rPr>
        <w:t>Proceedings</w:t>
      </w:r>
      <w:proofErr w:type="spellEnd"/>
      <w:r>
        <w:rPr>
          <w:i/>
          <w:iCs/>
          <w:sz w:val="24"/>
          <w:szCs w:val="24"/>
        </w:rPr>
        <w:t xml:space="preserve"> </w:t>
      </w:r>
      <w:proofErr w:type="spellStart"/>
      <w:r>
        <w:rPr>
          <w:i/>
          <w:iCs/>
          <w:sz w:val="24"/>
          <w:szCs w:val="24"/>
        </w:rPr>
        <w:t>of</w:t>
      </w:r>
      <w:proofErr w:type="spellEnd"/>
      <w:r>
        <w:rPr>
          <w:i/>
          <w:iCs/>
          <w:sz w:val="24"/>
          <w:szCs w:val="24"/>
        </w:rPr>
        <w:t xml:space="preserve"> NAACL-HLT 2019</w:t>
      </w:r>
      <w:r>
        <w:rPr>
          <w:sz w:val="24"/>
          <w:szCs w:val="24"/>
        </w:rPr>
        <w:t xml:space="preserve">, 4171–4186. </w:t>
      </w:r>
      <w:hyperlink r:id="rId9" w:history="1">
        <w:r w:rsidRPr="00380BA1">
          <w:rPr>
            <w:rStyle w:val="Hipervnculo"/>
            <w:sz w:val="24"/>
            <w:szCs w:val="24"/>
          </w:rPr>
          <w:t>https://doi.org/10.18653/v1/N19-1423</w:t>
        </w:r>
      </w:hyperlink>
    </w:p>
    <w:p w:rsidR="00DD16F8" w:rsidRDefault="00DD16F8" w:rsidP="00DD16F8">
      <w:pPr>
        <w:spacing w:line="480" w:lineRule="auto"/>
        <w:ind w:left="720" w:hanging="720"/>
        <w:jc w:val="both"/>
      </w:pPr>
      <w:r>
        <w:rPr>
          <w:sz w:val="24"/>
          <w:szCs w:val="24"/>
        </w:rPr>
        <w:t xml:space="preserve">Hernández-Sampieri, R., Fernández-Collado, C., &amp; Baptista-Lucio, P. (2018). </w:t>
      </w:r>
      <w:r>
        <w:rPr>
          <w:i/>
          <w:iCs/>
          <w:sz w:val="24"/>
          <w:szCs w:val="24"/>
        </w:rPr>
        <w:t>Metodología de la investigación</w:t>
      </w:r>
      <w:r>
        <w:rPr>
          <w:sz w:val="24"/>
          <w:szCs w:val="24"/>
        </w:rPr>
        <w:t xml:space="preserve"> (6.ª ed.). McGraw-Hill.</w:t>
      </w:r>
    </w:p>
    <w:p w:rsidR="00DD16F8" w:rsidRPr="000B0126" w:rsidRDefault="00DD16F8" w:rsidP="00DD16F8">
      <w:pPr>
        <w:spacing w:line="480" w:lineRule="auto"/>
        <w:ind w:left="720" w:hanging="720"/>
        <w:jc w:val="both"/>
        <w:rPr>
          <w:lang w:val="en-US"/>
        </w:rPr>
      </w:pPr>
      <w:r>
        <w:rPr>
          <w:sz w:val="24"/>
          <w:szCs w:val="24"/>
        </w:rPr>
        <w:t xml:space="preserve">Lewis, P., </w:t>
      </w:r>
      <w:proofErr w:type="spellStart"/>
      <w:r>
        <w:rPr>
          <w:sz w:val="24"/>
          <w:szCs w:val="24"/>
        </w:rPr>
        <w:t>Perez</w:t>
      </w:r>
      <w:proofErr w:type="spellEnd"/>
      <w:r>
        <w:rPr>
          <w:sz w:val="24"/>
          <w:szCs w:val="24"/>
        </w:rPr>
        <w:t xml:space="preserve">, E., </w:t>
      </w:r>
      <w:proofErr w:type="spellStart"/>
      <w:r>
        <w:rPr>
          <w:sz w:val="24"/>
          <w:szCs w:val="24"/>
        </w:rPr>
        <w:t>Piktus</w:t>
      </w:r>
      <w:proofErr w:type="spellEnd"/>
      <w:r>
        <w:rPr>
          <w:sz w:val="24"/>
          <w:szCs w:val="24"/>
        </w:rPr>
        <w:t xml:space="preserve">, A., </w:t>
      </w:r>
      <w:proofErr w:type="spellStart"/>
      <w:r>
        <w:rPr>
          <w:sz w:val="24"/>
          <w:szCs w:val="24"/>
        </w:rPr>
        <w:t>Petroni</w:t>
      </w:r>
      <w:proofErr w:type="spellEnd"/>
      <w:r>
        <w:rPr>
          <w:sz w:val="24"/>
          <w:szCs w:val="24"/>
        </w:rPr>
        <w:t xml:space="preserve">, F., </w:t>
      </w:r>
      <w:proofErr w:type="spellStart"/>
      <w:r>
        <w:rPr>
          <w:sz w:val="24"/>
          <w:szCs w:val="24"/>
        </w:rPr>
        <w:t>Karpukhin</w:t>
      </w:r>
      <w:proofErr w:type="spellEnd"/>
      <w:r>
        <w:rPr>
          <w:sz w:val="24"/>
          <w:szCs w:val="24"/>
        </w:rPr>
        <w:t xml:space="preserve">, V., </w:t>
      </w:r>
      <w:proofErr w:type="spellStart"/>
      <w:r>
        <w:rPr>
          <w:sz w:val="24"/>
          <w:szCs w:val="24"/>
        </w:rPr>
        <w:t>Goyal</w:t>
      </w:r>
      <w:proofErr w:type="spellEnd"/>
      <w:r>
        <w:rPr>
          <w:sz w:val="24"/>
          <w:szCs w:val="24"/>
        </w:rPr>
        <w:t xml:space="preserve">, N., </w:t>
      </w:r>
      <w:proofErr w:type="spellStart"/>
      <w:r>
        <w:rPr>
          <w:sz w:val="24"/>
          <w:szCs w:val="24"/>
        </w:rPr>
        <w:t>Küttler</w:t>
      </w:r>
      <w:proofErr w:type="spellEnd"/>
      <w:r>
        <w:rPr>
          <w:sz w:val="24"/>
          <w:szCs w:val="24"/>
        </w:rPr>
        <w:t xml:space="preserve">, H., Lewis, M., </w:t>
      </w:r>
      <w:proofErr w:type="spellStart"/>
      <w:r>
        <w:rPr>
          <w:sz w:val="24"/>
          <w:szCs w:val="24"/>
        </w:rPr>
        <w:t>Yih</w:t>
      </w:r>
      <w:proofErr w:type="spellEnd"/>
      <w:r>
        <w:rPr>
          <w:sz w:val="24"/>
          <w:szCs w:val="24"/>
        </w:rPr>
        <w:t xml:space="preserve">, W.-T., </w:t>
      </w:r>
      <w:proofErr w:type="spellStart"/>
      <w:r>
        <w:rPr>
          <w:sz w:val="24"/>
          <w:szCs w:val="24"/>
        </w:rPr>
        <w:t>Rocktäschel</w:t>
      </w:r>
      <w:proofErr w:type="spellEnd"/>
      <w:r>
        <w:rPr>
          <w:sz w:val="24"/>
          <w:szCs w:val="24"/>
        </w:rPr>
        <w:t xml:space="preserve">, T., </w:t>
      </w:r>
      <w:proofErr w:type="spellStart"/>
      <w:r>
        <w:rPr>
          <w:sz w:val="24"/>
          <w:szCs w:val="24"/>
        </w:rPr>
        <w:t>Riedel</w:t>
      </w:r>
      <w:proofErr w:type="spellEnd"/>
      <w:r>
        <w:rPr>
          <w:sz w:val="24"/>
          <w:szCs w:val="24"/>
        </w:rPr>
        <w:t xml:space="preserve">, S., &amp; </w:t>
      </w:r>
      <w:proofErr w:type="spellStart"/>
      <w:r>
        <w:rPr>
          <w:sz w:val="24"/>
          <w:szCs w:val="24"/>
        </w:rPr>
        <w:t>Kiela</w:t>
      </w:r>
      <w:proofErr w:type="spellEnd"/>
      <w:r>
        <w:rPr>
          <w:sz w:val="24"/>
          <w:szCs w:val="24"/>
        </w:rPr>
        <w:t xml:space="preserve">, D. (2020). </w:t>
      </w:r>
      <w:r w:rsidRPr="000B0126">
        <w:rPr>
          <w:sz w:val="24"/>
          <w:szCs w:val="24"/>
          <w:lang w:val="en-US"/>
        </w:rPr>
        <w:t xml:space="preserve">Retrieval-augmented generation for knowledge-intensive NLP tasks. </w:t>
      </w:r>
      <w:r w:rsidRPr="000B0126">
        <w:rPr>
          <w:i/>
          <w:iCs/>
          <w:sz w:val="24"/>
          <w:szCs w:val="24"/>
          <w:lang w:val="en-US"/>
        </w:rPr>
        <w:t>Advances in Neural Information Processing Systems, 33</w:t>
      </w:r>
      <w:r w:rsidRPr="000B0126">
        <w:rPr>
          <w:sz w:val="24"/>
          <w:szCs w:val="24"/>
          <w:lang w:val="en-US"/>
        </w:rPr>
        <w:t>, 9459–9474.</w:t>
      </w:r>
    </w:p>
    <w:p w:rsidR="00DD16F8" w:rsidRPr="000B0126" w:rsidRDefault="00DD16F8" w:rsidP="00DD16F8">
      <w:pPr>
        <w:spacing w:line="480" w:lineRule="auto"/>
        <w:rPr>
          <w:lang w:val="en-US"/>
        </w:rPr>
      </w:pPr>
    </w:p>
    <w:p w:rsidR="00DD16F8" w:rsidRPr="000B0126" w:rsidRDefault="00DD16F8" w:rsidP="00DD16F8">
      <w:pPr>
        <w:spacing w:line="480" w:lineRule="auto"/>
        <w:ind w:left="720" w:hanging="720"/>
        <w:jc w:val="both"/>
        <w:rPr>
          <w:lang w:val="en-US"/>
        </w:rPr>
      </w:pPr>
      <w:proofErr w:type="spellStart"/>
      <w:r w:rsidRPr="000B0126">
        <w:rPr>
          <w:sz w:val="24"/>
          <w:szCs w:val="24"/>
          <w:lang w:val="en-US"/>
        </w:rPr>
        <w:lastRenderedPageBreak/>
        <w:t>Marone</w:t>
      </w:r>
      <w:proofErr w:type="spellEnd"/>
      <w:r w:rsidRPr="000B0126">
        <w:rPr>
          <w:sz w:val="24"/>
          <w:szCs w:val="24"/>
          <w:lang w:val="en-US"/>
        </w:rPr>
        <w:t xml:space="preserve">, M., Weller, O., </w:t>
      </w:r>
      <w:proofErr w:type="spellStart"/>
      <w:r w:rsidRPr="000B0126">
        <w:rPr>
          <w:sz w:val="24"/>
          <w:szCs w:val="24"/>
          <w:lang w:val="en-US"/>
        </w:rPr>
        <w:t>Fleshman</w:t>
      </w:r>
      <w:proofErr w:type="spellEnd"/>
      <w:r w:rsidRPr="000B0126">
        <w:rPr>
          <w:sz w:val="24"/>
          <w:szCs w:val="24"/>
          <w:lang w:val="en-US"/>
        </w:rPr>
        <w:t xml:space="preserve">, W., Yang, E., Lawrie, D., &amp; Van </w:t>
      </w:r>
      <w:proofErr w:type="spellStart"/>
      <w:r w:rsidRPr="000B0126">
        <w:rPr>
          <w:sz w:val="24"/>
          <w:szCs w:val="24"/>
          <w:lang w:val="en-US"/>
        </w:rPr>
        <w:t>Durme</w:t>
      </w:r>
      <w:proofErr w:type="spellEnd"/>
      <w:r w:rsidRPr="000B0126">
        <w:rPr>
          <w:sz w:val="24"/>
          <w:szCs w:val="24"/>
          <w:lang w:val="en-US"/>
        </w:rPr>
        <w:t xml:space="preserve">, B. (2025). </w:t>
      </w:r>
      <w:proofErr w:type="spellStart"/>
      <w:r w:rsidRPr="000B0126">
        <w:rPr>
          <w:sz w:val="24"/>
          <w:szCs w:val="24"/>
          <w:lang w:val="en-US"/>
        </w:rPr>
        <w:t>mmBERT</w:t>
      </w:r>
      <w:proofErr w:type="spellEnd"/>
      <w:r w:rsidRPr="000B0126">
        <w:rPr>
          <w:sz w:val="24"/>
          <w:szCs w:val="24"/>
          <w:lang w:val="en-US"/>
        </w:rPr>
        <w:t xml:space="preserve">: A modern multilingual encoder with annealed language learning. </w:t>
      </w:r>
      <w:r w:rsidRPr="000B0126">
        <w:rPr>
          <w:i/>
          <w:iCs/>
          <w:sz w:val="24"/>
          <w:szCs w:val="24"/>
          <w:lang w:val="en-US"/>
        </w:rPr>
        <w:t>arXiv:2509.06888</w:t>
      </w:r>
      <w:r w:rsidRPr="000B0126">
        <w:rPr>
          <w:sz w:val="24"/>
          <w:szCs w:val="24"/>
          <w:lang w:val="en-US"/>
        </w:rPr>
        <w:t>. https://arxiv.org/abs/2509.06888</w:t>
      </w:r>
    </w:p>
    <w:p w:rsidR="00DD16F8" w:rsidRDefault="00DD16F8" w:rsidP="00DD16F8">
      <w:pPr>
        <w:spacing w:line="480" w:lineRule="auto"/>
        <w:ind w:left="720" w:hanging="720"/>
        <w:jc w:val="both"/>
      </w:pPr>
      <w:r>
        <w:rPr>
          <w:sz w:val="24"/>
          <w:szCs w:val="24"/>
        </w:rPr>
        <w:t>Ministerio de Culturas y Turismo de Bolivia. (2022). Política nacional de soberanía cultural digital. Estado Plurinacional de Bolivia.</w:t>
      </w:r>
    </w:p>
    <w:p w:rsidR="00DD16F8" w:rsidRDefault="00DD16F8" w:rsidP="00DD16F8">
      <w:pPr>
        <w:spacing w:line="480" w:lineRule="auto"/>
        <w:ind w:left="720" w:hanging="720"/>
        <w:jc w:val="both"/>
      </w:pPr>
      <w:r>
        <w:rPr>
          <w:sz w:val="24"/>
          <w:szCs w:val="24"/>
        </w:rPr>
        <w:t>Organización de las Naciones Unidas para la Educación, la Ciencia y la Cultura [UNESCO]. (2001). Proclamación del Carnaval de Oruro como Obra Maestra del Patrimonio Oral e Inmaterial de la Humanidad. https://ich.unesco.org/es/RL/carnaval-de-oruro-00003</w:t>
      </w:r>
    </w:p>
    <w:p w:rsidR="00DD16F8" w:rsidRDefault="00DD16F8" w:rsidP="00DD16F8">
      <w:pPr>
        <w:spacing w:line="480" w:lineRule="auto"/>
        <w:ind w:left="720" w:hanging="720"/>
        <w:jc w:val="both"/>
      </w:pPr>
      <w:r>
        <w:rPr>
          <w:sz w:val="24"/>
          <w:szCs w:val="24"/>
        </w:rPr>
        <w:t xml:space="preserve">Organización de las Naciones Unidas para la Educación, la Ciencia y la Cultura [UNESCO]. (2003). </w:t>
      </w:r>
      <w:r>
        <w:rPr>
          <w:i/>
          <w:iCs/>
          <w:sz w:val="24"/>
          <w:szCs w:val="24"/>
        </w:rPr>
        <w:t>Convención para la Salvaguardia del Patrimonio Cultural Inmaterial</w:t>
      </w:r>
      <w:r>
        <w:rPr>
          <w:sz w:val="24"/>
          <w:szCs w:val="24"/>
        </w:rPr>
        <w:t>. UNESCO.</w:t>
      </w:r>
    </w:p>
    <w:p w:rsidR="00DD16F8" w:rsidRDefault="00DD16F8" w:rsidP="00DD16F8">
      <w:pPr>
        <w:spacing w:line="480" w:lineRule="auto"/>
        <w:ind w:left="720" w:hanging="720"/>
        <w:jc w:val="both"/>
      </w:pPr>
      <w:r>
        <w:rPr>
          <w:sz w:val="24"/>
          <w:szCs w:val="24"/>
        </w:rPr>
        <w:t xml:space="preserve">Organización Mundial de la Propiedad Intelectual [OMPI]. (2024). </w:t>
      </w:r>
      <w:r>
        <w:rPr>
          <w:i/>
          <w:iCs/>
          <w:sz w:val="24"/>
          <w:szCs w:val="24"/>
        </w:rPr>
        <w:t>Tratado de la OMPI sobre propiedad intelectual, recursos genéticos y conocimientos tradicionales asociados</w:t>
      </w:r>
      <w:r>
        <w:rPr>
          <w:sz w:val="24"/>
          <w:szCs w:val="24"/>
        </w:rPr>
        <w:t>. OMPI. https://www.wipo.int/en/web/traditional-knowledge/wipo-treaty-on-ip-gr-and-associated-tk</w:t>
      </w:r>
    </w:p>
    <w:p w:rsidR="00DD16F8" w:rsidRPr="000B0126" w:rsidRDefault="00DD16F8" w:rsidP="00DD16F8">
      <w:pPr>
        <w:spacing w:line="480" w:lineRule="auto"/>
        <w:ind w:left="720" w:hanging="720"/>
        <w:jc w:val="both"/>
        <w:rPr>
          <w:lang w:val="en-US"/>
        </w:rPr>
      </w:pPr>
      <w:proofErr w:type="spellStart"/>
      <w:r w:rsidRPr="00DD16F8">
        <w:rPr>
          <w:sz w:val="24"/>
          <w:szCs w:val="24"/>
        </w:rPr>
        <w:t>Trichopoulos</w:t>
      </w:r>
      <w:proofErr w:type="spellEnd"/>
      <w:r w:rsidRPr="00DD16F8">
        <w:rPr>
          <w:sz w:val="24"/>
          <w:szCs w:val="24"/>
        </w:rPr>
        <w:t xml:space="preserve">, G., </w:t>
      </w:r>
      <w:proofErr w:type="spellStart"/>
      <w:r w:rsidRPr="00DD16F8">
        <w:rPr>
          <w:sz w:val="24"/>
          <w:szCs w:val="24"/>
        </w:rPr>
        <w:t>Konstantakis</w:t>
      </w:r>
      <w:proofErr w:type="spellEnd"/>
      <w:r w:rsidRPr="00DD16F8">
        <w:rPr>
          <w:sz w:val="24"/>
          <w:szCs w:val="24"/>
        </w:rPr>
        <w:t xml:space="preserve">, M., </w:t>
      </w:r>
      <w:proofErr w:type="spellStart"/>
      <w:r w:rsidRPr="00DD16F8">
        <w:rPr>
          <w:sz w:val="24"/>
          <w:szCs w:val="24"/>
        </w:rPr>
        <w:t>Caridakis</w:t>
      </w:r>
      <w:proofErr w:type="spellEnd"/>
      <w:r w:rsidRPr="00DD16F8">
        <w:rPr>
          <w:sz w:val="24"/>
          <w:szCs w:val="24"/>
        </w:rPr>
        <w:t xml:space="preserve">, G., </w:t>
      </w:r>
      <w:proofErr w:type="spellStart"/>
      <w:r w:rsidRPr="00DD16F8">
        <w:rPr>
          <w:sz w:val="24"/>
          <w:szCs w:val="24"/>
        </w:rPr>
        <w:t>Katifori</w:t>
      </w:r>
      <w:proofErr w:type="spellEnd"/>
      <w:r w:rsidRPr="00DD16F8">
        <w:rPr>
          <w:sz w:val="24"/>
          <w:szCs w:val="24"/>
        </w:rPr>
        <w:t xml:space="preserve">, A., &amp; </w:t>
      </w:r>
      <w:proofErr w:type="spellStart"/>
      <w:r w:rsidRPr="00DD16F8">
        <w:rPr>
          <w:sz w:val="24"/>
          <w:szCs w:val="24"/>
        </w:rPr>
        <w:t>Koukouli</w:t>
      </w:r>
      <w:proofErr w:type="spellEnd"/>
      <w:r w:rsidRPr="00DD16F8">
        <w:rPr>
          <w:sz w:val="24"/>
          <w:szCs w:val="24"/>
        </w:rPr>
        <w:t xml:space="preserve">, M. (2023). </w:t>
      </w:r>
      <w:r w:rsidRPr="000B0126">
        <w:rPr>
          <w:sz w:val="24"/>
          <w:szCs w:val="24"/>
          <w:lang w:val="en-US"/>
        </w:rPr>
        <w:t xml:space="preserve">Crafting a museum guide using ChatGPT4. </w:t>
      </w:r>
      <w:r w:rsidRPr="000B0126">
        <w:rPr>
          <w:i/>
          <w:iCs/>
          <w:sz w:val="24"/>
          <w:szCs w:val="24"/>
          <w:lang w:val="en-US"/>
        </w:rPr>
        <w:t>Big Data and Cognitive Computing, 7</w:t>
      </w:r>
      <w:r w:rsidRPr="000B0126">
        <w:rPr>
          <w:sz w:val="24"/>
          <w:szCs w:val="24"/>
          <w:lang w:val="en-US"/>
        </w:rPr>
        <w:t>(3), 148. https://doi.org/10.3390/bdcc7030148</w:t>
      </w:r>
    </w:p>
    <w:p w:rsidR="00DD16F8" w:rsidRPr="000B0126" w:rsidRDefault="00DD16F8" w:rsidP="00DD16F8">
      <w:pPr>
        <w:spacing w:line="480" w:lineRule="auto"/>
        <w:ind w:left="720" w:hanging="720"/>
        <w:jc w:val="both"/>
        <w:rPr>
          <w:lang w:val="en-US"/>
        </w:rPr>
      </w:pPr>
      <w:r w:rsidRPr="000B0126">
        <w:rPr>
          <w:sz w:val="24"/>
          <w:szCs w:val="24"/>
          <w:lang w:val="en-US"/>
        </w:rPr>
        <w:t xml:space="preserve">Young, J. O., &amp; </w:t>
      </w:r>
      <w:proofErr w:type="spellStart"/>
      <w:r w:rsidRPr="000B0126">
        <w:rPr>
          <w:sz w:val="24"/>
          <w:szCs w:val="24"/>
          <w:lang w:val="en-US"/>
        </w:rPr>
        <w:t>Brunk</w:t>
      </w:r>
      <w:proofErr w:type="spellEnd"/>
      <w:r w:rsidRPr="000B0126">
        <w:rPr>
          <w:sz w:val="24"/>
          <w:szCs w:val="24"/>
          <w:lang w:val="en-US"/>
        </w:rPr>
        <w:t xml:space="preserve">, C. G. (Eds.). (2012). </w:t>
      </w:r>
      <w:r w:rsidRPr="000B0126">
        <w:rPr>
          <w:i/>
          <w:iCs/>
          <w:sz w:val="24"/>
          <w:szCs w:val="24"/>
          <w:lang w:val="en-US"/>
        </w:rPr>
        <w:t>The ethics of cultural appropriation</w:t>
      </w:r>
      <w:r w:rsidRPr="000B0126">
        <w:rPr>
          <w:sz w:val="24"/>
          <w:szCs w:val="24"/>
          <w:lang w:val="en-US"/>
        </w:rPr>
        <w:t>. Wiley-Blackwell.</w:t>
      </w:r>
    </w:p>
    <w:p w:rsidR="00E41BC1" w:rsidRPr="00C869C1" w:rsidRDefault="00DD16F8" w:rsidP="00DD16F8">
      <w:pPr>
        <w:spacing w:line="480" w:lineRule="auto"/>
        <w:ind w:left="720" w:hanging="720"/>
        <w:jc w:val="both"/>
        <w:rPr>
          <w:sz w:val="24"/>
          <w:szCs w:val="24"/>
          <w:lang w:val="en-US"/>
        </w:rPr>
      </w:pPr>
      <w:proofErr w:type="spellStart"/>
      <w:r w:rsidRPr="00E41BC1">
        <w:rPr>
          <w:sz w:val="24"/>
          <w:szCs w:val="24"/>
          <w:lang w:val="en-US"/>
        </w:rPr>
        <w:t>Zubiaga</w:t>
      </w:r>
      <w:proofErr w:type="spellEnd"/>
      <w:r w:rsidRPr="00E41BC1">
        <w:rPr>
          <w:sz w:val="24"/>
          <w:szCs w:val="24"/>
          <w:lang w:val="en-US"/>
        </w:rPr>
        <w:t xml:space="preserve">, A., Aker, A., </w:t>
      </w:r>
      <w:proofErr w:type="spellStart"/>
      <w:r w:rsidRPr="00E41BC1">
        <w:rPr>
          <w:sz w:val="24"/>
          <w:szCs w:val="24"/>
          <w:lang w:val="en-US"/>
        </w:rPr>
        <w:t>Bontcheva</w:t>
      </w:r>
      <w:proofErr w:type="spellEnd"/>
      <w:r w:rsidRPr="00E41BC1">
        <w:rPr>
          <w:sz w:val="24"/>
          <w:szCs w:val="24"/>
          <w:lang w:val="en-US"/>
        </w:rPr>
        <w:t xml:space="preserve">, K., </w:t>
      </w:r>
      <w:proofErr w:type="spellStart"/>
      <w:r w:rsidRPr="00E41BC1">
        <w:rPr>
          <w:sz w:val="24"/>
          <w:szCs w:val="24"/>
          <w:lang w:val="en-US"/>
        </w:rPr>
        <w:t>Liakata</w:t>
      </w:r>
      <w:proofErr w:type="spellEnd"/>
      <w:r w:rsidRPr="00E41BC1">
        <w:rPr>
          <w:sz w:val="24"/>
          <w:szCs w:val="24"/>
          <w:lang w:val="en-US"/>
        </w:rPr>
        <w:t xml:space="preserve">, M., &amp; Procter, R. (2018). </w:t>
      </w:r>
      <w:r w:rsidRPr="000B0126">
        <w:rPr>
          <w:sz w:val="24"/>
          <w:szCs w:val="24"/>
          <w:lang w:val="en-US"/>
        </w:rPr>
        <w:t xml:space="preserve">Detection and resolution of </w:t>
      </w:r>
      <w:proofErr w:type="spellStart"/>
      <w:r w:rsidRPr="000B0126">
        <w:rPr>
          <w:sz w:val="24"/>
          <w:szCs w:val="24"/>
          <w:lang w:val="en-US"/>
        </w:rPr>
        <w:t>rumours</w:t>
      </w:r>
      <w:proofErr w:type="spellEnd"/>
      <w:r w:rsidRPr="000B0126">
        <w:rPr>
          <w:sz w:val="24"/>
          <w:szCs w:val="24"/>
          <w:lang w:val="en-US"/>
        </w:rPr>
        <w:t xml:space="preserve"> in social media: A survey. </w:t>
      </w:r>
      <w:r w:rsidRPr="00C869C1">
        <w:rPr>
          <w:i/>
          <w:iCs/>
          <w:sz w:val="24"/>
          <w:szCs w:val="24"/>
          <w:lang w:val="en-US"/>
        </w:rPr>
        <w:t>ACM Computing Surveys, 51</w:t>
      </w:r>
      <w:r w:rsidRPr="00C869C1">
        <w:rPr>
          <w:sz w:val="24"/>
          <w:szCs w:val="24"/>
          <w:lang w:val="en-US"/>
        </w:rPr>
        <w:t xml:space="preserve">(2), Article 32. </w:t>
      </w:r>
      <w:hyperlink r:id="rId10" w:history="1">
        <w:r w:rsidR="00E41BC1" w:rsidRPr="00C869C1">
          <w:rPr>
            <w:rStyle w:val="Hipervnculo"/>
            <w:sz w:val="24"/>
            <w:szCs w:val="24"/>
            <w:lang w:val="en-US"/>
          </w:rPr>
          <w:t>https://doi.org/10.1145/3161603</w:t>
        </w:r>
      </w:hyperlink>
    </w:p>
    <w:p w:rsidR="00E41BC1" w:rsidRPr="00C869C1" w:rsidRDefault="00E41BC1">
      <w:pPr>
        <w:rPr>
          <w:sz w:val="24"/>
          <w:szCs w:val="24"/>
          <w:lang w:val="en-US"/>
        </w:rPr>
      </w:pPr>
      <w:r w:rsidRPr="00C869C1">
        <w:rPr>
          <w:sz w:val="24"/>
          <w:szCs w:val="24"/>
          <w:lang w:val="en-US"/>
        </w:rPr>
        <w:br w:type="page"/>
      </w:r>
    </w:p>
    <w:p w:rsidR="00E41BC1" w:rsidRPr="00C869C1" w:rsidRDefault="00E41BC1" w:rsidP="00E41BC1">
      <w:pPr>
        <w:spacing w:before="240" w:line="480" w:lineRule="auto"/>
        <w:jc w:val="center"/>
        <w:rPr>
          <w:lang w:val="en-US"/>
        </w:rPr>
      </w:pPr>
      <w:r w:rsidRPr="00E66549">
        <w:rPr>
          <w:b/>
          <w:bCs/>
          <w:color w:val="000000" w:themeColor="text1"/>
          <w:sz w:val="28"/>
          <w:szCs w:val="28"/>
          <w:lang w:val="en-US"/>
        </w:rPr>
        <w:lastRenderedPageBreak/>
        <w:t>ANEXOS</w:t>
      </w:r>
    </w:p>
    <w:p w:rsidR="00E41BC1" w:rsidRDefault="00E41BC1" w:rsidP="00E41BC1">
      <w:pPr>
        <w:spacing w:line="480" w:lineRule="auto"/>
        <w:jc w:val="both"/>
      </w:pPr>
      <w:r w:rsidRPr="00C869C1">
        <w:rPr>
          <w:b/>
          <w:bCs/>
          <w:sz w:val="24"/>
          <w:szCs w:val="24"/>
          <w:lang w:val="en-US"/>
        </w:rPr>
        <w:t xml:space="preserve">Anexo No. 1. </w:t>
      </w:r>
      <w:r>
        <w:rPr>
          <w:sz w:val="24"/>
          <w:szCs w:val="24"/>
        </w:rPr>
        <w:t>Diagrama de Ishikawa sobre la situación problemática de la falsa atribución del patrimonio cultural inmaterial boliviano en medios digitales, en Bolivia, 2025–2026.</w:t>
      </w:r>
    </w:p>
    <w:p w:rsidR="00E41BC1" w:rsidRDefault="00E41BC1" w:rsidP="00E41BC1">
      <w:pPr>
        <w:spacing w:line="480" w:lineRule="auto"/>
      </w:pPr>
    </w:p>
    <w:p w:rsidR="00E41BC1" w:rsidRDefault="00E41BC1" w:rsidP="00E41BC1">
      <w:pPr>
        <w:spacing w:line="480" w:lineRule="auto"/>
        <w:jc w:val="center"/>
      </w:pPr>
      <w:r>
        <w:rPr>
          <w:noProof/>
        </w:rPr>
        <w:drawing>
          <wp:inline distT="0" distB="0" distL="0" distR="0" wp14:anchorId="19CBF571" wp14:editId="4093ADF1">
            <wp:extent cx="5337544" cy="34097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8244" cy="3454947"/>
                    </a:xfrm>
                    <a:prstGeom prst="rect">
                      <a:avLst/>
                    </a:prstGeom>
                  </pic:spPr>
                </pic:pic>
              </a:graphicData>
            </a:graphic>
          </wp:inline>
        </w:drawing>
      </w:r>
    </w:p>
    <w:p w:rsidR="00E41BC1" w:rsidRDefault="00E41BC1" w:rsidP="00E41BC1">
      <w:pPr>
        <w:spacing w:line="480" w:lineRule="auto"/>
      </w:pPr>
    </w:p>
    <w:p w:rsidR="00DD16F8" w:rsidRDefault="00DD16F8" w:rsidP="00DD16F8">
      <w:pPr>
        <w:spacing w:line="480" w:lineRule="auto"/>
        <w:ind w:left="720" w:hanging="720"/>
        <w:jc w:val="both"/>
      </w:pPr>
    </w:p>
    <w:p w:rsidR="009532F5" w:rsidRDefault="009532F5" w:rsidP="00DD16F8">
      <w:pPr>
        <w:spacing w:after="140" w:line="360" w:lineRule="auto"/>
        <w:ind w:left="720" w:hanging="720"/>
        <w:jc w:val="both"/>
      </w:pPr>
    </w:p>
    <w:sectPr w:rsidR="009532F5">
      <w:footerReference w:type="default" r:id="rId12"/>
      <w:pgSz w:w="11906" w:h="16838"/>
      <w:pgMar w:top="1701"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226D" w:rsidRDefault="0074226D">
      <w:r>
        <w:separator/>
      </w:r>
    </w:p>
  </w:endnote>
  <w:endnote w:type="continuationSeparator" w:id="0">
    <w:p w:rsidR="0074226D" w:rsidRDefault="00742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32F5" w:rsidRDefault="00000000">
    <w:pPr>
      <w:jc w:val="right"/>
    </w:pPr>
    <w:r>
      <w:rPr>
        <w:sz w:val="22"/>
        <w:szCs w:val="22"/>
      </w:rPr>
      <w:fldChar w:fldCharType="begin"/>
    </w:r>
    <w:r>
      <w:rPr>
        <w:sz w:val="22"/>
        <w:szCs w:val="22"/>
      </w:rPr>
      <w:instrText>PAGE</w:instrText>
    </w:r>
    <w:r>
      <w:rPr>
        <w:sz w:val="22"/>
        <w:szCs w:val="22"/>
      </w:rPr>
      <w:fldChar w:fldCharType="separate"/>
    </w:r>
    <w:r w:rsidR="00E5780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226D" w:rsidRDefault="0074226D">
      <w:r>
        <w:separator/>
      </w:r>
    </w:p>
  </w:footnote>
  <w:footnote w:type="continuationSeparator" w:id="0">
    <w:p w:rsidR="0074226D" w:rsidRDefault="007422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4B3B"/>
    <w:multiLevelType w:val="multilevel"/>
    <w:tmpl w:val="926EF6DC"/>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42708D"/>
    <w:multiLevelType w:val="multilevel"/>
    <w:tmpl w:val="471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436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4A14CF"/>
    <w:multiLevelType w:val="multilevel"/>
    <w:tmpl w:val="E046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5300E"/>
    <w:multiLevelType w:val="multilevel"/>
    <w:tmpl w:val="0EF2B5E0"/>
    <w:name w:val="nuvalista"/>
    <w:lvl w:ilvl="0">
      <w:start w:val="1"/>
      <w:numFmt w:val="none"/>
      <w:lvlText w:val=""/>
      <w:lvlJc w:val="center"/>
      <w:pPr>
        <w:ind w:left="-32767" w:hanging="32481"/>
      </w:pPr>
      <w:rPr>
        <w:rFonts w:hint="default"/>
      </w:rPr>
    </w:lvl>
    <w:lvl w:ilvl="1">
      <w:start w:val="1"/>
      <w:numFmt w:val="decimal"/>
      <w:lvlText w:val="%11.%2."/>
      <w:lvlJc w:val="left"/>
      <w:pPr>
        <w:ind w:left="792" w:hanging="432"/>
      </w:pPr>
      <w:rPr>
        <w:rFonts w:hint="default"/>
      </w:rPr>
    </w:lvl>
    <w:lvl w:ilvl="2">
      <w:start w:val="1"/>
      <w:numFmt w:val="none"/>
      <w:lvlText w:val="1.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7A63F3"/>
    <w:multiLevelType w:val="hybridMultilevel"/>
    <w:tmpl w:val="7C66B8C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278673E6"/>
    <w:multiLevelType w:val="hybridMultilevel"/>
    <w:tmpl w:val="72488FB8"/>
    <w:lvl w:ilvl="0" w:tplc="7E3410CA">
      <w:start w:val="1"/>
      <w:numFmt w:val="decimal"/>
      <w:lvlText w:val="%1."/>
      <w:lvlJc w:val="left"/>
      <w:pPr>
        <w:ind w:left="720"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D22B15"/>
    <w:multiLevelType w:val="hybridMultilevel"/>
    <w:tmpl w:val="F8429DC2"/>
    <w:lvl w:ilvl="0" w:tplc="4B485BFC">
      <w:numFmt w:val="bullet"/>
      <w:lvlText w:val="•"/>
      <w:lvlJc w:val="left"/>
      <w:pPr>
        <w:ind w:left="2140" w:hanging="700"/>
      </w:pPr>
      <w:rPr>
        <w:rFonts w:ascii="Times New Roman" w:eastAsia="Times New Roman" w:hAnsi="Times New Roman" w:cs="Times New Roman"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300748F3"/>
    <w:multiLevelType w:val="hybridMultilevel"/>
    <w:tmpl w:val="4C4E9A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7FC07C2"/>
    <w:multiLevelType w:val="multilevel"/>
    <w:tmpl w:val="875656D8"/>
    <w:name w:val="Lista Veron2"/>
    <w:lvl w:ilvl="0">
      <w:start w:val="3"/>
      <w:numFmt w:val="none"/>
      <w:pStyle w:val="Ttulo1"/>
      <w:lvlText w:val=""/>
      <w:lvlJc w:val="left"/>
      <w:pPr>
        <w:ind w:left="400" w:hanging="400"/>
      </w:pPr>
      <w:rPr>
        <w:rFonts w:hint="default"/>
      </w:rPr>
    </w:lvl>
    <w:lvl w:ilvl="1">
      <w:start w:val="1"/>
      <w:numFmt w:val="decimal"/>
      <w:pStyle w:val="Ttulo2"/>
      <w:lvlText w:val="1%1.%2."/>
      <w:lvlJc w:val="left"/>
      <w:pPr>
        <w:ind w:left="1428" w:hanging="720"/>
      </w:pPr>
      <w:rPr>
        <w:rFonts w:hint="default"/>
      </w:rPr>
    </w:lvl>
    <w:lvl w:ilvl="2">
      <w:start w:val="1"/>
      <w:numFmt w:val="decimal"/>
      <w:pStyle w:val="Ttulo3"/>
      <w:lvlText w:val="1%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38A25925"/>
    <w:multiLevelType w:val="multilevel"/>
    <w:tmpl w:val="3820B0F0"/>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D153B4"/>
    <w:multiLevelType w:val="multilevel"/>
    <w:tmpl w:val="D84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150AB"/>
    <w:multiLevelType w:val="hybridMultilevel"/>
    <w:tmpl w:val="85245BA4"/>
    <w:lvl w:ilvl="0" w:tplc="0409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3" w15:restartNumberingAfterBreak="0">
    <w:nsid w:val="46641C0A"/>
    <w:multiLevelType w:val="multilevel"/>
    <w:tmpl w:val="BC0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E1C37"/>
    <w:multiLevelType w:val="hybridMultilevel"/>
    <w:tmpl w:val="B1E8B78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AC701AE"/>
    <w:multiLevelType w:val="multilevel"/>
    <w:tmpl w:val="5D727B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3A33F2"/>
    <w:multiLevelType w:val="hybridMultilevel"/>
    <w:tmpl w:val="A702A26E"/>
    <w:lvl w:ilvl="0" w:tplc="0409000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52D2142B"/>
    <w:multiLevelType w:val="multilevel"/>
    <w:tmpl w:val="DCA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36DE0"/>
    <w:multiLevelType w:val="multilevel"/>
    <w:tmpl w:val="DE0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C33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BBB6E5B"/>
    <w:multiLevelType w:val="multilevel"/>
    <w:tmpl w:val="B07C3398"/>
    <w:name w:val="Lista Veron"/>
    <w:lvl w:ilvl="0">
      <w:start w:val="3"/>
      <w:numFmt w:val="none"/>
      <w:lvlText w:val=""/>
      <w:lvlJc w:val="left"/>
      <w:pPr>
        <w:ind w:left="400" w:hanging="400"/>
      </w:pPr>
      <w:rPr>
        <w:rFonts w:hint="default"/>
      </w:rPr>
    </w:lvl>
    <w:lvl w:ilvl="1">
      <w:start w:val="1"/>
      <w:numFmt w:val="decimal"/>
      <w:lvlText w:val="1%1.%2."/>
      <w:lvlJc w:val="left"/>
      <w:pPr>
        <w:ind w:left="1428" w:hanging="720"/>
      </w:pPr>
      <w:rPr>
        <w:rFonts w:hint="default"/>
      </w:rPr>
    </w:lvl>
    <w:lvl w:ilvl="2">
      <w:start w:val="1"/>
      <w:numFmt w:val="decimal"/>
      <w:lvlText w:val="1%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5D0018B4"/>
    <w:multiLevelType w:val="multilevel"/>
    <w:tmpl w:val="B518D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2C4E5D"/>
    <w:multiLevelType w:val="multilevel"/>
    <w:tmpl w:val="207C987A"/>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A4C2D18"/>
    <w:multiLevelType w:val="multilevel"/>
    <w:tmpl w:val="6F569B38"/>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4" w15:restartNumberingAfterBreak="0">
    <w:nsid w:val="6E8D73C0"/>
    <w:multiLevelType w:val="hybridMultilevel"/>
    <w:tmpl w:val="A57049CE"/>
    <w:lvl w:ilvl="0" w:tplc="D96CAEAE">
      <w:start w:val="1"/>
      <w:numFmt w:val="bullet"/>
      <w:lvlText w:val="●"/>
      <w:lvlJc w:val="left"/>
      <w:pPr>
        <w:ind w:left="720" w:hanging="360"/>
      </w:pPr>
    </w:lvl>
    <w:lvl w:ilvl="1" w:tplc="ED36E2E2">
      <w:start w:val="1"/>
      <w:numFmt w:val="bullet"/>
      <w:lvlText w:val="○"/>
      <w:lvlJc w:val="left"/>
      <w:pPr>
        <w:ind w:left="1440" w:hanging="360"/>
      </w:pPr>
    </w:lvl>
    <w:lvl w:ilvl="2" w:tplc="B3F43FB4">
      <w:start w:val="1"/>
      <w:numFmt w:val="bullet"/>
      <w:lvlText w:val="■"/>
      <w:lvlJc w:val="left"/>
      <w:pPr>
        <w:ind w:left="2160" w:hanging="360"/>
      </w:pPr>
    </w:lvl>
    <w:lvl w:ilvl="3" w:tplc="266A2598">
      <w:start w:val="1"/>
      <w:numFmt w:val="bullet"/>
      <w:lvlText w:val="●"/>
      <w:lvlJc w:val="left"/>
      <w:pPr>
        <w:ind w:left="2880" w:hanging="360"/>
      </w:pPr>
    </w:lvl>
    <w:lvl w:ilvl="4" w:tplc="8406422C">
      <w:start w:val="1"/>
      <w:numFmt w:val="bullet"/>
      <w:lvlText w:val="○"/>
      <w:lvlJc w:val="left"/>
      <w:pPr>
        <w:ind w:left="3600" w:hanging="360"/>
      </w:pPr>
    </w:lvl>
    <w:lvl w:ilvl="5" w:tplc="05804AB6">
      <w:start w:val="1"/>
      <w:numFmt w:val="bullet"/>
      <w:lvlText w:val="■"/>
      <w:lvlJc w:val="left"/>
      <w:pPr>
        <w:ind w:left="4320" w:hanging="360"/>
      </w:pPr>
    </w:lvl>
    <w:lvl w:ilvl="6" w:tplc="A826546E">
      <w:start w:val="1"/>
      <w:numFmt w:val="bullet"/>
      <w:lvlText w:val="●"/>
      <w:lvlJc w:val="left"/>
      <w:pPr>
        <w:ind w:left="5040" w:hanging="360"/>
      </w:pPr>
    </w:lvl>
    <w:lvl w:ilvl="7" w:tplc="80AE1078">
      <w:start w:val="1"/>
      <w:numFmt w:val="bullet"/>
      <w:lvlText w:val="●"/>
      <w:lvlJc w:val="left"/>
      <w:pPr>
        <w:ind w:left="5760" w:hanging="360"/>
      </w:pPr>
    </w:lvl>
    <w:lvl w:ilvl="8" w:tplc="2A6CCA56">
      <w:start w:val="1"/>
      <w:numFmt w:val="bullet"/>
      <w:lvlText w:val="●"/>
      <w:lvlJc w:val="left"/>
      <w:pPr>
        <w:ind w:left="6480" w:hanging="360"/>
      </w:pPr>
    </w:lvl>
  </w:abstractNum>
  <w:abstractNum w:abstractNumId="25" w15:restartNumberingAfterBreak="0">
    <w:nsid w:val="72CD6375"/>
    <w:multiLevelType w:val="hybridMultilevel"/>
    <w:tmpl w:val="F510F1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5CF6068"/>
    <w:multiLevelType w:val="multilevel"/>
    <w:tmpl w:val="6894956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303DA8"/>
    <w:multiLevelType w:val="multilevel"/>
    <w:tmpl w:val="35381466"/>
    <w:lvl w:ilvl="0">
      <w:start w:val="3"/>
      <w:numFmt w:val="decimal"/>
      <w:lvlText w:val="%1."/>
      <w:lvlJc w:val="left"/>
      <w:pPr>
        <w:ind w:left="400" w:hanging="40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8" w15:restartNumberingAfterBreak="0">
    <w:nsid w:val="77E028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D71954"/>
    <w:multiLevelType w:val="multilevel"/>
    <w:tmpl w:val="875656D8"/>
    <w:styleLink w:val="Listaactual1"/>
    <w:lvl w:ilvl="0">
      <w:start w:val="3"/>
      <w:numFmt w:val="none"/>
      <w:lvlText w:val=""/>
      <w:lvlJc w:val="left"/>
      <w:pPr>
        <w:ind w:left="400" w:hanging="400"/>
      </w:pPr>
      <w:rPr>
        <w:rFonts w:hint="default"/>
      </w:rPr>
    </w:lvl>
    <w:lvl w:ilvl="1">
      <w:start w:val="1"/>
      <w:numFmt w:val="decimal"/>
      <w:lvlText w:val="1%1.%2."/>
      <w:lvlJc w:val="left"/>
      <w:pPr>
        <w:ind w:left="1428" w:hanging="720"/>
      </w:pPr>
      <w:rPr>
        <w:rFonts w:hint="default"/>
      </w:rPr>
    </w:lvl>
    <w:lvl w:ilvl="2">
      <w:start w:val="1"/>
      <w:numFmt w:val="decimal"/>
      <w:lvlText w:val="1%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0" w15:restartNumberingAfterBreak="0">
    <w:nsid w:val="7AC35DE8"/>
    <w:multiLevelType w:val="multilevel"/>
    <w:tmpl w:val="8AE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C4989"/>
    <w:multiLevelType w:val="multilevel"/>
    <w:tmpl w:val="8CC2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300A9"/>
    <w:multiLevelType w:val="multilevel"/>
    <w:tmpl w:val="FA5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848A6"/>
    <w:multiLevelType w:val="multilevel"/>
    <w:tmpl w:val="727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098216">
    <w:abstractNumId w:val="24"/>
    <w:lvlOverride w:ilvl="0">
      <w:startOverride w:val="1"/>
    </w:lvlOverride>
  </w:num>
  <w:num w:numId="2" w16cid:durableId="278027888">
    <w:abstractNumId w:val="6"/>
  </w:num>
  <w:num w:numId="3" w16cid:durableId="560555509">
    <w:abstractNumId w:val="8"/>
  </w:num>
  <w:num w:numId="4" w16cid:durableId="2071690197">
    <w:abstractNumId w:val="14"/>
  </w:num>
  <w:num w:numId="5" w16cid:durableId="29695802">
    <w:abstractNumId w:val="7"/>
  </w:num>
  <w:num w:numId="6" w16cid:durableId="407850199">
    <w:abstractNumId w:val="23"/>
  </w:num>
  <w:num w:numId="7" w16cid:durableId="131868601">
    <w:abstractNumId w:val="22"/>
  </w:num>
  <w:num w:numId="8" w16cid:durableId="1164009482">
    <w:abstractNumId w:val="10"/>
  </w:num>
  <w:num w:numId="9" w16cid:durableId="1871801575">
    <w:abstractNumId w:val="0"/>
  </w:num>
  <w:num w:numId="10" w16cid:durableId="847523547">
    <w:abstractNumId w:val="12"/>
  </w:num>
  <w:num w:numId="11" w16cid:durableId="331298451">
    <w:abstractNumId w:val="16"/>
  </w:num>
  <w:num w:numId="12" w16cid:durableId="2136025632">
    <w:abstractNumId w:val="27"/>
  </w:num>
  <w:num w:numId="13" w16cid:durableId="756176013">
    <w:abstractNumId w:val="13"/>
  </w:num>
  <w:num w:numId="14" w16cid:durableId="1021856543">
    <w:abstractNumId w:val="5"/>
  </w:num>
  <w:num w:numId="15" w16cid:durableId="1496336735">
    <w:abstractNumId w:val="21"/>
  </w:num>
  <w:num w:numId="16" w16cid:durableId="1617983005">
    <w:abstractNumId w:val="28"/>
  </w:num>
  <w:num w:numId="17" w16cid:durableId="1762751507">
    <w:abstractNumId w:val="19"/>
  </w:num>
  <w:num w:numId="18" w16cid:durableId="1259095364">
    <w:abstractNumId w:val="2"/>
  </w:num>
  <w:num w:numId="19" w16cid:durableId="825826979">
    <w:abstractNumId w:val="17"/>
  </w:num>
  <w:num w:numId="20" w16cid:durableId="1051921588">
    <w:abstractNumId w:val="1"/>
  </w:num>
  <w:num w:numId="21" w16cid:durableId="913318974">
    <w:abstractNumId w:val="33"/>
  </w:num>
  <w:num w:numId="22" w16cid:durableId="23604526">
    <w:abstractNumId w:val="3"/>
  </w:num>
  <w:num w:numId="23" w16cid:durableId="16585193">
    <w:abstractNumId w:val="31"/>
  </w:num>
  <w:num w:numId="24" w16cid:durableId="1923638501">
    <w:abstractNumId w:val="18"/>
  </w:num>
  <w:num w:numId="25" w16cid:durableId="1615863173">
    <w:abstractNumId w:val="32"/>
  </w:num>
  <w:num w:numId="26" w16cid:durableId="998188537">
    <w:abstractNumId w:val="11"/>
  </w:num>
  <w:num w:numId="27" w16cid:durableId="986395037">
    <w:abstractNumId w:val="30"/>
  </w:num>
  <w:num w:numId="28" w16cid:durableId="694843416">
    <w:abstractNumId w:val="25"/>
  </w:num>
  <w:num w:numId="29" w16cid:durableId="492568940">
    <w:abstractNumId w:val="15"/>
  </w:num>
  <w:num w:numId="30" w16cid:durableId="396321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15532778">
    <w:abstractNumId w:val="4"/>
  </w:num>
  <w:num w:numId="32" w16cid:durableId="595331618">
    <w:abstractNumId w:val="20"/>
  </w:num>
  <w:num w:numId="33" w16cid:durableId="1485777021">
    <w:abstractNumId w:val="20"/>
  </w:num>
  <w:num w:numId="34" w16cid:durableId="1526600941">
    <w:abstractNumId w:val="20"/>
  </w:num>
  <w:num w:numId="35" w16cid:durableId="1294825689">
    <w:abstractNumId w:val="20"/>
  </w:num>
  <w:num w:numId="36" w16cid:durableId="1309555669">
    <w:abstractNumId w:val="20"/>
  </w:num>
  <w:num w:numId="37" w16cid:durableId="717826143">
    <w:abstractNumId w:val="20"/>
  </w:num>
  <w:num w:numId="38" w16cid:durableId="1620841020">
    <w:abstractNumId w:val="9"/>
  </w:num>
  <w:num w:numId="39" w16cid:durableId="1335575353">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14025710">
    <w:abstractNumId w:val="29"/>
  </w:num>
  <w:num w:numId="41" w16cid:durableId="1426727630">
    <w:abstractNumId w:val="26"/>
  </w:num>
  <w:num w:numId="42" w16cid:durableId="1747876588">
    <w:abstractNumId w:val="9"/>
  </w:num>
  <w:num w:numId="43" w16cid:durableId="1897088608">
    <w:abstractNumId w:val="9"/>
  </w:num>
  <w:num w:numId="44" w16cid:durableId="2010591895">
    <w:abstractNumId w:val="9"/>
  </w:num>
  <w:num w:numId="45" w16cid:durableId="2004308835">
    <w:abstractNumId w:val="9"/>
  </w:num>
  <w:num w:numId="46" w16cid:durableId="1681465065">
    <w:abstractNumId w:val="9"/>
  </w:num>
  <w:num w:numId="47" w16cid:durableId="1053389954">
    <w:abstractNumId w:val="9"/>
  </w:num>
  <w:num w:numId="48" w16cid:durableId="1931813363">
    <w:abstractNumId w:val="9"/>
  </w:num>
  <w:num w:numId="49" w16cid:durableId="2027318593">
    <w:abstractNumId w:val="9"/>
  </w:num>
  <w:num w:numId="50" w16cid:durableId="1184126883">
    <w:abstractNumId w:val="9"/>
  </w:num>
  <w:num w:numId="51" w16cid:durableId="2110926419">
    <w:abstractNumId w:val="9"/>
  </w:num>
  <w:num w:numId="52" w16cid:durableId="21449570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2F5"/>
    <w:rsid w:val="000A559D"/>
    <w:rsid w:val="00104411"/>
    <w:rsid w:val="00115EB3"/>
    <w:rsid w:val="00143EE0"/>
    <w:rsid w:val="001C2F6D"/>
    <w:rsid w:val="002F5EEE"/>
    <w:rsid w:val="003404A8"/>
    <w:rsid w:val="00340764"/>
    <w:rsid w:val="003454DC"/>
    <w:rsid w:val="003E1881"/>
    <w:rsid w:val="003F3DEF"/>
    <w:rsid w:val="004405C9"/>
    <w:rsid w:val="00447448"/>
    <w:rsid w:val="004C2D8F"/>
    <w:rsid w:val="004E0484"/>
    <w:rsid w:val="004E7A55"/>
    <w:rsid w:val="00522227"/>
    <w:rsid w:val="00621D45"/>
    <w:rsid w:val="006527A1"/>
    <w:rsid w:val="00657890"/>
    <w:rsid w:val="00666EDC"/>
    <w:rsid w:val="00696005"/>
    <w:rsid w:val="00722D9C"/>
    <w:rsid w:val="00731645"/>
    <w:rsid w:val="0074226D"/>
    <w:rsid w:val="007826AE"/>
    <w:rsid w:val="007B0BD7"/>
    <w:rsid w:val="007E41D2"/>
    <w:rsid w:val="008A1C12"/>
    <w:rsid w:val="008C1BD8"/>
    <w:rsid w:val="009532F5"/>
    <w:rsid w:val="00954409"/>
    <w:rsid w:val="00974144"/>
    <w:rsid w:val="0098351B"/>
    <w:rsid w:val="00A01251"/>
    <w:rsid w:val="00A501FD"/>
    <w:rsid w:val="00A61061"/>
    <w:rsid w:val="00A64DB6"/>
    <w:rsid w:val="00AB571A"/>
    <w:rsid w:val="00B15596"/>
    <w:rsid w:val="00B25DCB"/>
    <w:rsid w:val="00B52796"/>
    <w:rsid w:val="00B8781E"/>
    <w:rsid w:val="00BA343B"/>
    <w:rsid w:val="00BF2947"/>
    <w:rsid w:val="00C03888"/>
    <w:rsid w:val="00C26A1E"/>
    <w:rsid w:val="00C80417"/>
    <w:rsid w:val="00C869C1"/>
    <w:rsid w:val="00C92DBC"/>
    <w:rsid w:val="00CA6341"/>
    <w:rsid w:val="00CE56D2"/>
    <w:rsid w:val="00D26F2E"/>
    <w:rsid w:val="00D413A1"/>
    <w:rsid w:val="00D9551E"/>
    <w:rsid w:val="00DD16F8"/>
    <w:rsid w:val="00E108DE"/>
    <w:rsid w:val="00E36AB7"/>
    <w:rsid w:val="00E41BC1"/>
    <w:rsid w:val="00E5780A"/>
    <w:rsid w:val="00E66549"/>
    <w:rsid w:val="00E7632A"/>
    <w:rsid w:val="00EA7B5B"/>
    <w:rsid w:val="00EB0264"/>
    <w:rsid w:val="00F130D9"/>
    <w:rsid w:val="00F22598"/>
    <w:rsid w:val="00F43CE6"/>
    <w:rsid w:val="00FB6ECB"/>
    <w:rsid w:val="00FE4A0F"/>
    <w:rsid w:val="00FE7F37"/>
    <w:rsid w:val="00FF2EAB"/>
  </w:rsids>
  <m:mathPr>
    <m:mathFont m:val="Cambria Math"/>
    <m:brkBin m:val="before"/>
    <m:brkBinSub m:val="--"/>
    <m:smallFrac m:val="0"/>
    <m:dispDef/>
    <m:lMargin m:val="0"/>
    <m:rMargin m:val="0"/>
    <m:defJc m:val="centerGroup"/>
    <m:wrapIndent m:val="1440"/>
    <m:intLim m:val="subSup"/>
    <m:naryLim m:val="undOvr"/>
  </m:mathPr>
  <w:themeFontLang w:val="es-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2991101"/>
  <w15:docId w15:val="{12055E8B-15C2-9A43-88A9-3CBCBB3D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numPr>
        <w:numId w:val="38"/>
      </w:numPr>
      <w:outlineLvl w:val="0"/>
    </w:pPr>
    <w:rPr>
      <w:color w:val="2E74B5"/>
      <w:sz w:val="32"/>
      <w:szCs w:val="32"/>
    </w:rPr>
  </w:style>
  <w:style w:type="paragraph" w:styleId="Ttulo2">
    <w:name w:val="heading 2"/>
    <w:uiPriority w:val="9"/>
    <w:unhideWhenUsed/>
    <w:qFormat/>
    <w:pPr>
      <w:numPr>
        <w:ilvl w:val="1"/>
        <w:numId w:val="38"/>
      </w:numPr>
      <w:outlineLvl w:val="1"/>
    </w:pPr>
    <w:rPr>
      <w:color w:val="2E74B5"/>
      <w:sz w:val="26"/>
      <w:szCs w:val="26"/>
    </w:rPr>
  </w:style>
  <w:style w:type="paragraph" w:styleId="Ttulo3">
    <w:name w:val="heading 3"/>
    <w:uiPriority w:val="9"/>
    <w:unhideWhenUsed/>
    <w:qFormat/>
    <w:pPr>
      <w:numPr>
        <w:ilvl w:val="2"/>
        <w:numId w:val="38"/>
      </w:num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1C2F6D"/>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DC1">
    <w:name w:val="toc 1"/>
    <w:basedOn w:val="Normal"/>
    <w:next w:val="Normal"/>
    <w:autoRedefine/>
    <w:uiPriority w:val="39"/>
    <w:unhideWhenUsed/>
    <w:rsid w:val="001C2F6D"/>
    <w:pPr>
      <w:spacing w:before="120"/>
    </w:pPr>
    <w:rPr>
      <w:rFonts w:asciiTheme="minorHAnsi" w:hAnsiTheme="minorHAnsi" w:cstheme="minorHAnsi"/>
      <w:b/>
      <w:bCs/>
      <w:i/>
      <w:iCs/>
      <w:sz w:val="24"/>
      <w:szCs w:val="24"/>
    </w:rPr>
  </w:style>
  <w:style w:type="paragraph" w:styleId="TDC2">
    <w:name w:val="toc 2"/>
    <w:basedOn w:val="Normal"/>
    <w:next w:val="Normal"/>
    <w:autoRedefine/>
    <w:uiPriority w:val="39"/>
    <w:unhideWhenUsed/>
    <w:rsid w:val="001C2F6D"/>
    <w:pPr>
      <w:spacing w:before="120"/>
      <w:ind w:left="200"/>
    </w:pPr>
    <w:rPr>
      <w:rFonts w:asciiTheme="minorHAnsi" w:hAnsiTheme="minorHAnsi" w:cstheme="minorHAnsi"/>
      <w:b/>
      <w:bCs/>
      <w:sz w:val="22"/>
      <w:szCs w:val="22"/>
    </w:rPr>
  </w:style>
  <w:style w:type="paragraph" w:styleId="TDC3">
    <w:name w:val="toc 3"/>
    <w:basedOn w:val="Normal"/>
    <w:next w:val="Normal"/>
    <w:autoRedefine/>
    <w:uiPriority w:val="39"/>
    <w:unhideWhenUsed/>
    <w:rsid w:val="001C2F6D"/>
    <w:pPr>
      <w:ind w:left="400"/>
    </w:pPr>
    <w:rPr>
      <w:rFonts w:asciiTheme="minorHAnsi" w:hAnsiTheme="minorHAnsi" w:cstheme="minorHAnsi"/>
    </w:rPr>
  </w:style>
  <w:style w:type="paragraph" w:styleId="TDC4">
    <w:name w:val="toc 4"/>
    <w:basedOn w:val="Normal"/>
    <w:next w:val="Normal"/>
    <w:autoRedefine/>
    <w:uiPriority w:val="39"/>
    <w:semiHidden/>
    <w:unhideWhenUsed/>
    <w:rsid w:val="001C2F6D"/>
    <w:pPr>
      <w:ind w:left="600"/>
    </w:pPr>
    <w:rPr>
      <w:rFonts w:asciiTheme="minorHAnsi" w:hAnsiTheme="minorHAnsi" w:cstheme="minorHAnsi"/>
    </w:rPr>
  </w:style>
  <w:style w:type="paragraph" w:styleId="TDC5">
    <w:name w:val="toc 5"/>
    <w:basedOn w:val="Normal"/>
    <w:next w:val="Normal"/>
    <w:autoRedefine/>
    <w:uiPriority w:val="39"/>
    <w:semiHidden/>
    <w:unhideWhenUsed/>
    <w:rsid w:val="001C2F6D"/>
    <w:pPr>
      <w:ind w:left="800"/>
    </w:pPr>
    <w:rPr>
      <w:rFonts w:asciiTheme="minorHAnsi" w:hAnsiTheme="minorHAnsi" w:cstheme="minorHAnsi"/>
    </w:rPr>
  </w:style>
  <w:style w:type="paragraph" w:styleId="TDC6">
    <w:name w:val="toc 6"/>
    <w:basedOn w:val="Normal"/>
    <w:next w:val="Normal"/>
    <w:autoRedefine/>
    <w:uiPriority w:val="39"/>
    <w:semiHidden/>
    <w:unhideWhenUsed/>
    <w:rsid w:val="001C2F6D"/>
    <w:pPr>
      <w:ind w:left="1000"/>
    </w:pPr>
    <w:rPr>
      <w:rFonts w:asciiTheme="minorHAnsi" w:hAnsiTheme="minorHAnsi" w:cstheme="minorHAnsi"/>
    </w:rPr>
  </w:style>
  <w:style w:type="paragraph" w:styleId="TDC7">
    <w:name w:val="toc 7"/>
    <w:basedOn w:val="Normal"/>
    <w:next w:val="Normal"/>
    <w:autoRedefine/>
    <w:uiPriority w:val="39"/>
    <w:semiHidden/>
    <w:unhideWhenUsed/>
    <w:rsid w:val="001C2F6D"/>
    <w:pPr>
      <w:ind w:left="1200"/>
    </w:pPr>
    <w:rPr>
      <w:rFonts w:asciiTheme="minorHAnsi" w:hAnsiTheme="minorHAnsi" w:cstheme="minorHAnsi"/>
    </w:rPr>
  </w:style>
  <w:style w:type="paragraph" w:styleId="TDC8">
    <w:name w:val="toc 8"/>
    <w:basedOn w:val="Normal"/>
    <w:next w:val="Normal"/>
    <w:autoRedefine/>
    <w:uiPriority w:val="39"/>
    <w:semiHidden/>
    <w:unhideWhenUsed/>
    <w:rsid w:val="001C2F6D"/>
    <w:pPr>
      <w:ind w:left="1400"/>
    </w:pPr>
    <w:rPr>
      <w:rFonts w:asciiTheme="minorHAnsi" w:hAnsiTheme="minorHAnsi" w:cstheme="minorHAnsi"/>
    </w:rPr>
  </w:style>
  <w:style w:type="paragraph" w:styleId="TDC9">
    <w:name w:val="toc 9"/>
    <w:basedOn w:val="Normal"/>
    <w:next w:val="Normal"/>
    <w:autoRedefine/>
    <w:uiPriority w:val="39"/>
    <w:semiHidden/>
    <w:unhideWhenUsed/>
    <w:rsid w:val="001C2F6D"/>
    <w:pPr>
      <w:ind w:left="1600"/>
    </w:pPr>
    <w:rPr>
      <w:rFonts w:asciiTheme="minorHAnsi" w:hAnsiTheme="minorHAnsi" w:cstheme="minorHAnsi"/>
    </w:rPr>
  </w:style>
  <w:style w:type="character" w:styleId="Mencinsinresolver">
    <w:name w:val="Unresolved Mention"/>
    <w:basedOn w:val="Fuentedeprrafopredeter"/>
    <w:uiPriority w:val="99"/>
    <w:semiHidden/>
    <w:unhideWhenUsed/>
    <w:rsid w:val="00D9551E"/>
    <w:rPr>
      <w:color w:val="605E5C"/>
      <w:shd w:val="clear" w:color="auto" w:fill="E1DFDD"/>
    </w:rPr>
  </w:style>
  <w:style w:type="paragraph" w:customStyle="1" w:styleId="code-line">
    <w:name w:val="code-line"/>
    <w:basedOn w:val="Normal"/>
    <w:rsid w:val="00C869C1"/>
    <w:pPr>
      <w:spacing w:before="100" w:beforeAutospacing="1" w:after="100" w:afterAutospacing="1"/>
    </w:pPr>
    <w:rPr>
      <w:sz w:val="24"/>
      <w:szCs w:val="24"/>
    </w:rPr>
  </w:style>
  <w:style w:type="character" w:styleId="Textoennegrita">
    <w:name w:val="Strong"/>
    <w:basedOn w:val="Fuentedeprrafopredeter"/>
    <w:uiPriority w:val="22"/>
    <w:qFormat/>
    <w:rsid w:val="00F43CE6"/>
    <w:rPr>
      <w:b/>
      <w:bCs/>
    </w:rPr>
  </w:style>
  <w:style w:type="character" w:styleId="nfasis">
    <w:name w:val="Emphasis"/>
    <w:basedOn w:val="Fuentedeprrafopredeter"/>
    <w:uiPriority w:val="20"/>
    <w:qFormat/>
    <w:rsid w:val="00A61061"/>
    <w:rPr>
      <w:i/>
      <w:iCs/>
    </w:rPr>
  </w:style>
  <w:style w:type="character" w:styleId="CdigoHTML">
    <w:name w:val="HTML Code"/>
    <w:basedOn w:val="Fuentedeprrafopredeter"/>
    <w:uiPriority w:val="99"/>
    <w:semiHidden/>
    <w:unhideWhenUsed/>
    <w:rsid w:val="00E108DE"/>
    <w:rPr>
      <w:rFonts w:ascii="Courier New" w:eastAsia="Times New Roman" w:hAnsi="Courier New" w:cs="Courier New"/>
      <w:sz w:val="20"/>
      <w:szCs w:val="20"/>
    </w:rPr>
  </w:style>
  <w:style w:type="numbering" w:customStyle="1" w:styleId="Listaactual1">
    <w:name w:val="Lista actual1"/>
    <w:uiPriority w:val="99"/>
    <w:rsid w:val="00BA343B"/>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99432">
      <w:bodyDiv w:val="1"/>
      <w:marLeft w:val="0"/>
      <w:marRight w:val="0"/>
      <w:marTop w:val="0"/>
      <w:marBottom w:val="0"/>
      <w:divBdr>
        <w:top w:val="none" w:sz="0" w:space="0" w:color="auto"/>
        <w:left w:val="none" w:sz="0" w:space="0" w:color="auto"/>
        <w:bottom w:val="none" w:sz="0" w:space="0" w:color="auto"/>
        <w:right w:val="none" w:sz="0" w:space="0" w:color="auto"/>
      </w:divBdr>
    </w:div>
    <w:div w:id="142627330">
      <w:bodyDiv w:val="1"/>
      <w:marLeft w:val="0"/>
      <w:marRight w:val="0"/>
      <w:marTop w:val="0"/>
      <w:marBottom w:val="0"/>
      <w:divBdr>
        <w:top w:val="none" w:sz="0" w:space="0" w:color="auto"/>
        <w:left w:val="none" w:sz="0" w:space="0" w:color="auto"/>
        <w:bottom w:val="none" w:sz="0" w:space="0" w:color="auto"/>
        <w:right w:val="none" w:sz="0" w:space="0" w:color="auto"/>
      </w:divBdr>
    </w:div>
    <w:div w:id="354620940">
      <w:bodyDiv w:val="1"/>
      <w:marLeft w:val="0"/>
      <w:marRight w:val="0"/>
      <w:marTop w:val="0"/>
      <w:marBottom w:val="0"/>
      <w:divBdr>
        <w:top w:val="none" w:sz="0" w:space="0" w:color="auto"/>
        <w:left w:val="none" w:sz="0" w:space="0" w:color="auto"/>
        <w:bottom w:val="none" w:sz="0" w:space="0" w:color="auto"/>
        <w:right w:val="none" w:sz="0" w:space="0" w:color="auto"/>
      </w:divBdr>
    </w:div>
    <w:div w:id="727534247">
      <w:bodyDiv w:val="1"/>
      <w:marLeft w:val="0"/>
      <w:marRight w:val="0"/>
      <w:marTop w:val="0"/>
      <w:marBottom w:val="0"/>
      <w:divBdr>
        <w:top w:val="none" w:sz="0" w:space="0" w:color="auto"/>
        <w:left w:val="none" w:sz="0" w:space="0" w:color="auto"/>
        <w:bottom w:val="none" w:sz="0" w:space="0" w:color="auto"/>
        <w:right w:val="none" w:sz="0" w:space="0" w:color="auto"/>
      </w:divBdr>
    </w:div>
    <w:div w:id="1254314173">
      <w:bodyDiv w:val="1"/>
      <w:marLeft w:val="0"/>
      <w:marRight w:val="0"/>
      <w:marTop w:val="0"/>
      <w:marBottom w:val="0"/>
      <w:divBdr>
        <w:top w:val="none" w:sz="0" w:space="0" w:color="auto"/>
        <w:left w:val="none" w:sz="0" w:space="0" w:color="auto"/>
        <w:bottom w:val="none" w:sz="0" w:space="0" w:color="auto"/>
        <w:right w:val="none" w:sz="0" w:space="0" w:color="auto"/>
      </w:divBdr>
    </w:div>
    <w:div w:id="1295217405">
      <w:bodyDiv w:val="1"/>
      <w:marLeft w:val="0"/>
      <w:marRight w:val="0"/>
      <w:marTop w:val="0"/>
      <w:marBottom w:val="0"/>
      <w:divBdr>
        <w:top w:val="none" w:sz="0" w:space="0" w:color="auto"/>
        <w:left w:val="none" w:sz="0" w:space="0" w:color="auto"/>
        <w:bottom w:val="none" w:sz="0" w:space="0" w:color="auto"/>
        <w:right w:val="none" w:sz="0" w:space="0" w:color="auto"/>
      </w:divBdr>
    </w:div>
    <w:div w:id="1598058850">
      <w:bodyDiv w:val="1"/>
      <w:marLeft w:val="0"/>
      <w:marRight w:val="0"/>
      <w:marTop w:val="0"/>
      <w:marBottom w:val="0"/>
      <w:divBdr>
        <w:top w:val="none" w:sz="0" w:space="0" w:color="auto"/>
        <w:left w:val="none" w:sz="0" w:space="0" w:color="auto"/>
        <w:bottom w:val="none" w:sz="0" w:space="0" w:color="auto"/>
        <w:right w:val="none" w:sz="0" w:space="0" w:color="auto"/>
      </w:divBdr>
    </w:div>
    <w:div w:id="1840193972">
      <w:bodyDiv w:val="1"/>
      <w:marLeft w:val="0"/>
      <w:marRight w:val="0"/>
      <w:marTop w:val="0"/>
      <w:marBottom w:val="0"/>
      <w:divBdr>
        <w:top w:val="none" w:sz="0" w:space="0" w:color="auto"/>
        <w:left w:val="none" w:sz="0" w:space="0" w:color="auto"/>
        <w:bottom w:val="none" w:sz="0" w:space="0" w:color="auto"/>
        <w:right w:val="none" w:sz="0" w:space="0" w:color="auto"/>
      </w:divBdr>
    </w:div>
    <w:div w:id="1912614372">
      <w:bodyDiv w:val="1"/>
      <w:marLeft w:val="0"/>
      <w:marRight w:val="0"/>
      <w:marTop w:val="0"/>
      <w:marBottom w:val="0"/>
      <w:divBdr>
        <w:top w:val="none" w:sz="0" w:space="0" w:color="auto"/>
        <w:left w:val="none" w:sz="0" w:space="0" w:color="auto"/>
        <w:bottom w:val="none" w:sz="0" w:space="0" w:color="auto"/>
        <w:right w:val="none" w:sz="0" w:space="0" w:color="auto"/>
      </w:divBdr>
    </w:div>
    <w:div w:id="1954705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doi.org/10.1145/3161603" TargetMode="External"/><Relationship Id="rId4" Type="http://schemas.openxmlformats.org/officeDocument/2006/relationships/settings" Target="settings.xml"/><Relationship Id="rId9" Type="http://schemas.openxmlformats.org/officeDocument/2006/relationships/hyperlink" Target="https://doi.org/10.18653/v1/N19-1423"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14508-30A6-524E-9EC9-385E18DF0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30</Pages>
  <Words>8224</Words>
  <Characters>45234</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veronica tc</cp:lastModifiedBy>
  <cp:revision>7</cp:revision>
  <dcterms:created xsi:type="dcterms:W3CDTF">2026-04-19T03:28:00Z</dcterms:created>
  <dcterms:modified xsi:type="dcterms:W3CDTF">2026-05-01T02:00:00Z</dcterms:modified>
</cp:coreProperties>
</file>