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B6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Иван .... Колев, ф.н. М.....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eastAsia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4E0C84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330668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_Toc530330668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2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69" w:history="1">
            <w:r w:rsidRPr="00414572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0" w:history="1">
            <w:r w:rsidRPr="00414572">
              <w:rPr>
                <w:rStyle w:val="Hyperlink"/>
                <w:noProof/>
              </w:rPr>
              <w:t>Проучване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1" w:history="1">
            <w:r w:rsidRPr="00414572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2" w:history="1">
            <w:r w:rsidRPr="00414572">
              <w:rPr>
                <w:rStyle w:val="Hyperlink"/>
                <w:noProof/>
              </w:rPr>
              <w:t>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3" w:history="1">
            <w:r w:rsidRPr="00414572">
              <w:rPr>
                <w:rStyle w:val="Hyperlink"/>
                <w:noProof/>
              </w:rPr>
              <w:t>Продължаване на цикъла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4" w:history="1">
            <w:r w:rsidRPr="00414572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Pr="00414572">
              <w:rPr>
                <w:rStyle w:val="Hyperlink"/>
                <w:rFonts w:cs="Arial"/>
                <w:noProof/>
              </w:rPr>
              <w:t xml:space="preserve">agile и </w:t>
            </w:r>
            <w:r w:rsidRPr="00414572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5" w:history="1">
            <w:r w:rsidRPr="00414572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6" w:history="1">
            <w:r w:rsidRPr="00414572">
              <w:rPr>
                <w:rStyle w:val="Hyperlink"/>
                <w:noProof/>
              </w:rPr>
              <w:t>Удовлетвореност на клиентите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7" w:history="1">
            <w:r w:rsidRPr="00414572">
              <w:rPr>
                <w:rStyle w:val="Hyperlink"/>
                <w:noProof/>
              </w:rPr>
              <w:t>Контрол и прозрачност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8" w:history="1">
            <w:r w:rsidRPr="00414572">
              <w:rPr>
                <w:rStyle w:val="Hyperlink"/>
                <w:noProof/>
              </w:rPr>
              <w:t>Предвидимост и намален риск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9" w:history="1">
            <w:r w:rsidRPr="00414572">
              <w:rPr>
                <w:rStyle w:val="Hyperlink"/>
                <w:noProof/>
              </w:rPr>
              <w:t>Високо качество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0" w:history="1">
            <w:r w:rsidRPr="00414572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1" w:history="1">
            <w:r w:rsidRPr="00414572">
              <w:rPr>
                <w:rStyle w:val="Hyperlink"/>
                <w:noProof/>
              </w:rPr>
              <w:t>The Agile Manifesto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2" w:history="1">
            <w:r w:rsidRPr="00414572">
              <w:rPr>
                <w:rStyle w:val="Hyperlink"/>
                <w:rFonts w:cs="Arial"/>
                <w:noProof/>
                <w:lang w:val="bg-BG"/>
              </w:rPr>
              <w:t xml:space="preserve">Видове </w:t>
            </w:r>
            <w:r w:rsidRPr="00414572">
              <w:rPr>
                <w:rStyle w:val="Hyperlink"/>
                <w:rFonts w:cs="Arial"/>
                <w:noProof/>
              </w:rPr>
              <w:t xml:space="preserve">Agile </w:t>
            </w:r>
            <w:r w:rsidRPr="00414572">
              <w:rPr>
                <w:rStyle w:val="Hyperlink"/>
                <w:rFonts w:cs="Arial"/>
                <w:noProof/>
                <w:lang w:val="bg-BG"/>
              </w:rPr>
              <w:t>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84" w:rsidRDefault="004E0C84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3" w:history="1">
            <w:r w:rsidRPr="00414572">
              <w:rPr>
                <w:rStyle w:val="Hyperlink"/>
                <w:rFonts w:cs="Arial"/>
                <w:noProof/>
                <w:lang w:val="bg-BG"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0" w:name="_Toc530330668"/>
      <w:r w:rsidRPr="00DA426D">
        <w:rPr>
          <w:rFonts w:cs="Arial"/>
          <w:lang w:val="bg-BG"/>
        </w:rPr>
        <w:lastRenderedPageBreak/>
        <w:t>Какво е Agile</w:t>
      </w:r>
      <w:bookmarkEnd w:id="0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>Agile</w:t>
      </w:r>
      <w:r w:rsidRPr="00F43E50"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1" w:name="_Toc530330669"/>
      <w:r w:rsidRPr="00CA4DBC">
        <w:rPr>
          <w:rFonts w:cs="Arial"/>
          <w:lang w:val="bg-BG"/>
        </w:rPr>
        <w:t>Основни стъпки в 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2" w:name="_Toc530330670"/>
      <w:r w:rsidRPr="00F8557F"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3" w:name="_Toc530330671"/>
      <w:r w:rsidRPr="005519E4"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4" w:name="_Toc530330672"/>
      <w:r w:rsidRPr="00A13EE3"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5" w:name="_Toc530330673"/>
      <w:r w:rsidRPr="00DD066B"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</w:t>
      </w:r>
      <w:r w:rsidRPr="00E372BA">
        <w:rPr>
          <w:rFonts w:ascii="Arial" w:hAnsi="Arial" w:cs="Arial"/>
          <w:color w:val="222222"/>
          <w:lang w:val="bg-BG"/>
        </w:rPr>
        <w:t>надграждащ</w:t>
      </w:r>
      <w:r w:rsidRPr="00E372BA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6" w:name="_Toc530330674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6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7" w:name="_Toc530330675"/>
      <w:r w:rsidRPr="003438B0">
        <w:rPr>
          <w:rFonts w:cs="Arial"/>
          <w:lang w:val="bg-BG"/>
        </w:rPr>
        <w:t>Позли от прилагане на Agile</w:t>
      </w:r>
      <w:bookmarkEnd w:id="7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</w:t>
      </w:r>
      <w:r w:rsidRPr="002253A2">
        <w:rPr>
          <w:rFonts w:ascii="Arial" w:hAnsi="Arial" w:cs="Arial"/>
          <w:color w:val="222222"/>
          <w:lang w:val="bg-BG"/>
        </w:rPr>
        <w:t xml:space="preserve"> на екипите да се справят с обичайните </w:t>
      </w:r>
      <w:r w:rsidRPr="002253A2">
        <w:rPr>
          <w:rFonts w:ascii="Arial" w:hAnsi="Arial" w:cs="Arial"/>
          <w:color w:val="222222"/>
          <w:lang w:val="bg-BG"/>
        </w:rPr>
        <w:t>проблеми</w:t>
      </w:r>
      <w:r w:rsidRPr="002253A2">
        <w:rPr>
          <w:rFonts w:ascii="Arial" w:hAnsi="Arial" w:cs="Arial"/>
          <w:color w:val="222222"/>
          <w:lang w:val="bg-BG"/>
        </w:rPr>
        <w:t xml:space="preserve"> </w:t>
      </w:r>
      <w:r w:rsidRPr="002253A2">
        <w:rPr>
          <w:rFonts w:ascii="Arial" w:hAnsi="Arial" w:cs="Arial"/>
          <w:color w:val="222222"/>
          <w:lang w:val="bg-BG"/>
        </w:rPr>
        <w:t>от</w:t>
      </w:r>
      <w:r w:rsidRPr="002253A2">
        <w:rPr>
          <w:rFonts w:ascii="Arial" w:hAnsi="Arial" w:cs="Arial"/>
          <w:color w:val="222222"/>
          <w:lang w:val="bg-BG"/>
        </w:rPr>
        <w:t xml:space="preserve"> процеса на </w:t>
      </w:r>
      <w:r w:rsidRPr="002253A2">
        <w:rPr>
          <w:rFonts w:ascii="Arial" w:hAnsi="Arial" w:cs="Arial"/>
          <w:color w:val="222222"/>
          <w:lang w:val="bg-BG"/>
        </w:rPr>
        <w:t>разработване на софтуер, като</w:t>
      </w:r>
      <w:r w:rsidRPr="002253A2">
        <w:rPr>
          <w:rFonts w:ascii="Arial" w:hAnsi="Arial" w:cs="Arial"/>
          <w:color w:val="222222"/>
          <w:lang w:val="bg-BG"/>
        </w:rPr>
        <w:t xml:space="preserve"> хаос в резултат на непрекъ</w:t>
      </w:r>
      <w:r w:rsidRPr="002253A2">
        <w:rPr>
          <w:rFonts w:ascii="Arial" w:hAnsi="Arial" w:cs="Arial"/>
          <w:color w:val="222222"/>
          <w:lang w:val="bg-BG"/>
        </w:rPr>
        <w:t>снато променящите се изисквания,</w:t>
      </w:r>
      <w:r w:rsidRPr="002253A2">
        <w:rPr>
          <w:rFonts w:ascii="Arial" w:hAnsi="Arial" w:cs="Arial"/>
          <w:color w:val="222222"/>
          <w:lang w:val="bg-BG"/>
        </w:rPr>
        <w:t xml:space="preserve"> подценяване на </w:t>
      </w:r>
      <w:r w:rsidRPr="002253A2">
        <w:rPr>
          <w:rFonts w:ascii="Arial" w:hAnsi="Arial" w:cs="Arial"/>
          <w:color w:val="222222"/>
          <w:lang w:val="bg-BG"/>
        </w:rPr>
        <w:t>необходимото време за разработване и тестване</w:t>
      </w:r>
      <w:r w:rsidRPr="002253A2">
        <w:rPr>
          <w:rFonts w:ascii="Arial" w:hAnsi="Arial" w:cs="Arial"/>
          <w:color w:val="222222"/>
          <w:lang w:val="bg-BG"/>
        </w:rPr>
        <w:t xml:space="preserve">, </w:t>
      </w:r>
      <w:r w:rsidRPr="002253A2">
        <w:rPr>
          <w:rFonts w:ascii="Arial" w:hAnsi="Arial" w:cs="Arial"/>
          <w:color w:val="222222"/>
          <w:lang w:val="bg-BG"/>
        </w:rPr>
        <w:t>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8" w:name="_Toc530330676"/>
      <w:r w:rsidRPr="00067AA4">
        <w:t>Удовлетвореност на клиентите</w:t>
      </w:r>
      <w:bookmarkEnd w:id="8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9" w:name="_Toc530330677"/>
      <w:r w:rsidRPr="002D7713">
        <w:t>Контрол и прозрачност</w:t>
      </w:r>
      <w:bookmarkEnd w:id="9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0" w:name="_Toc530330678"/>
      <w:r w:rsidRPr="006675E3">
        <w:t>Предвидимост</w:t>
      </w:r>
      <w:r w:rsidR="00325723" w:rsidRPr="006675E3">
        <w:t xml:space="preserve"> и намален риск</w:t>
      </w:r>
      <w:bookmarkEnd w:id="10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1" w:name="_Toc530330679"/>
      <w:r w:rsidRPr="00651616">
        <w:t>Високо качество</w:t>
      </w:r>
      <w:bookmarkEnd w:id="11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2" w:name="_Toc530330680"/>
      <w:r>
        <w:rPr>
          <w:lang w:val="bg-BG"/>
        </w:rPr>
        <w:t>Фокусиране върху необходимостите на бизнеса</w:t>
      </w:r>
      <w:bookmarkEnd w:id="12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 xml:space="preserve"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</w:t>
      </w:r>
      <w:r w:rsidRPr="002411D4">
        <w:rPr>
          <w:rFonts w:ascii="Arial" w:hAnsi="Arial" w:cs="Arial"/>
          <w:color w:val="222222"/>
          <w:lang w:val="bg-BG"/>
        </w:rPr>
        <w:t>усъвършенства</w:t>
      </w:r>
      <w:r w:rsidRPr="002411D4">
        <w:rPr>
          <w:rFonts w:ascii="Arial" w:hAnsi="Arial" w:cs="Arial"/>
          <w:color w:val="222222"/>
          <w:lang w:val="bg-BG"/>
        </w:rPr>
        <w:t xml:space="preserve">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3" w:name="_Toc530330681"/>
      <w:r w:rsidRPr="00BE4AA6">
        <w:t>The Agile Manifesto</w:t>
      </w:r>
      <w:bookmarkEnd w:id="13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bookmarkStart w:id="14" w:name="_GoBack"/>
      <w:bookmarkEnd w:id="14"/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bookmarkStart w:id="15" w:name="_Toc530330682"/>
      <w:r>
        <w:rPr>
          <w:rFonts w:cs="Arial"/>
          <w:sz w:val="36"/>
          <w:szCs w:val="36"/>
          <w:lang w:val="bg-BG"/>
        </w:rPr>
        <w:br w:type="page"/>
      </w:r>
    </w:p>
    <w:p w:rsidR="00AE5385" w:rsidRPr="00352690" w:rsidRDefault="007615AC" w:rsidP="0087566A">
      <w:pPr>
        <w:pStyle w:val="Heading1"/>
        <w:spacing w:before="840"/>
        <w:rPr>
          <w:rFonts w:cs="Arial"/>
          <w:sz w:val="36"/>
          <w:szCs w:val="36"/>
          <w:lang w:val="bg-BG"/>
        </w:rPr>
      </w:pPr>
      <w:r w:rsidRPr="00352690">
        <w:rPr>
          <w:rFonts w:cs="Arial"/>
          <w:sz w:val="36"/>
          <w:szCs w:val="36"/>
          <w:lang w:val="bg-BG"/>
        </w:rPr>
        <w:lastRenderedPageBreak/>
        <w:t xml:space="preserve">Видове </w:t>
      </w:r>
      <w:r w:rsidRPr="00352690">
        <w:rPr>
          <w:rFonts w:cs="Arial"/>
          <w:sz w:val="36"/>
          <w:szCs w:val="36"/>
        </w:rPr>
        <w:t xml:space="preserve">Agile </w:t>
      </w:r>
      <w:r w:rsidRPr="00352690">
        <w:rPr>
          <w:rFonts w:cs="Arial"/>
          <w:sz w:val="36"/>
          <w:szCs w:val="36"/>
          <w:lang w:val="bg-BG"/>
        </w:rPr>
        <w:t>мет</w:t>
      </w:r>
      <w:r w:rsidR="00AE5385" w:rsidRPr="00352690">
        <w:rPr>
          <w:rFonts w:cs="Arial"/>
          <w:sz w:val="36"/>
          <w:szCs w:val="36"/>
          <w:lang w:val="bg-BG"/>
        </w:rPr>
        <w:t>одологии</w:t>
      </w:r>
      <w:bookmarkEnd w:id="15"/>
    </w:p>
    <w:p w:rsidR="00AE5385" w:rsidRDefault="00AE5385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  <w:r>
        <w:rPr>
          <w:rFonts w:ascii="Arial" w:hAnsi="Arial" w:cs="Arial"/>
          <w:sz w:val="44"/>
          <w:szCs w:val="44"/>
          <w:lang w:val="bg-BG"/>
        </w:rPr>
        <w:br w:type="page"/>
      </w:r>
    </w:p>
    <w:p w:rsidR="00F32309" w:rsidRPr="00352690" w:rsidRDefault="00F32309" w:rsidP="00F32309">
      <w:pPr>
        <w:pStyle w:val="Heading1"/>
        <w:rPr>
          <w:rFonts w:cs="Arial"/>
          <w:sz w:val="36"/>
          <w:szCs w:val="36"/>
          <w:lang w:val="bg-BG"/>
        </w:rPr>
      </w:pPr>
      <w:bookmarkStart w:id="16" w:name="_Toc530330683"/>
      <w:r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16"/>
    </w:p>
    <w:p w:rsidR="00AE5385" w:rsidRDefault="00CC6D55" w:rsidP="00352690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1" w:history="1">
        <w:r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CC6D55" w:rsidRDefault="00CC6D55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CC6D55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3" w:history="1">
        <w:r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121A67" w:rsidRPr="00352690" w:rsidRDefault="00121A67" w:rsidP="00121A67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4" w:history="1">
        <w:r w:rsidRPr="0097302C">
          <w:rPr>
            <w:rStyle w:val="Hyperlink"/>
            <w:rFonts w:ascii="Arial" w:hAnsi="Arial" w:cs="Arial"/>
            <w:lang w:val="bg-BG"/>
          </w:rPr>
          <w:t>http://agilemanifesto.org/</w:t>
        </w:r>
      </w:hyperlink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5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522" w:rsidRDefault="007A1522" w:rsidP="002F5C9D">
      <w:pPr>
        <w:spacing w:after="0" w:line="240" w:lineRule="auto"/>
      </w:pPr>
      <w:r>
        <w:separator/>
      </w:r>
    </w:p>
  </w:endnote>
  <w:endnote w:type="continuationSeparator" w:id="0">
    <w:p w:rsidR="007A1522" w:rsidRDefault="007A1522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11D" w:rsidRDefault="000E7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FB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E711D" w:rsidRDefault="000E7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522" w:rsidRDefault="007A1522" w:rsidP="002F5C9D">
      <w:pPr>
        <w:spacing w:after="0" w:line="240" w:lineRule="auto"/>
      </w:pPr>
      <w:r>
        <w:separator/>
      </w:r>
    </w:p>
  </w:footnote>
  <w:footnote w:type="continuationSeparator" w:id="0">
    <w:p w:rsidR="007A1522" w:rsidRDefault="007A1522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21"/>
    <w:rsid w:val="000119B5"/>
    <w:rsid w:val="00016984"/>
    <w:rsid w:val="00017AED"/>
    <w:rsid w:val="00024511"/>
    <w:rsid w:val="0002459F"/>
    <w:rsid w:val="000301C1"/>
    <w:rsid w:val="000345A3"/>
    <w:rsid w:val="00037B0C"/>
    <w:rsid w:val="00042F99"/>
    <w:rsid w:val="000473F3"/>
    <w:rsid w:val="00050204"/>
    <w:rsid w:val="00051888"/>
    <w:rsid w:val="00052E48"/>
    <w:rsid w:val="0005765C"/>
    <w:rsid w:val="00060B8F"/>
    <w:rsid w:val="00060C8B"/>
    <w:rsid w:val="00061CD2"/>
    <w:rsid w:val="00062047"/>
    <w:rsid w:val="000635BA"/>
    <w:rsid w:val="00067AA4"/>
    <w:rsid w:val="00077D26"/>
    <w:rsid w:val="00087B20"/>
    <w:rsid w:val="000A44B7"/>
    <w:rsid w:val="000B277E"/>
    <w:rsid w:val="000C45B4"/>
    <w:rsid w:val="000C5CE0"/>
    <w:rsid w:val="000D0D3E"/>
    <w:rsid w:val="000E711D"/>
    <w:rsid w:val="000F11EB"/>
    <w:rsid w:val="000F78E2"/>
    <w:rsid w:val="0010111D"/>
    <w:rsid w:val="00105C8F"/>
    <w:rsid w:val="00111D2D"/>
    <w:rsid w:val="00112EAD"/>
    <w:rsid w:val="00113844"/>
    <w:rsid w:val="001139EA"/>
    <w:rsid w:val="00117009"/>
    <w:rsid w:val="00121A67"/>
    <w:rsid w:val="00127AE4"/>
    <w:rsid w:val="00130E12"/>
    <w:rsid w:val="001370E4"/>
    <w:rsid w:val="0013725E"/>
    <w:rsid w:val="00147786"/>
    <w:rsid w:val="00151FB6"/>
    <w:rsid w:val="0016476C"/>
    <w:rsid w:val="001673D2"/>
    <w:rsid w:val="0017250D"/>
    <w:rsid w:val="0018774D"/>
    <w:rsid w:val="00187F6B"/>
    <w:rsid w:val="00187F96"/>
    <w:rsid w:val="00192F85"/>
    <w:rsid w:val="001945FF"/>
    <w:rsid w:val="0019612A"/>
    <w:rsid w:val="001A63E7"/>
    <w:rsid w:val="001B1D8D"/>
    <w:rsid w:val="001C12AC"/>
    <w:rsid w:val="001D32F4"/>
    <w:rsid w:val="001E4FA6"/>
    <w:rsid w:val="001E62EF"/>
    <w:rsid w:val="001E7F09"/>
    <w:rsid w:val="0020463A"/>
    <w:rsid w:val="0020463F"/>
    <w:rsid w:val="00205EFA"/>
    <w:rsid w:val="0021064E"/>
    <w:rsid w:val="00211E49"/>
    <w:rsid w:val="00216056"/>
    <w:rsid w:val="002253A2"/>
    <w:rsid w:val="0023033C"/>
    <w:rsid w:val="00231551"/>
    <w:rsid w:val="00235E3D"/>
    <w:rsid w:val="00236D42"/>
    <w:rsid w:val="002411D4"/>
    <w:rsid w:val="00244B01"/>
    <w:rsid w:val="00246C65"/>
    <w:rsid w:val="002476A3"/>
    <w:rsid w:val="00256E79"/>
    <w:rsid w:val="00261EF5"/>
    <w:rsid w:val="0027562F"/>
    <w:rsid w:val="00276D0F"/>
    <w:rsid w:val="002807D0"/>
    <w:rsid w:val="0028224B"/>
    <w:rsid w:val="00282577"/>
    <w:rsid w:val="002837C5"/>
    <w:rsid w:val="00290E9C"/>
    <w:rsid w:val="00291AB4"/>
    <w:rsid w:val="0029452F"/>
    <w:rsid w:val="002A0AF3"/>
    <w:rsid w:val="002A2495"/>
    <w:rsid w:val="002A5F75"/>
    <w:rsid w:val="002A7A7A"/>
    <w:rsid w:val="002B2314"/>
    <w:rsid w:val="002B4508"/>
    <w:rsid w:val="002B5616"/>
    <w:rsid w:val="002C3B74"/>
    <w:rsid w:val="002C5289"/>
    <w:rsid w:val="002C7006"/>
    <w:rsid w:val="002C79BC"/>
    <w:rsid w:val="002D3427"/>
    <w:rsid w:val="002D3D10"/>
    <w:rsid w:val="002D6B6A"/>
    <w:rsid w:val="002D7713"/>
    <w:rsid w:val="002E46D9"/>
    <w:rsid w:val="002E781A"/>
    <w:rsid w:val="002F0B3B"/>
    <w:rsid w:val="002F1545"/>
    <w:rsid w:val="002F3D02"/>
    <w:rsid w:val="002F46CB"/>
    <w:rsid w:val="002F5035"/>
    <w:rsid w:val="002F5C9D"/>
    <w:rsid w:val="003076A6"/>
    <w:rsid w:val="00311D4A"/>
    <w:rsid w:val="00314ECD"/>
    <w:rsid w:val="003213D1"/>
    <w:rsid w:val="00325723"/>
    <w:rsid w:val="00331F18"/>
    <w:rsid w:val="00334C80"/>
    <w:rsid w:val="00337D88"/>
    <w:rsid w:val="00341D5A"/>
    <w:rsid w:val="003438B0"/>
    <w:rsid w:val="003523FD"/>
    <w:rsid w:val="00352690"/>
    <w:rsid w:val="0035567E"/>
    <w:rsid w:val="0035704E"/>
    <w:rsid w:val="00363EC7"/>
    <w:rsid w:val="0036553D"/>
    <w:rsid w:val="00371418"/>
    <w:rsid w:val="00375DB7"/>
    <w:rsid w:val="00376E80"/>
    <w:rsid w:val="00384FC8"/>
    <w:rsid w:val="0039672E"/>
    <w:rsid w:val="003A5097"/>
    <w:rsid w:val="003B49C8"/>
    <w:rsid w:val="003B702C"/>
    <w:rsid w:val="003C06A2"/>
    <w:rsid w:val="003C3AEE"/>
    <w:rsid w:val="003C7EFC"/>
    <w:rsid w:val="003E55E0"/>
    <w:rsid w:val="003F12EA"/>
    <w:rsid w:val="003F4E5D"/>
    <w:rsid w:val="003F65C4"/>
    <w:rsid w:val="00407330"/>
    <w:rsid w:val="004074E8"/>
    <w:rsid w:val="0041757E"/>
    <w:rsid w:val="00420378"/>
    <w:rsid w:val="00420A7A"/>
    <w:rsid w:val="00431620"/>
    <w:rsid w:val="004340F9"/>
    <w:rsid w:val="00435175"/>
    <w:rsid w:val="004355D3"/>
    <w:rsid w:val="004400E9"/>
    <w:rsid w:val="00442CBE"/>
    <w:rsid w:val="00444BE4"/>
    <w:rsid w:val="00445503"/>
    <w:rsid w:val="00445D67"/>
    <w:rsid w:val="0046078E"/>
    <w:rsid w:val="0046750C"/>
    <w:rsid w:val="004715A0"/>
    <w:rsid w:val="00472576"/>
    <w:rsid w:val="00474EE1"/>
    <w:rsid w:val="00476A58"/>
    <w:rsid w:val="004848D7"/>
    <w:rsid w:val="00494347"/>
    <w:rsid w:val="00497C69"/>
    <w:rsid w:val="004A34F9"/>
    <w:rsid w:val="004A5A2A"/>
    <w:rsid w:val="004B23F3"/>
    <w:rsid w:val="004B2E06"/>
    <w:rsid w:val="004D0155"/>
    <w:rsid w:val="004D2CC6"/>
    <w:rsid w:val="004E0C84"/>
    <w:rsid w:val="004F1AEC"/>
    <w:rsid w:val="004F3C94"/>
    <w:rsid w:val="005003A3"/>
    <w:rsid w:val="00504D9D"/>
    <w:rsid w:val="0050798A"/>
    <w:rsid w:val="00510432"/>
    <w:rsid w:val="00513F53"/>
    <w:rsid w:val="00522B2C"/>
    <w:rsid w:val="005236F3"/>
    <w:rsid w:val="00533BDB"/>
    <w:rsid w:val="005347CC"/>
    <w:rsid w:val="00536898"/>
    <w:rsid w:val="005379D1"/>
    <w:rsid w:val="00545238"/>
    <w:rsid w:val="005519E4"/>
    <w:rsid w:val="00554F14"/>
    <w:rsid w:val="00555B10"/>
    <w:rsid w:val="00570843"/>
    <w:rsid w:val="00576B1A"/>
    <w:rsid w:val="0057728E"/>
    <w:rsid w:val="005A5C69"/>
    <w:rsid w:val="005B088B"/>
    <w:rsid w:val="005B3174"/>
    <w:rsid w:val="005B37F0"/>
    <w:rsid w:val="005B710E"/>
    <w:rsid w:val="005C1B8E"/>
    <w:rsid w:val="005F0E9A"/>
    <w:rsid w:val="005F1AFC"/>
    <w:rsid w:val="0060021F"/>
    <w:rsid w:val="006031D2"/>
    <w:rsid w:val="00616518"/>
    <w:rsid w:val="006222AF"/>
    <w:rsid w:val="00625E0A"/>
    <w:rsid w:val="00627DE3"/>
    <w:rsid w:val="00635B0A"/>
    <w:rsid w:val="00651616"/>
    <w:rsid w:val="00652E3A"/>
    <w:rsid w:val="0065485D"/>
    <w:rsid w:val="006554FA"/>
    <w:rsid w:val="00661F9C"/>
    <w:rsid w:val="006675E3"/>
    <w:rsid w:val="00687DD3"/>
    <w:rsid w:val="0069545D"/>
    <w:rsid w:val="006A0068"/>
    <w:rsid w:val="006B027C"/>
    <w:rsid w:val="006B0A8A"/>
    <w:rsid w:val="006C6E3D"/>
    <w:rsid w:val="006C7CCA"/>
    <w:rsid w:val="006D3BFB"/>
    <w:rsid w:val="006D4044"/>
    <w:rsid w:val="006D409B"/>
    <w:rsid w:val="006E2A93"/>
    <w:rsid w:val="006E6788"/>
    <w:rsid w:val="006F395C"/>
    <w:rsid w:val="006F49B6"/>
    <w:rsid w:val="00704C8E"/>
    <w:rsid w:val="0071313E"/>
    <w:rsid w:val="0072009A"/>
    <w:rsid w:val="00721600"/>
    <w:rsid w:val="0074174C"/>
    <w:rsid w:val="007443A3"/>
    <w:rsid w:val="007477A4"/>
    <w:rsid w:val="00753574"/>
    <w:rsid w:val="0075640E"/>
    <w:rsid w:val="007615AC"/>
    <w:rsid w:val="00767A21"/>
    <w:rsid w:val="00776BE8"/>
    <w:rsid w:val="007858B3"/>
    <w:rsid w:val="0078596A"/>
    <w:rsid w:val="007941FE"/>
    <w:rsid w:val="00796D8A"/>
    <w:rsid w:val="007A1522"/>
    <w:rsid w:val="007A6EEC"/>
    <w:rsid w:val="007B1BBD"/>
    <w:rsid w:val="007B275C"/>
    <w:rsid w:val="007B4B50"/>
    <w:rsid w:val="007B665E"/>
    <w:rsid w:val="007B699F"/>
    <w:rsid w:val="007B6DED"/>
    <w:rsid w:val="007C245C"/>
    <w:rsid w:val="007D14AB"/>
    <w:rsid w:val="007D6C22"/>
    <w:rsid w:val="007D7858"/>
    <w:rsid w:val="007E64E6"/>
    <w:rsid w:val="007E737E"/>
    <w:rsid w:val="007E7807"/>
    <w:rsid w:val="007F42F4"/>
    <w:rsid w:val="00811B06"/>
    <w:rsid w:val="008159E2"/>
    <w:rsid w:val="00833EC1"/>
    <w:rsid w:val="00837172"/>
    <w:rsid w:val="00850B45"/>
    <w:rsid w:val="00850E17"/>
    <w:rsid w:val="00856E2D"/>
    <w:rsid w:val="00860648"/>
    <w:rsid w:val="00864414"/>
    <w:rsid w:val="00865682"/>
    <w:rsid w:val="00872DFF"/>
    <w:rsid w:val="0087566A"/>
    <w:rsid w:val="00875900"/>
    <w:rsid w:val="0088325C"/>
    <w:rsid w:val="0088512F"/>
    <w:rsid w:val="0088591E"/>
    <w:rsid w:val="00885A00"/>
    <w:rsid w:val="008879B6"/>
    <w:rsid w:val="00891AA8"/>
    <w:rsid w:val="008A1F25"/>
    <w:rsid w:val="008A2672"/>
    <w:rsid w:val="008A3310"/>
    <w:rsid w:val="008A789C"/>
    <w:rsid w:val="008B4326"/>
    <w:rsid w:val="008B7FE0"/>
    <w:rsid w:val="008C0231"/>
    <w:rsid w:val="008C2A79"/>
    <w:rsid w:val="008C4103"/>
    <w:rsid w:val="008C72C0"/>
    <w:rsid w:val="008D5A05"/>
    <w:rsid w:val="008F0BC1"/>
    <w:rsid w:val="008F4136"/>
    <w:rsid w:val="008F4380"/>
    <w:rsid w:val="008F4485"/>
    <w:rsid w:val="008F7FF4"/>
    <w:rsid w:val="00900855"/>
    <w:rsid w:val="00916C42"/>
    <w:rsid w:val="009177C4"/>
    <w:rsid w:val="00930376"/>
    <w:rsid w:val="009333C6"/>
    <w:rsid w:val="009349D4"/>
    <w:rsid w:val="009504BA"/>
    <w:rsid w:val="00950DAC"/>
    <w:rsid w:val="00953F23"/>
    <w:rsid w:val="00954C92"/>
    <w:rsid w:val="009577F2"/>
    <w:rsid w:val="00964456"/>
    <w:rsid w:val="00964D75"/>
    <w:rsid w:val="00965FB0"/>
    <w:rsid w:val="00966090"/>
    <w:rsid w:val="00970309"/>
    <w:rsid w:val="00974115"/>
    <w:rsid w:val="00976F5A"/>
    <w:rsid w:val="00987D15"/>
    <w:rsid w:val="00993B46"/>
    <w:rsid w:val="00994884"/>
    <w:rsid w:val="009A3523"/>
    <w:rsid w:val="009A70CB"/>
    <w:rsid w:val="009B0211"/>
    <w:rsid w:val="009B3AC9"/>
    <w:rsid w:val="009B4129"/>
    <w:rsid w:val="009B7A52"/>
    <w:rsid w:val="009C2547"/>
    <w:rsid w:val="009C4936"/>
    <w:rsid w:val="009D0722"/>
    <w:rsid w:val="009D10FD"/>
    <w:rsid w:val="009D3EBB"/>
    <w:rsid w:val="009D6096"/>
    <w:rsid w:val="009D7568"/>
    <w:rsid w:val="009D76D5"/>
    <w:rsid w:val="009E42F1"/>
    <w:rsid w:val="00A007A1"/>
    <w:rsid w:val="00A03520"/>
    <w:rsid w:val="00A03ADC"/>
    <w:rsid w:val="00A05E3C"/>
    <w:rsid w:val="00A06996"/>
    <w:rsid w:val="00A079E3"/>
    <w:rsid w:val="00A116F8"/>
    <w:rsid w:val="00A119B4"/>
    <w:rsid w:val="00A13EE3"/>
    <w:rsid w:val="00A170DA"/>
    <w:rsid w:val="00A246AA"/>
    <w:rsid w:val="00A33EB8"/>
    <w:rsid w:val="00A459B4"/>
    <w:rsid w:val="00A45FBB"/>
    <w:rsid w:val="00A521CC"/>
    <w:rsid w:val="00A528F4"/>
    <w:rsid w:val="00A67819"/>
    <w:rsid w:val="00A67AF4"/>
    <w:rsid w:val="00A77412"/>
    <w:rsid w:val="00A945E8"/>
    <w:rsid w:val="00A96535"/>
    <w:rsid w:val="00AA0396"/>
    <w:rsid w:val="00AB6491"/>
    <w:rsid w:val="00AB7E7E"/>
    <w:rsid w:val="00AC5CC3"/>
    <w:rsid w:val="00AC75EC"/>
    <w:rsid w:val="00AC7ECE"/>
    <w:rsid w:val="00AE3670"/>
    <w:rsid w:val="00AE40A1"/>
    <w:rsid w:val="00AE5385"/>
    <w:rsid w:val="00AF1719"/>
    <w:rsid w:val="00AF1A85"/>
    <w:rsid w:val="00B359B2"/>
    <w:rsid w:val="00B4060D"/>
    <w:rsid w:val="00B56A6B"/>
    <w:rsid w:val="00B57E37"/>
    <w:rsid w:val="00B645AF"/>
    <w:rsid w:val="00B74EC6"/>
    <w:rsid w:val="00B8428F"/>
    <w:rsid w:val="00B84931"/>
    <w:rsid w:val="00B920F3"/>
    <w:rsid w:val="00B94B34"/>
    <w:rsid w:val="00B963AE"/>
    <w:rsid w:val="00BB494C"/>
    <w:rsid w:val="00BC026B"/>
    <w:rsid w:val="00BC1596"/>
    <w:rsid w:val="00BC5CCB"/>
    <w:rsid w:val="00BC5FB1"/>
    <w:rsid w:val="00BC7D74"/>
    <w:rsid w:val="00BD3CB9"/>
    <w:rsid w:val="00BD4A10"/>
    <w:rsid w:val="00BD58B8"/>
    <w:rsid w:val="00BE0DAA"/>
    <w:rsid w:val="00BE2A00"/>
    <w:rsid w:val="00BE30D7"/>
    <w:rsid w:val="00BE3DDF"/>
    <w:rsid w:val="00BE4AA6"/>
    <w:rsid w:val="00BE4E23"/>
    <w:rsid w:val="00BF0D32"/>
    <w:rsid w:val="00BF7437"/>
    <w:rsid w:val="00BF752D"/>
    <w:rsid w:val="00C0388B"/>
    <w:rsid w:val="00C13605"/>
    <w:rsid w:val="00C1374F"/>
    <w:rsid w:val="00C15D9F"/>
    <w:rsid w:val="00C17D4D"/>
    <w:rsid w:val="00C229B3"/>
    <w:rsid w:val="00C27E9B"/>
    <w:rsid w:val="00C33CF1"/>
    <w:rsid w:val="00C3424E"/>
    <w:rsid w:val="00C36CC1"/>
    <w:rsid w:val="00C46956"/>
    <w:rsid w:val="00C57FD9"/>
    <w:rsid w:val="00C57FE3"/>
    <w:rsid w:val="00C71923"/>
    <w:rsid w:val="00C76645"/>
    <w:rsid w:val="00C81F3A"/>
    <w:rsid w:val="00C823D6"/>
    <w:rsid w:val="00C8357A"/>
    <w:rsid w:val="00C84C39"/>
    <w:rsid w:val="00C90ADD"/>
    <w:rsid w:val="00CA0241"/>
    <w:rsid w:val="00CA4DBC"/>
    <w:rsid w:val="00CA66B6"/>
    <w:rsid w:val="00CB78AB"/>
    <w:rsid w:val="00CC6562"/>
    <w:rsid w:val="00CC6AD7"/>
    <w:rsid w:val="00CC6D55"/>
    <w:rsid w:val="00CC7318"/>
    <w:rsid w:val="00CC7BE6"/>
    <w:rsid w:val="00CD74A4"/>
    <w:rsid w:val="00CE2795"/>
    <w:rsid w:val="00CE3449"/>
    <w:rsid w:val="00CF19B3"/>
    <w:rsid w:val="00CF45FC"/>
    <w:rsid w:val="00CF75FE"/>
    <w:rsid w:val="00D0598F"/>
    <w:rsid w:val="00D07747"/>
    <w:rsid w:val="00D14D70"/>
    <w:rsid w:val="00D160AE"/>
    <w:rsid w:val="00D21C7F"/>
    <w:rsid w:val="00D302F9"/>
    <w:rsid w:val="00D330B4"/>
    <w:rsid w:val="00D335D2"/>
    <w:rsid w:val="00D50C21"/>
    <w:rsid w:val="00D5375C"/>
    <w:rsid w:val="00D543D6"/>
    <w:rsid w:val="00D55C65"/>
    <w:rsid w:val="00D61141"/>
    <w:rsid w:val="00D85A29"/>
    <w:rsid w:val="00D87FF9"/>
    <w:rsid w:val="00D938A0"/>
    <w:rsid w:val="00D940DA"/>
    <w:rsid w:val="00D96444"/>
    <w:rsid w:val="00D966F5"/>
    <w:rsid w:val="00DA1D4C"/>
    <w:rsid w:val="00DA1E30"/>
    <w:rsid w:val="00DA3FD1"/>
    <w:rsid w:val="00DA426D"/>
    <w:rsid w:val="00DA43D3"/>
    <w:rsid w:val="00DB1C81"/>
    <w:rsid w:val="00DB4B7D"/>
    <w:rsid w:val="00DB5530"/>
    <w:rsid w:val="00DB7BFA"/>
    <w:rsid w:val="00DC3DFC"/>
    <w:rsid w:val="00DC4EBB"/>
    <w:rsid w:val="00DC5948"/>
    <w:rsid w:val="00DD066B"/>
    <w:rsid w:val="00DD3DB3"/>
    <w:rsid w:val="00DD57BF"/>
    <w:rsid w:val="00DE3EBB"/>
    <w:rsid w:val="00DE5E86"/>
    <w:rsid w:val="00DE6C4C"/>
    <w:rsid w:val="00E0524D"/>
    <w:rsid w:val="00E1738B"/>
    <w:rsid w:val="00E23813"/>
    <w:rsid w:val="00E25A5E"/>
    <w:rsid w:val="00E31242"/>
    <w:rsid w:val="00E372BA"/>
    <w:rsid w:val="00E42DC4"/>
    <w:rsid w:val="00E515D1"/>
    <w:rsid w:val="00E52021"/>
    <w:rsid w:val="00E631D7"/>
    <w:rsid w:val="00E67359"/>
    <w:rsid w:val="00E73395"/>
    <w:rsid w:val="00E75BF0"/>
    <w:rsid w:val="00E81049"/>
    <w:rsid w:val="00E94A6E"/>
    <w:rsid w:val="00E94DED"/>
    <w:rsid w:val="00EB46BD"/>
    <w:rsid w:val="00EB5C30"/>
    <w:rsid w:val="00EB7681"/>
    <w:rsid w:val="00EC2C25"/>
    <w:rsid w:val="00ED0F30"/>
    <w:rsid w:val="00ED405A"/>
    <w:rsid w:val="00ED6230"/>
    <w:rsid w:val="00ED74DC"/>
    <w:rsid w:val="00EE2E9E"/>
    <w:rsid w:val="00EE4FD8"/>
    <w:rsid w:val="00EF3F5E"/>
    <w:rsid w:val="00EF5CBE"/>
    <w:rsid w:val="00F03347"/>
    <w:rsid w:val="00F04ECE"/>
    <w:rsid w:val="00F0740C"/>
    <w:rsid w:val="00F13C53"/>
    <w:rsid w:val="00F26F61"/>
    <w:rsid w:val="00F30DAE"/>
    <w:rsid w:val="00F32309"/>
    <w:rsid w:val="00F42429"/>
    <w:rsid w:val="00F43E50"/>
    <w:rsid w:val="00F65588"/>
    <w:rsid w:val="00F6600D"/>
    <w:rsid w:val="00F67709"/>
    <w:rsid w:val="00F73913"/>
    <w:rsid w:val="00F77C80"/>
    <w:rsid w:val="00F8557F"/>
    <w:rsid w:val="00F87781"/>
    <w:rsid w:val="00F94F40"/>
    <w:rsid w:val="00F95934"/>
    <w:rsid w:val="00F96431"/>
    <w:rsid w:val="00FA0634"/>
    <w:rsid w:val="00FA4CA6"/>
    <w:rsid w:val="00FA64E6"/>
    <w:rsid w:val="00FB318E"/>
    <w:rsid w:val="00FC19E3"/>
    <w:rsid w:val="00FC248B"/>
    <w:rsid w:val="00FC2D3B"/>
    <w:rsid w:val="00FC7596"/>
    <w:rsid w:val="00FD169D"/>
    <w:rsid w:val="00FD2498"/>
    <w:rsid w:val="00FE0478"/>
    <w:rsid w:val="00FE1736"/>
    <w:rsid w:val="00FE17A4"/>
    <w:rsid w:val="00FE5D50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DC805A0-AFDB-458E-B181-510E58E5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eguetech.com/8-benefits-of-agile-software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umtech.com/blog/agile-project-management-benefi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guetech.com/what-is-agile-software-develop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3B9F-8FAF-4269-A41F-B024ED33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1013</cp:revision>
  <dcterms:created xsi:type="dcterms:W3CDTF">2018-11-12T19:57:00Z</dcterms:created>
  <dcterms:modified xsi:type="dcterms:W3CDTF">2018-11-18T17:17:00Z</dcterms:modified>
</cp:coreProperties>
</file>