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55EA04A" w:rsidR="00B95D09" w:rsidRDefault="00DF7C5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INCORPORACION DE VARIABLES AMBIENTALES E INDICES VERDES A CURVAS DE CRECIMIENTO EN </w:t>
      </w:r>
      <w:r w:rsidR="00621DE9">
        <w:rPr>
          <w:rFonts w:ascii="Calibri" w:eastAsia="Calibri" w:hAnsi="Calibri" w:cs="Calibri"/>
          <w:b/>
          <w:color w:val="000000"/>
          <w:sz w:val="28"/>
          <w:szCs w:val="28"/>
        </w:rPr>
        <w:t xml:space="preserve">PERAS Y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MANZANAS </w:t>
      </w:r>
    </w:p>
    <w:p w14:paraId="00000002" w14:textId="77777777" w:rsidR="00B95D09" w:rsidRDefault="00B95D0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3" w14:textId="18CE7116" w:rsidR="00B95D09" w:rsidRDefault="00DF7C5A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DEL BRIO DOLORES</w:t>
      </w:r>
      <w:r w:rsidR="00D65825"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1</w:t>
      </w:r>
      <w:r w:rsidR="00D65825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TASSILE VALENTIN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2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D6582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REEB PABLO DANIEL</w:t>
      </w:r>
      <w:r>
        <w:rPr>
          <w:rFonts w:ascii="Calibri" w:eastAsia="Calibri" w:hAnsi="Calibri" w:cs="Calibri"/>
          <w:color w:val="000000"/>
          <w:sz w:val="22"/>
          <w:szCs w:val="22"/>
          <w:vertAlign w:val="superscript"/>
        </w:rPr>
        <w:t>3</w:t>
      </w:r>
      <w:r w:rsidR="00D6582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00000004" w14:textId="77777777" w:rsidR="00B95D09" w:rsidRDefault="00B95D09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center"/>
        <w:rPr>
          <w:rFonts w:ascii="Calibri" w:eastAsia="Calibri" w:hAnsi="Calibri" w:cs="Calibri"/>
          <w:color w:val="000000"/>
          <w:sz w:val="22"/>
          <w:szCs w:val="22"/>
          <w:u w:val="single"/>
        </w:rPr>
      </w:pPr>
    </w:p>
    <w:p w14:paraId="00000005" w14:textId="2179EF93" w:rsidR="00B95D09" w:rsidRDefault="00D65825">
      <w:pPr>
        <w:spacing w:line="360" w:lineRule="auto"/>
        <w:jc w:val="center"/>
        <w:rPr>
          <w:rFonts w:ascii="Calibri" w:eastAsia="Calibri" w:hAnsi="Calibri" w:cs="Calibri"/>
          <w:i/>
          <w:sz w:val="22"/>
          <w:szCs w:val="22"/>
        </w:rPr>
      </w:pPr>
      <w:r w:rsidRPr="00DF7C5A">
        <w:rPr>
          <w:rFonts w:ascii="Calibri" w:eastAsia="Calibri" w:hAnsi="Calibri" w:cs="Calibri"/>
          <w:i/>
          <w:sz w:val="22"/>
          <w:szCs w:val="22"/>
          <w:vertAlign w:val="superscript"/>
        </w:rPr>
        <w:t>1</w:t>
      </w:r>
      <w:r w:rsidR="00DF7C5A">
        <w:rPr>
          <w:rFonts w:ascii="Calibri" w:eastAsia="Calibri" w:hAnsi="Calibri" w:cs="Calibri"/>
          <w:i/>
          <w:sz w:val="22"/>
          <w:szCs w:val="22"/>
        </w:rPr>
        <w:t xml:space="preserve">Estación Experimental </w:t>
      </w:r>
      <w:proofErr w:type="spellStart"/>
      <w:r w:rsidR="00DF7C5A">
        <w:rPr>
          <w:rFonts w:ascii="Calibri" w:eastAsia="Calibri" w:hAnsi="Calibri" w:cs="Calibri"/>
          <w:i/>
          <w:sz w:val="22"/>
          <w:szCs w:val="22"/>
        </w:rPr>
        <w:t>Ing</w:t>
      </w:r>
      <w:proofErr w:type="spellEnd"/>
      <w:r w:rsidR="00DF7C5A">
        <w:rPr>
          <w:rFonts w:ascii="Calibri" w:eastAsia="Calibri" w:hAnsi="Calibri" w:cs="Calibri"/>
          <w:i/>
          <w:sz w:val="22"/>
          <w:szCs w:val="22"/>
        </w:rPr>
        <w:t xml:space="preserve">. Carlos </w:t>
      </w:r>
      <w:proofErr w:type="spellStart"/>
      <w:r w:rsidR="00DF7C5A">
        <w:rPr>
          <w:rFonts w:ascii="Calibri" w:eastAsia="Calibri" w:hAnsi="Calibri" w:cs="Calibri"/>
          <w:i/>
          <w:sz w:val="22"/>
          <w:szCs w:val="22"/>
        </w:rPr>
        <w:t>Casamiquela</w:t>
      </w:r>
      <w:proofErr w:type="spellEnd"/>
      <w:r w:rsidR="00DF7C5A">
        <w:rPr>
          <w:rFonts w:ascii="Calibri" w:eastAsia="Calibri" w:hAnsi="Calibri" w:cs="Calibri"/>
          <w:i/>
          <w:sz w:val="22"/>
          <w:szCs w:val="22"/>
        </w:rPr>
        <w:t xml:space="preserve">, </w:t>
      </w:r>
      <w:proofErr w:type="spellStart"/>
      <w:r w:rsidR="00DF7C5A" w:rsidRPr="00DF7C5A">
        <w:rPr>
          <w:rFonts w:ascii="Calibri" w:eastAsia="Calibri" w:hAnsi="Calibri" w:cs="Calibri"/>
          <w:i/>
          <w:sz w:val="22"/>
          <w:szCs w:val="22"/>
        </w:rPr>
        <w:t>Instituto</w:t>
      </w:r>
      <w:proofErr w:type="spellEnd"/>
      <w:r w:rsidR="00DF7C5A">
        <w:rPr>
          <w:rFonts w:ascii="Calibri" w:eastAsia="Calibri" w:hAnsi="Calibri" w:cs="Calibri"/>
          <w:i/>
          <w:sz w:val="22"/>
          <w:szCs w:val="22"/>
        </w:rPr>
        <w:t xml:space="preserve"> Nacional de Tecnología </w:t>
      </w:r>
      <w:proofErr w:type="spellStart"/>
      <w:r w:rsidR="00DF7C5A">
        <w:rPr>
          <w:rFonts w:ascii="Calibri" w:eastAsia="Calibri" w:hAnsi="Calibri" w:cs="Calibri"/>
          <w:i/>
          <w:sz w:val="22"/>
          <w:szCs w:val="22"/>
        </w:rPr>
        <w:t>AGropecuaria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, </w:t>
      </w:r>
    </w:p>
    <w:p w14:paraId="659CA989" w14:textId="50A02BBD" w:rsidR="00DF7C5A" w:rsidRDefault="00D65825">
      <w:pPr>
        <w:spacing w:line="360" w:lineRule="auto"/>
        <w:jc w:val="center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  <w:vertAlign w:val="superscript"/>
        </w:rPr>
        <w:t>2</w:t>
      </w:r>
      <w:r w:rsidR="00DF7C5A">
        <w:rPr>
          <w:rFonts w:ascii="Calibri" w:eastAsia="Calibri" w:hAnsi="Calibri" w:cs="Calibri"/>
          <w:i/>
          <w:sz w:val="22"/>
          <w:szCs w:val="22"/>
        </w:rPr>
        <w:t xml:space="preserve">Facultad de </w:t>
      </w:r>
      <w:proofErr w:type="spellStart"/>
      <w:r w:rsidR="00DF7C5A">
        <w:rPr>
          <w:rFonts w:ascii="Calibri" w:eastAsia="Calibri" w:hAnsi="Calibri" w:cs="Calibri"/>
          <w:i/>
          <w:sz w:val="22"/>
          <w:szCs w:val="22"/>
        </w:rPr>
        <w:t>Ciencia</w:t>
      </w:r>
      <w:proofErr w:type="spellEnd"/>
      <w:r w:rsidR="00DF7C5A">
        <w:rPr>
          <w:rFonts w:ascii="Calibri" w:eastAsia="Calibri" w:hAnsi="Calibri" w:cs="Calibri"/>
          <w:i/>
          <w:sz w:val="22"/>
          <w:szCs w:val="22"/>
        </w:rPr>
        <w:t xml:space="preserve"> y Tecnología</w:t>
      </w:r>
      <w:bookmarkStart w:id="0" w:name="_GoBack"/>
      <w:bookmarkEnd w:id="0"/>
      <w:r w:rsidR="00DF7C5A">
        <w:rPr>
          <w:rFonts w:ascii="Calibri" w:eastAsia="Calibri" w:hAnsi="Calibri" w:cs="Calibri"/>
          <w:i/>
          <w:sz w:val="22"/>
          <w:szCs w:val="22"/>
        </w:rPr>
        <w:t xml:space="preserve"> de los Alimentos, Universidad Nacional del </w:t>
      </w:r>
      <w:proofErr w:type="spellStart"/>
      <w:r w:rsidR="00DF7C5A">
        <w:rPr>
          <w:rFonts w:ascii="Calibri" w:eastAsia="Calibri" w:hAnsi="Calibri" w:cs="Calibri"/>
          <w:i/>
          <w:sz w:val="22"/>
          <w:szCs w:val="22"/>
        </w:rPr>
        <w:t>Comahue</w:t>
      </w:r>
      <w:proofErr w:type="spellEnd"/>
    </w:p>
    <w:p w14:paraId="2BBACBBA" w14:textId="0B70B13A" w:rsidR="00DF7C5A" w:rsidRDefault="00DF7C5A" w:rsidP="00DF7C5A">
      <w:pPr>
        <w:spacing w:line="360" w:lineRule="auto"/>
        <w:jc w:val="center"/>
        <w:rPr>
          <w:rFonts w:ascii="Calibri" w:eastAsia="Calibri" w:hAnsi="Calibri" w:cs="Calibri"/>
          <w:i/>
          <w:sz w:val="22"/>
          <w:szCs w:val="22"/>
        </w:rPr>
      </w:pPr>
      <w:r w:rsidRPr="00DF7C5A">
        <w:rPr>
          <w:rFonts w:ascii="Calibri" w:eastAsia="Calibri" w:hAnsi="Calibri" w:cs="Calibri"/>
          <w:i/>
          <w:sz w:val="22"/>
          <w:szCs w:val="22"/>
          <w:vertAlign w:val="superscript"/>
        </w:rPr>
        <w:t>3</w:t>
      </w:r>
      <w:r>
        <w:rPr>
          <w:rFonts w:ascii="Calibri" w:eastAsia="Calibri" w:hAnsi="Calibri" w:cs="Calibri"/>
          <w:i/>
          <w:sz w:val="22"/>
          <w:szCs w:val="22"/>
        </w:rPr>
        <w:t xml:space="preserve">Departamento de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Estadística</w:t>
      </w:r>
      <w:proofErr w:type="spellEnd"/>
      <w:r>
        <w:rPr>
          <w:rFonts w:ascii="Calibri" w:eastAsia="Calibri" w:hAnsi="Calibri" w:cs="Calibri"/>
          <w:i/>
          <w:sz w:val="22"/>
          <w:szCs w:val="22"/>
        </w:rPr>
        <w:t xml:space="preserve">, Universidad Nacional del </w:t>
      </w:r>
      <w:proofErr w:type="spellStart"/>
      <w:r>
        <w:rPr>
          <w:rFonts w:ascii="Calibri" w:eastAsia="Calibri" w:hAnsi="Calibri" w:cs="Calibri"/>
          <w:i/>
          <w:sz w:val="22"/>
          <w:szCs w:val="22"/>
        </w:rPr>
        <w:t>Comahue</w:t>
      </w:r>
      <w:proofErr w:type="spellEnd"/>
    </w:p>
    <w:p w14:paraId="00000007" w14:textId="77777777" w:rsidR="00B95D09" w:rsidRDefault="00B95D09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</w:p>
    <w:p w14:paraId="00000008" w14:textId="55153AF1" w:rsidR="00B95D09" w:rsidRDefault="00DF7C5A">
      <w:pPr>
        <w:spacing w:line="360" w:lineRule="auto"/>
        <w:jc w:val="center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delbrio.dolores</w:t>
      </w:r>
      <w:r w:rsidR="00D65825">
        <w:rPr>
          <w:rFonts w:ascii="Calibri" w:eastAsia="Calibri" w:hAnsi="Calibri" w:cs="Calibri"/>
          <w:i/>
          <w:sz w:val="22"/>
          <w:szCs w:val="22"/>
        </w:rPr>
        <w:t>@</w:t>
      </w:r>
      <w:r>
        <w:rPr>
          <w:rFonts w:ascii="Calibri" w:eastAsia="Calibri" w:hAnsi="Calibri" w:cs="Calibri"/>
          <w:i/>
          <w:sz w:val="22"/>
          <w:szCs w:val="22"/>
        </w:rPr>
        <w:t>inta.gob.ar</w:t>
      </w:r>
    </w:p>
    <w:p w14:paraId="00000009" w14:textId="7D4BBA63" w:rsidR="00B95D09" w:rsidRDefault="00B95D09">
      <w:pPr>
        <w:spacing w:line="360" w:lineRule="auto"/>
        <w:jc w:val="center"/>
        <w:rPr>
          <w:rFonts w:ascii="Calibri" w:eastAsia="Calibri" w:hAnsi="Calibri" w:cs="Calibri"/>
          <w:i/>
          <w:sz w:val="22"/>
          <w:szCs w:val="22"/>
        </w:rPr>
      </w:pPr>
    </w:p>
    <w:p w14:paraId="5D3A6143" w14:textId="77777777" w:rsidR="00DF7C5A" w:rsidRDefault="00DF7C5A">
      <w:pPr>
        <w:spacing w:line="360" w:lineRule="auto"/>
        <w:jc w:val="center"/>
        <w:rPr>
          <w:rFonts w:ascii="Calibri" w:eastAsia="Calibri" w:hAnsi="Calibri" w:cs="Calibri"/>
          <w:i/>
          <w:sz w:val="22"/>
          <w:szCs w:val="22"/>
        </w:rPr>
      </w:pPr>
    </w:p>
    <w:p w14:paraId="0000000A" w14:textId="77777777" w:rsidR="00B95D09" w:rsidRDefault="00D65825">
      <w:pPr>
        <w:pStyle w:val="Ttulo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RESUMEN</w:t>
      </w:r>
    </w:p>
    <w:p w14:paraId="0000000C" w14:textId="1B34E452" w:rsidR="00B95D09" w:rsidRDefault="00F21E49" w:rsidP="00C85BB5">
      <w:pP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l pronó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stico de cosecha es una herramienta 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de gran utilidad en la producció</w:t>
      </w:r>
      <w:r>
        <w:rPr>
          <w:rFonts w:ascii="Calibri" w:eastAsia="Calibri" w:hAnsi="Calibri" w:cs="Calibri"/>
          <w:color w:val="000000"/>
          <w:sz w:val="22"/>
          <w:szCs w:val="22"/>
        </w:rPr>
        <w:t>n de manzanas y peras. El uso de curva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 xml:space="preserve">s de crecimiento en dicho pronóstico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es 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interesante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ya que permite 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 xml:space="preserve">predecir tanto 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 xml:space="preserve">la 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 xml:space="preserve">cantidad como calidad 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 xml:space="preserve">de la fruta 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>al separarla en tamaños comerciales. El objetivo de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l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 xml:space="preserve"> trabajo fue ajustar modelos mixtos no lineales</w:t>
      </w:r>
      <w:r w:rsidR="00621DE9">
        <w:rPr>
          <w:rFonts w:ascii="Calibri" w:eastAsia="Calibri" w:hAnsi="Calibri" w:cs="Calibri"/>
          <w:color w:val="000000"/>
          <w:sz w:val="22"/>
          <w:szCs w:val="22"/>
        </w:rPr>
        <w:t xml:space="preserve"> (MMNL) basados </w:t>
      </w:r>
      <w:proofErr w:type="spellStart"/>
      <w:r w:rsidR="00621DE9">
        <w:rPr>
          <w:rFonts w:ascii="Calibri" w:eastAsia="Calibri" w:hAnsi="Calibri" w:cs="Calibri"/>
          <w:color w:val="000000"/>
          <w:sz w:val="22"/>
          <w:szCs w:val="22"/>
        </w:rPr>
        <w:t>en</w:t>
      </w:r>
      <w:proofErr w:type="spellEnd"/>
      <w:r w:rsidR="00621DE9"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proofErr w:type="spellStart"/>
      <w:r w:rsidR="00621DE9">
        <w:rPr>
          <w:rFonts w:ascii="Calibri" w:eastAsia="Calibri" w:hAnsi="Calibri" w:cs="Calibri"/>
          <w:color w:val="000000"/>
          <w:sz w:val="22"/>
          <w:szCs w:val="22"/>
        </w:rPr>
        <w:t>curva</w:t>
      </w:r>
      <w:proofErr w:type="spellEnd"/>
      <w:r w:rsidR="00621DE9">
        <w:rPr>
          <w:rFonts w:ascii="Calibri" w:eastAsia="Calibri" w:hAnsi="Calibri" w:cs="Calibri"/>
          <w:color w:val="000000"/>
          <w:sz w:val="22"/>
          <w:szCs w:val="22"/>
        </w:rPr>
        <w:t xml:space="preserve"> logí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>stica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 xml:space="preserve"> para describ</w:t>
      </w:r>
      <w:r w:rsidR="00621DE9">
        <w:rPr>
          <w:rFonts w:ascii="Calibri" w:eastAsia="Calibri" w:hAnsi="Calibri" w:cs="Calibri"/>
          <w:color w:val="000000"/>
          <w:sz w:val="22"/>
          <w:szCs w:val="22"/>
        </w:rPr>
        <w:t>i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 xml:space="preserve">r 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el crecimient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>o de peras y manzanas en el Alto Valle de Rio Negro.</w:t>
      </w:r>
      <w:r w:rsidR="00DF7C5A" w:rsidRPr="00DF7C5A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 xml:space="preserve">Debido a que la temperatura tiene un gran impacto 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en los procesos fisioló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 xml:space="preserve">gicos involucrados en el crecimiento de la fruta se incluyeron indices de termoacumulación e </w:t>
      </w:r>
      <w:r w:rsidR="001458F7" w:rsidRPr="001458F7">
        <w:rPr>
          <w:rFonts w:ascii="Calibri" w:eastAsia="Calibri" w:hAnsi="Calibri" w:cs="Calibri"/>
          <w:color w:val="000000"/>
          <w:sz w:val="22"/>
          <w:szCs w:val="22"/>
        </w:rPr>
        <w:t xml:space="preserve">índices vegetales 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>en los modelos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 xml:space="preserve"> ya</w:t>
      </w:r>
      <w:r w:rsidR="001458F7" w:rsidRPr="001458F7">
        <w:rPr>
          <w:rFonts w:ascii="Calibri" w:eastAsia="Calibri" w:hAnsi="Calibri" w:cs="Calibri"/>
          <w:color w:val="000000"/>
          <w:sz w:val="22"/>
          <w:szCs w:val="22"/>
        </w:rPr>
        <w:t xml:space="preserve"> que pueden aportar información interesante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Así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>, los modelos no solo caracteriza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ría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>n el crecimiento tipi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co de los frutos sino que tambié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>n considera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ría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 xml:space="preserve">n las condiciones ambientales de 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cada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 xml:space="preserve"> temporada de crecimiento. El trabajo se 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 xml:space="preserve">realizó 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 xml:space="preserve">en un monte frutal de pera cv. 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´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>Williams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´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 xml:space="preserve"> y uno de manzana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 xml:space="preserve"> cv. ´Red chief´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 xml:space="preserve"> situados 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 xml:space="preserve">en INTA, </w:t>
      </w:r>
      <w:r w:rsidR="001458F7">
        <w:rPr>
          <w:rFonts w:ascii="Calibri" w:eastAsia="Calibri" w:hAnsi="Calibri" w:cs="Calibri"/>
          <w:color w:val="000000"/>
          <w:sz w:val="22"/>
          <w:szCs w:val="22"/>
        </w:rPr>
        <w:t xml:space="preserve">Río Negro. 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Cada temporada se seleccionaron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 xml:space="preserve"> á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rboles y frutos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, se identificar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o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n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 xml:space="preserve"> y se midi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ó su diá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 xml:space="preserve">metro ecuatorial semanalmente con 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calibre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 xml:space="preserve"> digital. Los dat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os climáticos se obtuvieron de una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85BB5" w:rsidRPr="00C85BB5">
        <w:rPr>
          <w:rFonts w:ascii="Calibri" w:eastAsia="Calibri" w:hAnsi="Calibri" w:cs="Calibri"/>
          <w:color w:val="000000"/>
          <w:sz w:val="22"/>
          <w:szCs w:val="22"/>
        </w:rPr>
        <w:t xml:space="preserve">estación meteorológica automática 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(</w:t>
      </w:r>
      <w:r w:rsidR="00C85BB5" w:rsidRPr="00C85BB5">
        <w:rPr>
          <w:rFonts w:ascii="Calibri" w:eastAsia="Calibri" w:hAnsi="Calibri" w:cs="Calibri"/>
          <w:color w:val="000000"/>
          <w:sz w:val="22"/>
          <w:szCs w:val="22"/>
        </w:rPr>
        <w:t>DAVIS Vantage Pro2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)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 xml:space="preserve"> y los 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í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ndices verdes de imagines sate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litales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(</w:t>
      </w:r>
      <w:r w:rsidR="00C85BB5" w:rsidRPr="00C85BB5">
        <w:rPr>
          <w:rFonts w:ascii="Calibri" w:eastAsia="Calibri" w:hAnsi="Calibri" w:cs="Calibri"/>
          <w:color w:val="000000"/>
          <w:sz w:val="22"/>
          <w:szCs w:val="22"/>
        </w:rPr>
        <w:t>Sentinel 2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)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C85BB5" w:rsidRPr="00C85BB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Los mejores modelos se seleccionaron en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 xml:space="preserve"> base a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 xml:space="preserve"> criterios de informaci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ó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n</w:t>
      </w:r>
      <w:r w:rsidR="00DF7C5A" w:rsidRPr="00DF7C5A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C85BB5" w:rsidRPr="00C85BB5">
        <w:rPr>
          <w:rFonts w:ascii="Calibri" w:eastAsia="Calibri" w:hAnsi="Calibri" w:cs="Calibri"/>
          <w:color w:val="000000"/>
          <w:sz w:val="22"/>
          <w:szCs w:val="22"/>
        </w:rPr>
        <w:t xml:space="preserve">El uso de MMNL multiniveles presentó la ventaja de poder discernir y cuantificar fuentes de variabilidad a diferentes niveles. El efecto aleatorio 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fruto tuvo la</w:t>
      </w:r>
      <w:r w:rsidR="00C85BB5" w:rsidRPr="00C85BB5">
        <w:rPr>
          <w:rFonts w:ascii="Calibri" w:eastAsia="Calibri" w:hAnsi="Calibri" w:cs="Calibri"/>
          <w:color w:val="000000"/>
          <w:sz w:val="22"/>
          <w:szCs w:val="22"/>
        </w:rPr>
        <w:t xml:space="preserve"> mayor influencia en todos los parámetros.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85BB5" w:rsidRPr="00C85BB5">
        <w:rPr>
          <w:rFonts w:ascii="Calibri" w:eastAsia="Calibri" w:hAnsi="Calibri" w:cs="Calibri"/>
          <w:color w:val="000000"/>
          <w:sz w:val="22"/>
          <w:szCs w:val="22"/>
        </w:rPr>
        <w:t>La incorporación de variables ambientales e índices verdes mejoró el comportamiento de los modelos obtenidos, permitiendo contemplar la variabilidad asociada a cada temporada.</w:t>
      </w:r>
      <w:r w:rsidR="00C85BB5" w:rsidRPr="00C85BB5">
        <w:t xml:space="preserve"> </w:t>
      </w:r>
      <w:r w:rsidR="00C85BB5" w:rsidRPr="00C85BB5">
        <w:rPr>
          <w:rFonts w:ascii="Calibri" w:eastAsia="Calibri" w:hAnsi="Calibri" w:cs="Calibri"/>
          <w:color w:val="000000"/>
          <w:sz w:val="22"/>
          <w:szCs w:val="22"/>
        </w:rPr>
        <w:t xml:space="preserve">La capacidad predictiva de los modelos 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 xml:space="preserve">(calculada </w:t>
      </w:r>
      <w:r w:rsidR="00C85BB5" w:rsidRPr="00C85BB5">
        <w:rPr>
          <w:rFonts w:ascii="Calibri" w:eastAsia="Calibri" w:hAnsi="Calibri" w:cs="Calibri"/>
          <w:color w:val="000000"/>
          <w:sz w:val="22"/>
          <w:szCs w:val="22"/>
        </w:rPr>
        <w:t>con datos no contemplados en el modelado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)</w:t>
      </w:r>
      <w:r w:rsidR="00C85BB5" w:rsidRPr="00C85BB5">
        <w:rPr>
          <w:rFonts w:ascii="Calibri" w:eastAsia="Calibri" w:hAnsi="Calibri" w:cs="Calibri"/>
          <w:color w:val="000000"/>
          <w:sz w:val="22"/>
          <w:szCs w:val="22"/>
        </w:rPr>
        <w:t xml:space="preserve"> fue razonable, con valores de 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sesgo medio</w:t>
      </w:r>
      <w:r w:rsidR="00C85BB5" w:rsidRPr="00C85BB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D41C3">
        <w:rPr>
          <w:rFonts w:ascii="Calibri" w:eastAsia="Calibri" w:hAnsi="Calibri" w:cs="Calibri"/>
          <w:color w:val="000000"/>
          <w:sz w:val="22"/>
          <w:szCs w:val="22"/>
        </w:rPr>
        <w:t>relativos</w:t>
      </w:r>
      <w:r w:rsidR="00C85BB5" w:rsidRPr="00C85BB5">
        <w:rPr>
          <w:rFonts w:ascii="Calibri" w:eastAsia="Calibri" w:hAnsi="Calibri" w:cs="Calibri"/>
          <w:color w:val="000000"/>
          <w:sz w:val="22"/>
          <w:szCs w:val="22"/>
        </w:rPr>
        <w:t xml:space="preserve"> cercanos al 2% y 1% para peras y manzanas respectivamente</w:t>
      </w:r>
      <w:r w:rsidR="00C85BB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105549" w14:textId="77777777" w:rsidR="00C85BB5" w:rsidRDefault="00C85BB5" w:rsidP="00C85BB5">
      <w:pP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0D" w14:textId="2C4C0E35" w:rsidR="00B95D09" w:rsidRDefault="00D65825">
      <w:pP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Palabras clave: </w:t>
      </w:r>
      <w:proofErr w:type="spellStart"/>
      <w:r w:rsidR="00621DE9" w:rsidRPr="00621DE9">
        <w:rPr>
          <w:rFonts w:ascii="Calibri" w:eastAsia="Calibri" w:hAnsi="Calibri" w:cs="Calibri"/>
          <w:b/>
          <w:i/>
          <w:color w:val="000000"/>
          <w:sz w:val="22"/>
          <w:szCs w:val="22"/>
        </w:rPr>
        <w:t>Malus</w:t>
      </w:r>
      <w:proofErr w:type="spellEnd"/>
      <w:r w:rsidR="00621DE9" w:rsidRPr="00621DE9">
        <w:rPr>
          <w:rFonts w:ascii="Calibri" w:eastAsia="Calibri" w:hAnsi="Calibri" w:cs="Calibri"/>
          <w:b/>
          <w:i/>
          <w:color w:val="000000"/>
          <w:sz w:val="22"/>
          <w:szCs w:val="22"/>
        </w:rPr>
        <w:t xml:space="preserve"> </w:t>
      </w:r>
      <w:proofErr w:type="spellStart"/>
      <w:r w:rsidR="00621DE9" w:rsidRPr="00621DE9">
        <w:rPr>
          <w:rFonts w:ascii="Calibri" w:eastAsia="Calibri" w:hAnsi="Calibri" w:cs="Calibri"/>
          <w:b/>
          <w:i/>
          <w:color w:val="000000"/>
          <w:sz w:val="22"/>
          <w:szCs w:val="22"/>
        </w:rPr>
        <w:t>domestica</w:t>
      </w:r>
      <w:proofErr w:type="spellEnd"/>
      <w:r w:rsidR="00621DE9" w:rsidRPr="00621DE9">
        <w:rPr>
          <w:rFonts w:ascii="Calibri" w:eastAsia="Calibri" w:hAnsi="Calibri" w:cs="Calibri"/>
          <w:b/>
          <w:i/>
          <w:color w:val="000000"/>
          <w:sz w:val="22"/>
          <w:szCs w:val="22"/>
        </w:rPr>
        <w:t xml:space="preserve">, </w:t>
      </w:r>
      <w:proofErr w:type="spellStart"/>
      <w:r w:rsidR="00621DE9" w:rsidRPr="00621DE9">
        <w:rPr>
          <w:rFonts w:ascii="Calibri" w:eastAsia="Calibri" w:hAnsi="Calibri" w:cs="Calibri"/>
          <w:b/>
          <w:i/>
          <w:color w:val="000000"/>
          <w:sz w:val="22"/>
          <w:szCs w:val="22"/>
        </w:rPr>
        <w:t>Pyrus</w:t>
      </w:r>
      <w:proofErr w:type="spellEnd"/>
      <w:r w:rsidR="00621DE9" w:rsidRPr="00621DE9">
        <w:rPr>
          <w:rFonts w:ascii="Calibri" w:eastAsia="Calibri" w:hAnsi="Calibri" w:cs="Calibri"/>
          <w:b/>
          <w:i/>
          <w:color w:val="000000"/>
          <w:sz w:val="22"/>
          <w:szCs w:val="22"/>
        </w:rPr>
        <w:t xml:space="preserve"> </w:t>
      </w:r>
      <w:proofErr w:type="spellStart"/>
      <w:r w:rsidR="00621DE9" w:rsidRPr="00621DE9">
        <w:rPr>
          <w:rFonts w:ascii="Calibri" w:eastAsia="Calibri" w:hAnsi="Calibri" w:cs="Calibri"/>
          <w:b/>
          <w:i/>
          <w:color w:val="000000"/>
          <w:sz w:val="22"/>
          <w:szCs w:val="22"/>
        </w:rPr>
        <w:t>communis</w:t>
      </w:r>
      <w:proofErr w:type="spellEnd"/>
      <w:r w:rsidR="00621DE9" w:rsidRPr="00621DE9">
        <w:rPr>
          <w:rFonts w:ascii="Calibri" w:eastAsia="Calibri" w:hAnsi="Calibri" w:cs="Calibri"/>
          <w:b/>
          <w:i/>
          <w:color w:val="000000"/>
          <w:sz w:val="22"/>
          <w:szCs w:val="22"/>
        </w:rPr>
        <w:t xml:space="preserve">, </w:t>
      </w:r>
      <w:proofErr w:type="spellStart"/>
      <w:r w:rsidR="00DF7C5A">
        <w:rPr>
          <w:rFonts w:ascii="Calibri" w:eastAsia="Calibri" w:hAnsi="Calibri" w:cs="Calibri"/>
          <w:b/>
          <w:i/>
          <w:color w:val="000000"/>
          <w:sz w:val="22"/>
          <w:szCs w:val="22"/>
        </w:rPr>
        <w:t>modelos</w:t>
      </w:r>
      <w:proofErr w:type="spellEnd"/>
      <w:r w:rsidR="00DF7C5A">
        <w:rPr>
          <w:rFonts w:ascii="Calibri" w:eastAsia="Calibri" w:hAnsi="Calibri" w:cs="Calibri"/>
          <w:b/>
          <w:i/>
          <w:color w:val="000000"/>
          <w:sz w:val="22"/>
          <w:szCs w:val="22"/>
        </w:rPr>
        <w:t xml:space="preserve"> </w:t>
      </w:r>
      <w:proofErr w:type="spellStart"/>
      <w:r w:rsidR="00DF7C5A">
        <w:rPr>
          <w:rFonts w:ascii="Calibri" w:eastAsia="Calibri" w:hAnsi="Calibri" w:cs="Calibri"/>
          <w:b/>
          <w:i/>
          <w:color w:val="000000"/>
          <w:sz w:val="22"/>
          <w:szCs w:val="22"/>
        </w:rPr>
        <w:t>mixtos</w:t>
      </w:r>
      <w:proofErr w:type="spellEnd"/>
      <w:r w:rsidR="00DF7C5A">
        <w:rPr>
          <w:rFonts w:ascii="Calibri" w:eastAsia="Calibri" w:hAnsi="Calibri" w:cs="Calibri"/>
          <w:b/>
          <w:i/>
          <w:color w:val="000000"/>
          <w:sz w:val="22"/>
          <w:szCs w:val="22"/>
        </w:rPr>
        <w:t xml:space="preserve"> no </w:t>
      </w:r>
      <w:proofErr w:type="spellStart"/>
      <w:r w:rsidR="00DF7C5A">
        <w:rPr>
          <w:rFonts w:ascii="Calibri" w:eastAsia="Calibri" w:hAnsi="Calibri" w:cs="Calibri"/>
          <w:b/>
          <w:i/>
          <w:color w:val="000000"/>
          <w:sz w:val="22"/>
          <w:szCs w:val="22"/>
        </w:rPr>
        <w:t>lineales</w:t>
      </w:r>
      <w:proofErr w:type="spellEnd"/>
      <w:r w:rsidR="00DF7C5A">
        <w:rPr>
          <w:rFonts w:ascii="Calibri" w:eastAsia="Calibri" w:hAnsi="Calibri" w:cs="Calibri"/>
          <w:b/>
          <w:i/>
          <w:color w:val="000000"/>
          <w:sz w:val="22"/>
          <w:szCs w:val="22"/>
        </w:rPr>
        <w:t>, NDVI</w:t>
      </w:r>
      <w:r>
        <w:rPr>
          <w:rFonts w:ascii="Calibri" w:eastAsia="Calibri" w:hAnsi="Calibri" w:cs="Calibri"/>
          <w:b/>
          <w:i/>
          <w:color w:val="000000"/>
          <w:sz w:val="22"/>
          <w:szCs w:val="22"/>
        </w:rPr>
        <w:t xml:space="preserve"> </w:t>
      </w:r>
    </w:p>
    <w:p w14:paraId="0000000E" w14:textId="77777777" w:rsidR="00B95D09" w:rsidRDefault="00B95D09">
      <w:pPr>
        <w:spacing w:line="360" w:lineRule="auto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D3E6CD1" w14:textId="77777777" w:rsidR="00DF7C5A" w:rsidRDefault="00DF7C5A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</w:p>
    <w:p w14:paraId="00000012" w14:textId="01C738F0" w:rsidR="00B95D09" w:rsidRDefault="00B95D09">
      <w:pPr>
        <w:spacing w:line="360" w:lineRule="auto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</w:p>
    <w:sectPr w:rsidR="00B95D09">
      <w:headerReference w:type="default" r:id="rId7"/>
      <w:footerReference w:type="default" r:id="rId8"/>
      <w:pgSz w:w="11907" w:h="16840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C2A26" w14:textId="77777777" w:rsidR="00B276BB" w:rsidRDefault="00B276BB">
      <w:r>
        <w:separator/>
      </w:r>
    </w:p>
  </w:endnote>
  <w:endnote w:type="continuationSeparator" w:id="0">
    <w:p w14:paraId="76E28C8F" w14:textId="77777777" w:rsidR="00B276BB" w:rsidRDefault="00B2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entieth Century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77777777" w:rsidR="00B95D09" w:rsidRDefault="00D658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wentieth Century" w:eastAsia="Twentieth Century" w:hAnsi="Twentieth Century" w:cs="Twentieth Century"/>
        <w:b/>
        <w:color w:val="000000"/>
        <w:sz w:val="22"/>
        <w:szCs w:val="22"/>
      </w:rPr>
    </w:pPr>
    <w:r>
      <w:rPr>
        <w:rFonts w:ascii="Twentieth Century" w:eastAsia="Twentieth Century" w:hAnsi="Twentieth Century" w:cs="Twentieth Century"/>
        <w:b/>
        <w:color w:val="000000"/>
        <w:sz w:val="22"/>
        <w:szCs w:val="22"/>
      </w:rPr>
      <w:t xml:space="preserve">Salta, Argentina - </w:t>
    </w:r>
    <w:proofErr w:type="spellStart"/>
    <w:r>
      <w:rPr>
        <w:rFonts w:ascii="Twentieth Century" w:eastAsia="Twentieth Century" w:hAnsi="Twentieth Century" w:cs="Twentieth Century"/>
        <w:b/>
        <w:color w:val="000000"/>
        <w:sz w:val="22"/>
        <w:szCs w:val="22"/>
      </w:rPr>
      <w:t>Octubre</w:t>
    </w:r>
    <w:proofErr w:type="spellEnd"/>
    <w:r>
      <w:rPr>
        <w:rFonts w:ascii="Twentieth Century" w:eastAsia="Twentieth Century" w:hAnsi="Twentieth Century" w:cs="Twentieth Century"/>
        <w:b/>
        <w:color w:val="000000"/>
        <w:sz w:val="22"/>
        <w:szCs w:val="22"/>
      </w:rPr>
      <w:t xml:space="preserve"> de 2023</w:t>
    </w:r>
  </w:p>
  <w:p w14:paraId="00000016" w14:textId="77777777" w:rsidR="00B95D09" w:rsidRDefault="00B95D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BCBBF" w14:textId="77777777" w:rsidR="00B276BB" w:rsidRDefault="00B276BB">
      <w:r>
        <w:separator/>
      </w:r>
    </w:p>
  </w:footnote>
  <w:footnote w:type="continuationSeparator" w:id="0">
    <w:p w14:paraId="2C5E571F" w14:textId="77777777" w:rsidR="00B276BB" w:rsidRDefault="00B27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3" w14:textId="77777777" w:rsidR="00B95D09" w:rsidRDefault="00D6582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rFonts w:ascii="Twentieth Century" w:eastAsia="Twentieth Century" w:hAnsi="Twentieth Century" w:cs="Twentieth Century"/>
        <w:b/>
        <w:color w:val="000000"/>
        <w:sz w:val="22"/>
        <w:szCs w:val="22"/>
      </w:rPr>
    </w:pPr>
    <w:r>
      <w:rPr>
        <w:rFonts w:ascii="Twentieth Century" w:eastAsia="Twentieth Century" w:hAnsi="Twentieth Century" w:cs="Twentieth Century"/>
        <w:b/>
        <w:color w:val="000000"/>
        <w:sz w:val="22"/>
        <w:szCs w:val="22"/>
      </w:rPr>
      <w:t xml:space="preserve">XXVII </w:t>
    </w:r>
    <w:proofErr w:type="spellStart"/>
    <w:r>
      <w:rPr>
        <w:rFonts w:ascii="Twentieth Century" w:eastAsia="Twentieth Century" w:hAnsi="Twentieth Century" w:cs="Twentieth Century"/>
        <w:b/>
        <w:color w:val="000000"/>
        <w:sz w:val="22"/>
        <w:szCs w:val="22"/>
      </w:rPr>
      <w:t>Reunión</w:t>
    </w:r>
    <w:proofErr w:type="spellEnd"/>
    <w:r>
      <w:rPr>
        <w:rFonts w:ascii="Twentieth Century" w:eastAsia="Twentieth Century" w:hAnsi="Twentieth Century" w:cs="Twentieth Century"/>
        <w:b/>
        <w:color w:val="000000"/>
        <w:sz w:val="22"/>
        <w:szCs w:val="22"/>
      </w:rPr>
      <w:t xml:space="preserve"> </w:t>
    </w:r>
    <w:proofErr w:type="spellStart"/>
    <w:r>
      <w:rPr>
        <w:rFonts w:ascii="Twentieth Century" w:eastAsia="Twentieth Century" w:hAnsi="Twentieth Century" w:cs="Twentieth Century"/>
        <w:b/>
        <w:color w:val="000000"/>
        <w:sz w:val="22"/>
        <w:szCs w:val="22"/>
      </w:rPr>
      <w:t>Científica</w:t>
    </w:r>
    <w:proofErr w:type="spellEnd"/>
    <w:r>
      <w:rPr>
        <w:rFonts w:ascii="Twentieth Century" w:eastAsia="Twentieth Century" w:hAnsi="Twentieth Century" w:cs="Twentieth Century"/>
        <w:b/>
        <w:color w:val="000000"/>
        <w:sz w:val="22"/>
        <w:szCs w:val="22"/>
      </w:rPr>
      <w:t xml:space="preserve"> del </w:t>
    </w:r>
    <w:proofErr w:type="spellStart"/>
    <w:r>
      <w:rPr>
        <w:rFonts w:ascii="Twentieth Century" w:eastAsia="Twentieth Century" w:hAnsi="Twentieth Century" w:cs="Twentieth Century"/>
        <w:b/>
        <w:color w:val="000000"/>
        <w:sz w:val="22"/>
        <w:szCs w:val="22"/>
      </w:rPr>
      <w:t>Grupo</w:t>
    </w:r>
    <w:proofErr w:type="spellEnd"/>
    <w:r>
      <w:rPr>
        <w:rFonts w:ascii="Twentieth Century" w:eastAsia="Twentieth Century" w:hAnsi="Twentieth Century" w:cs="Twentieth Century"/>
        <w:b/>
        <w:color w:val="000000"/>
        <w:sz w:val="22"/>
        <w:szCs w:val="22"/>
      </w:rPr>
      <w:t xml:space="preserve"> </w:t>
    </w:r>
    <w:proofErr w:type="spellStart"/>
    <w:r>
      <w:rPr>
        <w:rFonts w:ascii="Twentieth Century" w:eastAsia="Twentieth Century" w:hAnsi="Twentieth Century" w:cs="Twentieth Century"/>
        <w:b/>
        <w:color w:val="000000"/>
        <w:sz w:val="22"/>
        <w:szCs w:val="22"/>
      </w:rPr>
      <w:t>Argentino</w:t>
    </w:r>
    <w:proofErr w:type="spellEnd"/>
    <w:r>
      <w:rPr>
        <w:rFonts w:ascii="Twentieth Century" w:eastAsia="Twentieth Century" w:hAnsi="Twentieth Century" w:cs="Twentieth Century"/>
        <w:b/>
        <w:color w:val="000000"/>
        <w:sz w:val="22"/>
        <w:szCs w:val="22"/>
      </w:rPr>
      <w:t xml:space="preserve"> de </w:t>
    </w:r>
    <w:proofErr w:type="spellStart"/>
    <w:r>
      <w:rPr>
        <w:rFonts w:ascii="Twentieth Century" w:eastAsia="Twentieth Century" w:hAnsi="Twentieth Century" w:cs="Twentieth Century"/>
        <w:b/>
        <w:color w:val="000000"/>
        <w:sz w:val="22"/>
        <w:szCs w:val="22"/>
      </w:rPr>
      <w:t>Bioestadística</w:t>
    </w:r>
    <w:proofErr w:type="spellEnd"/>
    <w:r>
      <w:rPr>
        <w:rFonts w:ascii="Twentieth Century" w:eastAsia="Twentieth Century" w:hAnsi="Twentieth Century" w:cs="Twentieth Century"/>
        <w:b/>
        <w:color w:val="000000"/>
        <w:sz w:val="22"/>
        <w:szCs w:val="22"/>
      </w:rPr>
      <w:t xml:space="preserve"> </w:t>
    </w:r>
  </w:p>
  <w:p w14:paraId="00000014" w14:textId="77777777" w:rsidR="00B95D09" w:rsidRDefault="00B95D0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Arial" w:eastAsia="Arial" w:hAnsi="Arial" w:cs="Arial"/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09"/>
    <w:rsid w:val="001458F7"/>
    <w:rsid w:val="00621DE9"/>
    <w:rsid w:val="008C41EF"/>
    <w:rsid w:val="009D41C3"/>
    <w:rsid w:val="00B276BB"/>
    <w:rsid w:val="00B95D09"/>
    <w:rsid w:val="00C85BB5"/>
    <w:rsid w:val="00D65825"/>
    <w:rsid w:val="00DF7C5A"/>
    <w:rsid w:val="00F2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862F"/>
  <w15:docId w15:val="{F80870C9-E866-46AB-A7B9-7CFAF13D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overflowPunct w:val="0"/>
      <w:autoSpaceDE w:val="0"/>
      <w:autoSpaceDN w:val="0"/>
      <w:adjustRightInd w:val="0"/>
      <w:textAlignment w:val="baseline"/>
      <w:outlineLvl w:val="0"/>
    </w:pPr>
    <w:rPr>
      <w:noProof/>
      <w:sz w:val="20"/>
      <w:szCs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</w:style>
  <w:style w:type="paragraph" w:styleId="Ttulo3">
    <w:name w:val="heading 3"/>
    <w:basedOn w:val="Normal"/>
    <w:next w:val="Normal"/>
    <w:qFormat/>
    <w:pPr>
      <w:keepNext/>
      <w:spacing w:line="360" w:lineRule="auto"/>
      <w:jc w:val="center"/>
      <w:outlineLvl w:val="2"/>
    </w:pPr>
    <w:rPr>
      <w:rFonts w:ascii="Arial" w:hAnsi="Arial" w:cs="Arial"/>
      <w:b/>
      <w:bCs/>
      <w:sz w:val="28"/>
      <w:szCs w:val="22"/>
      <w:lang w:val="es-ES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Country">
    <w:name w:val="Country"/>
    <w:basedOn w:val="Normal"/>
    <w:pPr>
      <w:keepNext/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</w:pPr>
    <w:rPr>
      <w:rFonts w:ascii="Arial Rounded MT Bold" w:hAnsi="Arial Rounded MT Bold"/>
      <w:b/>
      <w:lang w:val="en-CA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</w:rPr>
  </w:style>
  <w:style w:type="character" w:styleId="Textoennegrita">
    <w:name w:val="Strong"/>
    <w:basedOn w:val="Fuentedeprrafopredeter"/>
    <w:qFormat/>
    <w:rPr>
      <w:b/>
    </w:rPr>
  </w:style>
  <w:style w:type="paragraph" w:customStyle="1" w:styleId="Textodeglobo1">
    <w:name w:val="Texto de globo1"/>
    <w:basedOn w:val="Normal"/>
    <w:semiHidden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RefText">
    <w:name w:val="Ref Text"/>
    <w:rsid w:val="002C1F21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character" w:styleId="Hipervnculo">
    <w:name w:val="Hyperlink"/>
    <w:basedOn w:val="Fuentedeprrafopredeter"/>
    <w:rsid w:val="002C1F21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5486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ciIvKiyuyMQlAOLPX5Klr76jdg==">CgMxLjAyCGguZ2pkZ3hzOAByITFNekExRTctWW84ZUR2UWxmc29qZ3hJYTdfSGMtdWZFYQ==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Saporsantos</dc:creator>
  <cp:lastModifiedBy>Dolores Del Brio</cp:lastModifiedBy>
  <cp:revision>4</cp:revision>
  <dcterms:created xsi:type="dcterms:W3CDTF">2023-08-09T13:11:00Z</dcterms:created>
  <dcterms:modified xsi:type="dcterms:W3CDTF">2023-08-15T11:33:00Z</dcterms:modified>
</cp:coreProperties>
</file>